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7F64" w14:textId="77777777" w:rsidR="00D01ACA" w:rsidRDefault="00000000">
      <w:pPr>
        <w:spacing w:after="40"/>
        <w:jc w:val="center"/>
      </w:pPr>
      <w:r>
        <w:rPr>
          <w:rFonts w:ascii="Calibri" w:hAnsi="Calibri"/>
          <w:b/>
          <w:color w:val="1F497D"/>
          <w:sz w:val="28"/>
        </w:rPr>
        <w:t>CS 595 — Medical Informatics &amp; AI</w:t>
      </w:r>
    </w:p>
    <w:p w14:paraId="3C0E10B2" w14:textId="77777777" w:rsidR="00D01ACA" w:rsidRDefault="00000000">
      <w:pPr>
        <w:jc w:val="center"/>
      </w:pPr>
      <w:r>
        <w:rPr>
          <w:rFonts w:ascii="Calibri" w:hAnsi="Calibri"/>
          <w:b/>
          <w:sz w:val="26"/>
        </w:rPr>
        <w:t>Course Experience Paper</w:t>
      </w:r>
    </w:p>
    <w:p w14:paraId="4E34D04E" w14:textId="19E1D61B" w:rsidR="00D01ACA" w:rsidRDefault="00F56DC1" w:rsidP="00F56DC1">
      <w:pPr>
        <w:pBdr>
          <w:bottom w:val="single" w:sz="8" w:space="1" w:color="auto"/>
        </w:pBdr>
        <w:spacing w:after="280"/>
        <w:jc w:val="center"/>
      </w:pPr>
      <w:r>
        <w:rPr>
          <w:rFonts w:ascii="Calibri" w:hAnsi="Calibri"/>
          <w:color w:val="595959"/>
        </w:rPr>
        <w:t xml:space="preserve">Name: </w:t>
      </w:r>
      <w:r w:rsidR="00000000">
        <w:rPr>
          <w:rFonts w:ascii="Calibri" w:hAnsi="Calibri"/>
          <w:color w:val="595959"/>
        </w:rPr>
        <w:t xml:space="preserve">Siddharth </w:t>
      </w:r>
      <w:proofErr w:type="gramStart"/>
      <w:r w:rsidR="00000000">
        <w:rPr>
          <w:rFonts w:ascii="Calibri" w:hAnsi="Calibri"/>
          <w:color w:val="595959"/>
        </w:rPr>
        <w:t>Bhamare  |</w:t>
      </w:r>
      <w:proofErr w:type="gramEnd"/>
      <w:r w:rsidR="00000000">
        <w:rPr>
          <w:rFonts w:ascii="Calibri" w:hAnsi="Calibri"/>
          <w:color w:val="595959"/>
        </w:rPr>
        <w:t xml:space="preserve">  </w:t>
      </w:r>
      <w:r>
        <w:rPr>
          <w:rFonts w:ascii="Calibri" w:hAnsi="Calibri"/>
          <w:color w:val="595959"/>
        </w:rPr>
        <w:t>Hawk</w:t>
      </w:r>
      <w:r w:rsidR="00000000">
        <w:rPr>
          <w:rFonts w:ascii="Calibri" w:hAnsi="Calibri"/>
          <w:color w:val="595959"/>
        </w:rPr>
        <w:t xml:space="preserve">-ID: A20582786  </w:t>
      </w:r>
    </w:p>
    <w:p w14:paraId="5B28111C" w14:textId="77777777" w:rsidR="00D01ACA" w:rsidRDefault="00000000">
      <w:pPr>
        <w:spacing w:before="200" w:after="80"/>
      </w:pPr>
      <w:r>
        <w:rPr>
          <w:rFonts w:ascii="Calibri" w:hAnsi="Calibri"/>
          <w:b/>
          <w:color w:val="1F497D"/>
          <w:sz w:val="26"/>
        </w:rPr>
        <w:t>Section 1 — Three Concepts Learned in the Overall Course</w:t>
      </w:r>
    </w:p>
    <w:p w14:paraId="093192B8" w14:textId="4DD6533E" w:rsidR="00F56DC1" w:rsidRPr="00F56DC1" w:rsidRDefault="00000000" w:rsidP="00F56DC1">
      <w:pPr>
        <w:pStyle w:val="ListParagraph"/>
        <w:numPr>
          <w:ilvl w:val="0"/>
          <w:numId w:val="10"/>
        </w:numPr>
        <w:spacing w:before="120" w:after="80"/>
        <w:rPr>
          <w:rFonts w:ascii="Calibri" w:hAnsi="Calibri"/>
          <w:b/>
        </w:rPr>
      </w:pPr>
      <w:r w:rsidRPr="00F56DC1">
        <w:rPr>
          <w:rFonts w:ascii="Calibri" w:hAnsi="Calibri"/>
          <w:b/>
        </w:rPr>
        <w:t>HIPAA, HITECH, and Healthcare Privacy Law</w:t>
      </w:r>
    </w:p>
    <w:p w14:paraId="2B2548AC" w14:textId="06760394" w:rsidR="00D01ACA" w:rsidRDefault="00000000" w:rsidP="00F56DC1">
      <w:pPr>
        <w:pStyle w:val="ListParagraph"/>
        <w:spacing w:before="120" w:after="80"/>
        <w:jc w:val="both"/>
      </w:pPr>
      <w:r w:rsidRPr="00F56DC1">
        <w:rPr>
          <w:rFonts w:ascii="Calibri" w:hAnsi="Calibri"/>
        </w:rPr>
        <w:t>Healthcare data is governed by a layered legal framework, not just good intentions. HIPAA (1996) established the Privacy Rule — defining what constitutes Protected Health Information (PHI) and who may access it — and the Security Rule, which mandates administrative, physical, and technical safeguards for electronic PHI. The HITECH Act (2009) strengthened HIPAA enforcement significantly, introduced the Breach Notification Rule (covered entities must report breaches to HHS within 60 days), and tied EHR adoption to Medicare/Medicaid financial incentives, accelerating nationwide digitization. The 21st Century Cures Act (2016) then introduced information-blocking rules — providers can no longer withhold electronic health data from patients or their designated applications. Understanding this legal hierarchy was essential to MedAssist: we had to implement role-based access control, HIPAA-compliant audit trails logging every sensitive action (user, action, resource, IP, timestamp), and PIN-protected emergency medical ID cards with brute-force protection. Knowing the why behind these requirements — not just the how — made every design decision clearer.</w:t>
      </w:r>
    </w:p>
    <w:p w14:paraId="28FE2392" w14:textId="467D0D2D" w:rsidR="00F56DC1" w:rsidRPr="00F56DC1" w:rsidRDefault="00000000" w:rsidP="00F56DC1">
      <w:pPr>
        <w:pStyle w:val="ListParagraph"/>
        <w:numPr>
          <w:ilvl w:val="0"/>
          <w:numId w:val="10"/>
        </w:numPr>
        <w:spacing w:before="120" w:after="80"/>
        <w:rPr>
          <w:rFonts w:ascii="Calibri" w:hAnsi="Calibri"/>
          <w:b/>
        </w:rPr>
      </w:pPr>
      <w:r w:rsidRPr="00F56DC1">
        <w:rPr>
          <w:rFonts w:ascii="Calibri" w:hAnsi="Calibri"/>
          <w:b/>
        </w:rPr>
        <w:t>Clinical Decision Support Systems (CDSS) and AI in Medicine</w:t>
      </w:r>
    </w:p>
    <w:p w14:paraId="5061BEBB" w14:textId="3DBE3ED4" w:rsidR="00D01ACA" w:rsidRDefault="00000000" w:rsidP="00F56DC1">
      <w:pPr>
        <w:pStyle w:val="ListParagraph"/>
        <w:spacing w:before="120" w:after="80"/>
        <w:jc w:val="both"/>
      </w:pPr>
      <w:r w:rsidRPr="00F56DC1">
        <w:rPr>
          <w:rFonts w:ascii="Calibri" w:hAnsi="Calibri"/>
        </w:rPr>
        <w:t xml:space="preserve">CDSS have existed since the 1970s — MYCIN (1976) used rule-based logic to recommend antibiotic treatments — but modern AI-driven systems differ in that they use probabilistic reasoning rather than rigid rule trees. The course covered the FDA's evolving framework for AI/ML-based Software as a Medical Device (SaMD), which distinguishes between 'locked' (static, validated) and 'adaptive' (continuously learning) algorithms, and requires post-market surveillance for the latter. This shaped how we framed MedAssist: the system provides AI-driven decision support for interpreting blood test results — flagging abnormal parameters, explaining clinical significance, recommending lifestyle changes, and scheduling follow-up tests — rather than autonomous medical diagnosis, which would require FDA 510(k) clearance. Understanding this regulatory boundary kept us from </w:t>
      </w:r>
      <w:proofErr w:type="gramStart"/>
      <w:r w:rsidRPr="00F56DC1">
        <w:rPr>
          <w:rFonts w:ascii="Calibri" w:hAnsi="Calibri"/>
        </w:rPr>
        <w:t>over-claiming</w:t>
      </w:r>
      <w:proofErr w:type="gramEnd"/>
      <w:r w:rsidRPr="00F56DC1">
        <w:rPr>
          <w:rFonts w:ascii="Calibri" w:hAnsi="Calibri"/>
        </w:rPr>
        <w:t xml:space="preserve"> what the system does and grounded the agent output design in appropriate, explainable recommendations.</w:t>
      </w:r>
    </w:p>
    <w:p w14:paraId="0DB80BCF" w14:textId="372E2DC0" w:rsidR="00F56DC1" w:rsidRPr="00F56DC1" w:rsidRDefault="00000000" w:rsidP="00F56DC1">
      <w:pPr>
        <w:pStyle w:val="ListParagraph"/>
        <w:numPr>
          <w:ilvl w:val="0"/>
          <w:numId w:val="10"/>
        </w:numPr>
        <w:spacing w:before="120" w:after="80"/>
        <w:rPr>
          <w:rFonts w:ascii="Calibri" w:hAnsi="Calibri"/>
          <w:b/>
        </w:rPr>
      </w:pPr>
      <w:r w:rsidRPr="00F56DC1">
        <w:rPr>
          <w:rFonts w:ascii="Calibri" w:hAnsi="Calibri"/>
          <w:b/>
        </w:rPr>
        <w:t xml:space="preserve">Medical Coding Standards: ICD-10, CPT, </w:t>
      </w:r>
      <w:proofErr w:type="spellStart"/>
      <w:r w:rsidRPr="00F56DC1">
        <w:rPr>
          <w:rFonts w:ascii="Calibri" w:hAnsi="Calibri"/>
          <w:b/>
        </w:rPr>
        <w:t>RxNorm</w:t>
      </w:r>
      <w:proofErr w:type="spellEnd"/>
      <w:r w:rsidRPr="00F56DC1">
        <w:rPr>
          <w:rFonts w:ascii="Calibri" w:hAnsi="Calibri"/>
          <w:b/>
        </w:rPr>
        <w:t>, and FHIR</w:t>
      </w:r>
    </w:p>
    <w:p w14:paraId="50DEFA61" w14:textId="24D7E4B6" w:rsidR="00D01ACA" w:rsidRDefault="00000000" w:rsidP="00F56DC1">
      <w:pPr>
        <w:pStyle w:val="ListParagraph"/>
        <w:spacing w:before="120" w:after="80"/>
        <w:jc w:val="both"/>
      </w:pPr>
      <w:r w:rsidRPr="00F56DC1">
        <w:rPr>
          <w:rFonts w:ascii="Calibri" w:hAnsi="Calibri"/>
        </w:rPr>
        <w:t xml:space="preserve">Interoperability in healthcare depends on everyone using the same vocabulary. ICD-10 encodes diagnoses and is the basis for insurance billing, epidemiological reporting, and EHR records. CPT codes encode clinical procedures. RxNorm normalizes drug names — mapping brand names, generics, and multi-ingredient combinations to a canonical RxCUI identifier. FHIR (Fast Healthcare Interoperability Resources) is the modern standard for exchanging EHR data via RESTful APIs, enabling systems built by different vendors to share patient records without custom integrations. The course explained why these standards exist: fragmented data across hospital systems directly harms care coordination and epidemiological research. In MedAssist, </w:t>
      </w:r>
      <w:r w:rsidRPr="00F56DC1">
        <w:rPr>
          <w:rFonts w:ascii="Calibri" w:hAnsi="Calibri"/>
        </w:rPr>
        <w:lastRenderedPageBreak/>
        <w:t>medication lookups and tablet recommendations go through RxNorm for standardized drug identification, and drug adverse event queries use OpenFDA by NDC/RxCUI. Seeing these standards integrated into a real working product made them concrete rather than theoretical.</w:t>
      </w:r>
    </w:p>
    <w:p w14:paraId="15382B0A" w14:textId="77777777" w:rsidR="00D01ACA" w:rsidRDefault="00000000">
      <w:pPr>
        <w:spacing w:before="200" w:after="80"/>
      </w:pPr>
      <w:r>
        <w:rPr>
          <w:rFonts w:ascii="Calibri" w:hAnsi="Calibri"/>
          <w:b/>
          <w:color w:val="1F497D"/>
          <w:sz w:val="26"/>
        </w:rPr>
        <w:t>Section 2 — Three Concepts Learned from Labs and Technical Work</w:t>
      </w:r>
    </w:p>
    <w:p w14:paraId="5558332D" w14:textId="33B01ABB" w:rsidR="00F56DC1" w:rsidRPr="00F56DC1" w:rsidRDefault="00000000" w:rsidP="00F56DC1">
      <w:pPr>
        <w:pStyle w:val="ListParagraph"/>
        <w:numPr>
          <w:ilvl w:val="0"/>
          <w:numId w:val="11"/>
        </w:numPr>
        <w:spacing w:before="120" w:after="80"/>
        <w:rPr>
          <w:rFonts w:ascii="Calibri" w:hAnsi="Calibri"/>
          <w:b/>
        </w:rPr>
      </w:pPr>
      <w:r w:rsidRPr="00F56DC1">
        <w:rPr>
          <w:rFonts w:ascii="Calibri" w:hAnsi="Calibri"/>
          <w:b/>
        </w:rPr>
        <w:t>Government Healthcare APIs and Open Data (OpenFDA and RxNorm)</w:t>
      </w:r>
    </w:p>
    <w:p w14:paraId="26D7E345" w14:textId="029B75ED" w:rsidR="00D01ACA" w:rsidRDefault="00000000" w:rsidP="00F56DC1">
      <w:pPr>
        <w:pStyle w:val="ListParagraph"/>
        <w:spacing w:before="120" w:after="80"/>
        <w:jc w:val="both"/>
      </w:pPr>
      <w:r w:rsidRPr="00F56DC1">
        <w:rPr>
          <w:rFonts w:ascii="Calibri" w:hAnsi="Calibri"/>
        </w:rPr>
        <w:t>The labs introduced us to production-grade, freely accessible medical databases maintained by the US government. OpenFDA exposes drug labels, adverse event reports, and recall databases at 240 requests per minute with no API key — making it possible to verify medication safety and look up adverse events without any proprietary subscription. RxNorm provides drug name normalization, mapping brand names, generics, and multi-ingredient combinations to a canonical RxCUI identifier so different systems can consistently refer to the same drug. Hands-on use showed how these APIs can substitute for expensive proprietary clinical databases, and how to handle their rate limits, inconsistent schemas, and partial data gracefully. Building real LLM tool-calling agents around these APIs — rather than just reading about them — was the most impactful part of the lab experience.</w:t>
      </w:r>
    </w:p>
    <w:p w14:paraId="3FB0F78B" w14:textId="031567C4" w:rsidR="00F56DC1" w:rsidRPr="00F56DC1" w:rsidRDefault="00000000" w:rsidP="00F56DC1">
      <w:pPr>
        <w:pStyle w:val="ListParagraph"/>
        <w:numPr>
          <w:ilvl w:val="0"/>
          <w:numId w:val="11"/>
        </w:numPr>
        <w:spacing w:before="120" w:after="80"/>
        <w:rPr>
          <w:rFonts w:ascii="Calibri" w:hAnsi="Calibri"/>
          <w:b/>
        </w:rPr>
      </w:pPr>
      <w:r w:rsidRPr="00F56DC1">
        <w:rPr>
          <w:rFonts w:ascii="Calibri" w:hAnsi="Calibri"/>
          <w:b/>
        </w:rPr>
        <w:t>NLP and Vision OCR for Medical Document Processing</w:t>
      </w:r>
    </w:p>
    <w:p w14:paraId="4336903A" w14:textId="51563418" w:rsidR="00D01ACA" w:rsidRDefault="00000000" w:rsidP="00F56DC1">
      <w:pPr>
        <w:pStyle w:val="ListParagraph"/>
        <w:spacing w:before="120" w:after="80"/>
        <w:jc w:val="both"/>
      </w:pPr>
      <w:r w:rsidRPr="00F56DC1">
        <w:rPr>
          <w:rFonts w:ascii="Calibri" w:hAnsi="Calibri"/>
        </w:rPr>
        <w:t>The technical sessions highlighted how most clinical information lives in unstructured form: doctor notes, discharge summaries, and scanned lab reports. The labs covered techniques for extracting structured data — regex-based parsing, PDF text extraction, and vision-based OCR. In MedAssist we applied pdf-parse for text-based PDFs and Google Gemini 1.5 Vision for image or scanned PDFs, extracting 40+ blood parameters (name, value, unit, normal range, status) using structured JSON output prompts. The challenge of handling varied lab report formats — different column orders, handwritten values, multi-page documents — was a direct application of the robustness principles covered in the labs.</w:t>
      </w:r>
    </w:p>
    <w:p w14:paraId="7980C98D" w14:textId="5CC1206E" w:rsidR="00F56DC1" w:rsidRPr="00F56DC1" w:rsidRDefault="00000000" w:rsidP="00F56DC1">
      <w:pPr>
        <w:pStyle w:val="ListParagraph"/>
        <w:numPr>
          <w:ilvl w:val="0"/>
          <w:numId w:val="11"/>
        </w:numPr>
        <w:spacing w:before="120" w:after="80"/>
        <w:rPr>
          <w:rFonts w:ascii="Calibri" w:hAnsi="Calibri"/>
          <w:b/>
        </w:rPr>
      </w:pPr>
      <w:r w:rsidRPr="00F56DC1">
        <w:rPr>
          <w:rFonts w:ascii="Calibri" w:hAnsi="Calibri"/>
          <w:b/>
        </w:rPr>
        <w:t>Geospatial Health Data and Location-Based Services</w:t>
      </w:r>
    </w:p>
    <w:p w14:paraId="1F47E9D3" w14:textId="369FBF3A" w:rsidR="00D01ACA" w:rsidRDefault="00000000" w:rsidP="00F56DC1">
      <w:pPr>
        <w:pStyle w:val="ListParagraph"/>
        <w:spacing w:before="120" w:after="80"/>
        <w:jc w:val="both"/>
      </w:pPr>
      <w:r w:rsidRPr="00F56DC1">
        <w:rPr>
          <w:rFonts w:ascii="Calibri" w:hAnsi="Calibri"/>
        </w:rPr>
        <w:t xml:space="preserve">The labs covered how GIS is used in public health — mapping disease outbreaks, identifying underserved areas, and routing patients to appropriate facilities. We applied this using OpenStreetMap's Overpass API to query healthcare facilities (clinics, labs, hospitals, pharmacies) within a 10 km radius of the patient's location. Implementing Haversine distance sorting, a 3-mirror API fallback chain with 14-second timeouts, and 1-hour in-memory </w:t>
      </w:r>
      <w:proofErr w:type="gramStart"/>
      <w:r w:rsidRPr="00F56DC1">
        <w:rPr>
          <w:rFonts w:ascii="Calibri" w:hAnsi="Calibri"/>
        </w:rPr>
        <w:t>caching</w:t>
      </w:r>
      <w:proofErr w:type="gramEnd"/>
      <w:r w:rsidRPr="00F56DC1">
        <w:rPr>
          <w:rFonts w:ascii="Calibri" w:hAnsi="Calibri"/>
        </w:rPr>
        <w:t xml:space="preserve"> showed </w:t>
      </w:r>
      <w:proofErr w:type="gramStart"/>
      <w:r w:rsidRPr="00F56DC1">
        <w:rPr>
          <w:rFonts w:ascii="Calibri" w:hAnsi="Calibri"/>
        </w:rPr>
        <w:t>how even</w:t>
      </w:r>
      <w:proofErr w:type="gramEnd"/>
      <w:r w:rsidRPr="00F56DC1">
        <w:rPr>
          <w:rFonts w:ascii="Calibri" w:hAnsi="Calibri"/>
        </w:rPr>
        <w:t xml:space="preserve"> 'simple' location features require resilient engineering when the underlying data source is a community-run service rather than a commercial provider with SLA guarantees.</w:t>
      </w:r>
    </w:p>
    <w:p w14:paraId="24E1F495" w14:textId="77777777" w:rsidR="00D01ACA" w:rsidRDefault="00000000">
      <w:pPr>
        <w:spacing w:before="200" w:after="80"/>
      </w:pPr>
      <w:r>
        <w:rPr>
          <w:rFonts w:ascii="Calibri" w:hAnsi="Calibri"/>
          <w:b/>
          <w:color w:val="1F497D"/>
          <w:sz w:val="26"/>
        </w:rPr>
        <w:t>Section 3 — Three Concepts Learned from Project Work</w:t>
      </w:r>
    </w:p>
    <w:p w14:paraId="782F45D6" w14:textId="48970C9E" w:rsidR="00F56DC1" w:rsidRPr="00F56DC1" w:rsidRDefault="00000000" w:rsidP="00F56DC1">
      <w:pPr>
        <w:pStyle w:val="ListParagraph"/>
        <w:numPr>
          <w:ilvl w:val="0"/>
          <w:numId w:val="12"/>
        </w:numPr>
        <w:spacing w:before="120" w:after="80"/>
        <w:rPr>
          <w:rFonts w:ascii="Calibri" w:hAnsi="Calibri"/>
          <w:b/>
        </w:rPr>
      </w:pPr>
      <w:r w:rsidRPr="00F56DC1">
        <w:rPr>
          <w:rFonts w:ascii="Calibri" w:hAnsi="Calibri"/>
          <w:b/>
        </w:rPr>
        <w:t>Multi-LLM Ensemble Architecture with Consensus Judging</w:t>
      </w:r>
    </w:p>
    <w:p w14:paraId="0B70C310" w14:textId="2C9D757E" w:rsidR="00D01ACA" w:rsidRDefault="00000000" w:rsidP="00F56DC1">
      <w:pPr>
        <w:pStyle w:val="ListParagraph"/>
        <w:spacing w:before="120" w:after="80"/>
        <w:jc w:val="both"/>
      </w:pPr>
      <w:r w:rsidRPr="00F56DC1">
        <w:rPr>
          <w:rFonts w:ascii="Calibri" w:hAnsi="Calibri"/>
        </w:rPr>
        <w:t xml:space="preserve">The most significant technical concept I internalized building MedAssist was that single-model LLM inference is unreliable for high-stakes medical domains. We built an ensemble runner that dispatches identical medical prompts to multiple free providers (SambaNova Llama 3.3 70B, GitHub Models GPT-4o mini, OpenRouter) in parallel using Promise.allSettled(), then uses OpenAI GPT-4o as a consensus judge to merge outputs with task-specific strategies. For drug </w:t>
      </w:r>
      <w:r w:rsidRPr="00F56DC1">
        <w:rPr>
          <w:rFonts w:ascii="Calibri" w:hAnsi="Calibri"/>
        </w:rPr>
        <w:lastRenderedPageBreak/>
        <w:t>interactions, the system uses the MORE SEVERE rating when agents disagree. For blood report medical analysis, parallel outputs are merged conservatively — a parameter is flagged abnormal if any agent raises concern, rather than requiring full consensus, prioritizing patient safety over false reassurance. This architecture meaningfully reduces hallucination risk compared to single-call inference and is the approach I would carry into any future medical AI project.</w:t>
      </w:r>
    </w:p>
    <w:p w14:paraId="3BF97585" w14:textId="6C1E475B" w:rsidR="00F56DC1" w:rsidRPr="00F56DC1" w:rsidRDefault="00000000" w:rsidP="00F56DC1">
      <w:pPr>
        <w:pStyle w:val="ListParagraph"/>
        <w:numPr>
          <w:ilvl w:val="0"/>
          <w:numId w:val="12"/>
        </w:numPr>
        <w:spacing w:before="120" w:after="80"/>
        <w:rPr>
          <w:rFonts w:ascii="Calibri" w:hAnsi="Calibri"/>
          <w:b/>
        </w:rPr>
      </w:pPr>
      <w:r w:rsidRPr="00F56DC1">
        <w:rPr>
          <w:rFonts w:ascii="Calibri" w:hAnsi="Calibri"/>
          <w:b/>
        </w:rPr>
        <w:t>Vision AI for Structured Medical Document Extraction</w:t>
      </w:r>
    </w:p>
    <w:p w14:paraId="7FF7E27F" w14:textId="43AA2E31" w:rsidR="00D01ACA" w:rsidRDefault="00000000" w:rsidP="00F56DC1">
      <w:pPr>
        <w:pStyle w:val="ListParagraph"/>
        <w:spacing w:before="120" w:after="80"/>
        <w:jc w:val="both"/>
      </w:pPr>
      <w:r w:rsidRPr="00F56DC1">
        <w:rPr>
          <w:rFonts w:ascii="Calibri" w:hAnsi="Calibri"/>
        </w:rPr>
        <w:t>Integrating Gemini 1.5 Vision for blood report OCR taught me how vision-language models handle structured document understanding differently from conversational chat. The prompt must describe the expected output schema precisely — 40+ parameter names, value, unit, normal range, status — and the model must be explicitly instructed to handle missing values, partial rows, and non-standard units gracefully rather than hallucinating plausible values. The biggest learning: OCR accuracy for medical documents depends heavily on prompt engineering, not just model capability. A well-structured schema prompt with explicit null-handling instructions outperformed generic extraction prompts significantly.</w:t>
      </w:r>
    </w:p>
    <w:p w14:paraId="502A9F52" w14:textId="77777777" w:rsidR="00F56DC1" w:rsidRDefault="00000000" w:rsidP="00F56DC1">
      <w:pPr>
        <w:pStyle w:val="ListParagraph"/>
        <w:numPr>
          <w:ilvl w:val="0"/>
          <w:numId w:val="12"/>
        </w:numPr>
        <w:spacing w:before="120" w:after="80"/>
        <w:rPr>
          <w:rFonts w:ascii="Calibri" w:hAnsi="Calibri"/>
          <w:b/>
        </w:rPr>
      </w:pPr>
      <w:r w:rsidRPr="00F56DC1">
        <w:rPr>
          <w:rFonts w:ascii="Calibri" w:hAnsi="Calibri"/>
          <w:b/>
        </w:rPr>
        <w:t>Evidence-Based Clinical Risk Scoring Algorithms</w:t>
      </w:r>
    </w:p>
    <w:p w14:paraId="63B93059" w14:textId="6CCB5938" w:rsidR="00D01ACA" w:rsidRPr="00F56DC1" w:rsidRDefault="00000000" w:rsidP="00F56DC1">
      <w:pPr>
        <w:pStyle w:val="ListParagraph"/>
        <w:spacing w:before="120" w:after="80"/>
        <w:jc w:val="both"/>
        <w:rPr>
          <w:rFonts w:ascii="Calibri" w:hAnsi="Calibri"/>
          <w:b/>
        </w:rPr>
      </w:pPr>
      <w:r w:rsidRPr="00F56DC1">
        <w:rPr>
          <w:rFonts w:ascii="Calibri" w:hAnsi="Calibri"/>
        </w:rPr>
        <w:t>Implementing Framingham cardiovascular, FINDRISC diabetes, CKD-EPI kidney function, and Child-Pugh liver scoring required reading primary medical literature and clinical guidelines — not just technical documentation. These formulas encode decades of epidemiological research into numerical risk estimates derived from large patient cohorts. Combining the four scores into a composite 0-100 health index and mapping it to urgency levels (routine / follow-up soon / urgent / emergency) bridged clinical medicine and software engineering in a way no other part of the project did. It also reinforced that medical AI must be grounded in validated clinical science, not just model output.</w:t>
      </w:r>
    </w:p>
    <w:sectPr w:rsidR="00D01ACA" w:rsidRPr="00F56DC1" w:rsidSect="00F56DC1">
      <w:footerReference w:type="default" r:id="rId8"/>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6A470" w14:textId="77777777" w:rsidR="00547C60" w:rsidRDefault="00547C60" w:rsidP="001470C0">
      <w:pPr>
        <w:spacing w:after="0" w:line="240" w:lineRule="auto"/>
      </w:pPr>
      <w:r>
        <w:separator/>
      </w:r>
    </w:p>
  </w:endnote>
  <w:endnote w:type="continuationSeparator" w:id="0">
    <w:p w14:paraId="40FCFA7E" w14:textId="77777777" w:rsidR="00547C60" w:rsidRDefault="00547C60" w:rsidP="00147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727780"/>
      <w:docPartObj>
        <w:docPartGallery w:val="Page Numbers (Bottom of Page)"/>
        <w:docPartUnique/>
      </w:docPartObj>
    </w:sdtPr>
    <w:sdtEndPr>
      <w:rPr>
        <w:color w:val="7F7F7F" w:themeColor="background1" w:themeShade="7F"/>
        <w:spacing w:val="60"/>
      </w:rPr>
    </w:sdtEndPr>
    <w:sdtContent>
      <w:p w14:paraId="5C286526" w14:textId="49F92257" w:rsidR="001470C0" w:rsidRDefault="001470C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D48BED6" w14:textId="77777777" w:rsidR="001470C0" w:rsidRDefault="001470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B7C1F" w14:textId="77777777" w:rsidR="00547C60" w:rsidRDefault="00547C60" w:rsidP="001470C0">
      <w:pPr>
        <w:spacing w:after="0" w:line="240" w:lineRule="auto"/>
      </w:pPr>
      <w:r>
        <w:separator/>
      </w:r>
    </w:p>
  </w:footnote>
  <w:footnote w:type="continuationSeparator" w:id="0">
    <w:p w14:paraId="726DA0E8" w14:textId="77777777" w:rsidR="00547C60" w:rsidRDefault="00547C60" w:rsidP="001470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606643"/>
    <w:multiLevelType w:val="hybridMultilevel"/>
    <w:tmpl w:val="4A446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04186B"/>
    <w:multiLevelType w:val="hybridMultilevel"/>
    <w:tmpl w:val="3730B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4B36BB"/>
    <w:multiLevelType w:val="hybridMultilevel"/>
    <w:tmpl w:val="D8340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7090187">
    <w:abstractNumId w:val="8"/>
  </w:num>
  <w:num w:numId="2" w16cid:durableId="1090273107">
    <w:abstractNumId w:val="6"/>
  </w:num>
  <w:num w:numId="3" w16cid:durableId="1165390659">
    <w:abstractNumId w:val="5"/>
  </w:num>
  <w:num w:numId="4" w16cid:durableId="546141727">
    <w:abstractNumId w:val="4"/>
  </w:num>
  <w:num w:numId="5" w16cid:durableId="243296444">
    <w:abstractNumId w:val="7"/>
  </w:num>
  <w:num w:numId="6" w16cid:durableId="1848131480">
    <w:abstractNumId w:val="3"/>
  </w:num>
  <w:num w:numId="7" w16cid:durableId="1512842155">
    <w:abstractNumId w:val="2"/>
  </w:num>
  <w:num w:numId="8" w16cid:durableId="1592468163">
    <w:abstractNumId w:val="1"/>
  </w:num>
  <w:num w:numId="9" w16cid:durableId="715197121">
    <w:abstractNumId w:val="0"/>
  </w:num>
  <w:num w:numId="10" w16cid:durableId="1840120917">
    <w:abstractNumId w:val="11"/>
  </w:num>
  <w:num w:numId="11" w16cid:durableId="90248470">
    <w:abstractNumId w:val="9"/>
  </w:num>
  <w:num w:numId="12" w16cid:durableId="3139954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0C0"/>
    <w:rsid w:val="0015074B"/>
    <w:rsid w:val="00162E89"/>
    <w:rsid w:val="0029639D"/>
    <w:rsid w:val="00326F90"/>
    <w:rsid w:val="00547C60"/>
    <w:rsid w:val="00AA1D8D"/>
    <w:rsid w:val="00B47730"/>
    <w:rsid w:val="00CB0664"/>
    <w:rsid w:val="00D01ACA"/>
    <w:rsid w:val="00F56D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04B23"/>
  <w14:defaultImageDpi w14:val="300"/>
  <w15:docId w15:val="{A5B958D9-8CB7-4177-BB8B-FF57BBFFC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1257</Words>
  <Characters>7168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Bhamare</cp:lastModifiedBy>
  <cp:revision>3</cp:revision>
  <dcterms:created xsi:type="dcterms:W3CDTF">2013-12-23T23:15:00Z</dcterms:created>
  <dcterms:modified xsi:type="dcterms:W3CDTF">2026-05-04T20:24:00Z</dcterms:modified>
  <cp:category/>
</cp:coreProperties>
</file>