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file note</w:t>
      </w:r>
    </w:p>
    <w:p>
      <w:r>
        <w:rPr>
          <w:b/>
        </w:rPr>
        <w:t>Claim: KM-2023-0417   Insured: Meridian Cold Chain   Coverage: Auto Liability</w:t>
      </w:r>
    </w:p>
    <w:p>
      <w:r>
        <w:t>Date of note: 2025-09-30. Adjuster: R. Okonjo, Kestrel Mutual.</w:t>
      </w:r>
    </w:p>
    <w:p>
      <w:pPr>
        <w:pStyle w:val="Heading2"/>
      </w:pPr>
      <w:r>
        <w:t>Position</w:t>
      </w:r>
    </w:p>
    <w:p>
      <w:r>
        <w:t>Reserve increased to $170,000 following receipt of the plaintiff's demand and the treating physician's report. The earlier reserve of $36,850 was set before suit was filed and reflected an assumption of soft-tissue injury only. That assumption no longer holds.</w:t>
      </w:r>
    </w:p>
    <w:p>
      <w:r>
        <w:t>Liability is not seriously in dispute. The insured unit crossed the centre line. Exposure is a question of damages, not fault.</w:t>
      </w:r>
    </w:p>
    <w:p>
      <w:pPr>
        <w:pStyle w:val="Heading2"/>
      </w:pPr>
      <w:r>
        <w:t>Reserve history</w:t>
      </w:r>
    </w:p>
    <w:p>
      <w:r>
        <w:t>2023-11-15: $36,850 initial. 2024-08-02: $58,000. 2025-09-30: $170,000 current.</w:t>
      </w:r>
    </w:p>
    <w:p>
      <w:pPr>
        <w:pStyle w:val="Heading2"/>
      </w:pPr>
      <w:r>
        <w:t>Next steps</w:t>
      </w:r>
    </w:p>
    <w:p>
      <w:r>
        <w:t>Mediation scheduled Q2 2026. Recommend authority to $200,000.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