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Casualty underwriting checklist - motor carrier accounts</w:t>
      </w:r>
    </w:p>
    <w:p>
      <w:r>
        <w:t>Applied to every submission before a coverage decision. Each rule produces a finding or an explicit pass.</w:t>
      </w:r>
    </w:p>
    <w:p>
      <w:pPr>
        <w:pStyle w:val="Heading2"/>
      </w:pPr>
      <w:r>
        <w:t>R1 - Adjuster note required on severity claims</w:t>
      </w:r>
    </w:p>
    <w:p>
      <w:r>
        <w:t>Any claim with incurred value of $100,000 or more must have an adjuster note in the file. A severity claim without a note cannot be evaluated and must be referred.</w:t>
      </w:r>
    </w:p>
    <w:p>
      <w:pPr>
        <w:pStyle w:val="Heading2"/>
      </w:pPr>
      <w:r>
        <w:t>R2 - Stale open claims</w:t>
      </w:r>
    </w:p>
    <w:p>
      <w:r>
        <w:t>Any claim open more than 36 months from date of loss is flagged for reserve adequacy review.</w:t>
      </w:r>
    </w:p>
    <w:p>
      <w:pPr>
        <w:pStyle w:val="Heading2"/>
      </w:pPr>
      <w:r>
        <w:t>R3 - Loss ratio referral</w:t>
      </w:r>
    </w:p>
    <w:p>
      <w:r>
        <w:t>Any policy year with incurred losses exceeding 60% of earned premium is referred to a senior underwriter.</w:t>
      </w:r>
    </w:p>
    <w:p>
      <w:pPr>
        <w:pStyle w:val="Heading2"/>
      </w:pPr>
      <w:r>
        <w:t>R4 - Policy period integrity</w:t>
      </w:r>
    </w:p>
    <w:p>
      <w:r>
        <w:t>A claim whose date of loss falls outside the policy period it is reported under must be queried with the carrier before the figures are relied on.</w:t>
      </w:r>
    </w:p>
    <w:p>
      <w:pPr>
        <w:pStyle w:val="Heading2"/>
      </w:pPr>
      <w:r>
        <w:t>R5 - Application consistency</w:t>
      </w:r>
    </w:p>
    <w:p>
      <w:r>
        <w:t>The claim counts and severity thresholds stated on the application must agree with the loss runs. Any disagreement is recorded and put to the broker.</w:t>
      </w:r>
    </w:p>
    <w:p>
      <w:pPr>
        <w:pStyle w:val="Heading2"/>
      </w:pPr>
      <w:r>
        <w:t>R6 - Dormant reserves</w:t>
      </w:r>
    </w:p>
    <w:p>
      <w:r>
        <w:t>A claim with zero paid and a non-zero reserve, open more than 24 months, is flagged for reserve review.</w:t>
      </w:r>
    </w:p>
    <w:p>
      <w:pPr>
        <w:pStyle w:val="Heading2"/>
      </w:pPr>
      <w:r>
        <w:t>R7 - Duplicate claims</w:t>
      </w:r>
    </w:p>
    <w:p>
      <w:r>
        <w:t>The same loss event must not be carried under two claim numbers. Suspected duplicates are queried before totals are relied on.</w:t>
      </w:r>
    </w:p>
    <w:p>
      <w:pPr>
        <w:pStyle w:val="Heading2"/>
      </w:pPr>
      <w:r>
        <w:t>R8 - Loss run internal consistency</w:t>
      </w:r>
    </w:p>
    <w:p>
      <w:r>
        <w:t>The total incurred stated on a loss run must equal the sum of its claim rows. A discrepancy is recorded against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