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Claim file note</w:t>
      </w:r>
    </w:p>
    <w:p>
      <w:r>
        <w:rPr>
          <w:b/>
        </w:rPr>
        <w:t>Claim: KM-2023-0588   Insured: Meridian Cold Chain   Coverage: Motor Truck Cargo</w:t>
      </w:r>
    </w:p>
    <w:p>
      <w:r>
        <w:t>Date of note: 2024-07-01. Adjuster: R. Okonjo, Kestrel Mutual.</w:t>
      </w:r>
    </w:p>
    <w:p>
      <w:pPr>
        <w:pStyle w:val="Heading2"/>
      </w:pPr>
      <w:r>
        <w:t>Position</w:t>
      </w:r>
    </w:p>
    <w:p>
      <w:r>
        <w:t>Temperature excursion on a pharmaceutical load. The consignee condemned the entire shipment on arrival. Salvage value is nil because the product cannot re-enter the cold chain once excursion is documented.</w:t>
      </w:r>
    </w:p>
    <w:p>
      <w:r>
        <w:t>Date of loss 2024-02-27 falls within the 2023 policy period. The claim was reported on 2024-06-14, after the original loss run for that year had been issued, and therefore does not appear on it.</w:t>
      </w:r>
    </w:p>
    <w:p>
      <w:pPr>
        <w:pStyle w:val="Heading2"/>
      </w:pPr>
      <w:r>
        <w:t>Reserve</w:t>
      </w:r>
    </w:p>
    <w:p>
      <w:r>
        <w:t>$224,500, being the invoiced value of the load. Subrogation against the reefer unit manufacturer is under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