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Submission cover note</w:t>
      </w:r>
    </w:p>
    <w:p>
      <w:r>
        <w:rPr>
          <w:b/>
        </w:rPr>
        <w:t>From: Ardent Risk Partners   To: Underwriting   Date: 2026-01-28</w:t>
      </w:r>
    </w:p>
    <w:p>
      <w:r>
        <w:t>Please find attached the renewal submission for Meridian Cold Chain, effective 2026-04-01.</w:t>
      </w:r>
    </w:p>
    <w:p>
      <w:r>
        <w:t>Enclosed: loss runs for policy years 2021 through 2024 valued January 2026, a reissued 2023 loss run, three adjuster notes, and the signed application.</w:t>
      </w:r>
    </w:p>
    <w:p>
      <w:r>
        <w:t>Two points the underwriter should have in front of them. First, the 2023 loss run has been reissued and the incurred figures differ materially from the version circulated in 2024; the reissue is the one to work from. Second, the client's application was prepared in December before the reissued runs arrived, so the loss summary in it reflects the earlier figures.</w:t>
      </w:r>
    </w:p>
    <w:p>
      <w:r>
        <w:t>The client is seeking terms at or below expiring. Happy to discuss.</w:t>
      </w:r>
    </w:p>
    <w:p>
      <w:r>
        <w:t>Regards, D. Whitfield, Account Executive, Ardent Risk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