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490DD" w14:textId="2627867D" w:rsidR="003F4A37" w:rsidRDefault="00000000">
      <w:pPr>
        <w:pStyle w:val="Title"/>
      </w:pPr>
      <w:r>
        <w:t>Disability Informed Specialist AI</w:t>
      </w:r>
      <w:r w:rsidR="008A0569">
        <w:t xml:space="preserve"> </w:t>
      </w:r>
      <w:r>
        <w:t>in Employment Assessments</w:t>
      </w:r>
    </w:p>
    <w:p w14:paraId="64D6413B" w14:textId="77777777" w:rsidR="003F4A37" w:rsidRDefault="00000000">
      <w:pPr>
        <w:spacing w:after="120" w:line="240" w:lineRule="auto"/>
      </w:pPr>
      <w:r>
        <w:t>Point–Counterpoint prospectus</w:t>
      </w:r>
    </w:p>
    <w:p w14:paraId="0A915133" w14:textId="77777777" w:rsidR="003F4A37" w:rsidRDefault="00000000">
      <w:pPr>
        <w:pStyle w:val="Heading1"/>
      </w:pPr>
      <w:r>
        <w:t>The proposed debate</w:t>
      </w:r>
    </w:p>
    <w:p w14:paraId="465A4067" w14:textId="77777777" w:rsidR="00E11DC2" w:rsidRDefault="002A0F86">
      <w:r w:rsidRPr="002A0F86">
        <w:t>Should employers supplement general AI employment assessment systems with disability-informed specialist components when training data inadequately capture disability-related differences, accessibility barriers, and accommodations, even when the dataset includes disabled workers? The focus is on systems employers use to assess applicants’ suitability for a job, evaluate employees’ performance, and decide which employees to retain during workforce reductions. Worker-chosen assistive technologies are outside the scope of this debate.</w:t>
      </w:r>
    </w:p>
    <w:p w14:paraId="79A8D191" w14:textId="3694CCEC" w:rsidR="003F4A37" w:rsidRDefault="00000000">
      <w:r>
        <w:t xml:space="preserve">General-population training data can include disabled workers while underrepresenting their varied circumstances and omitting accessibility barriers or accommodations that affected performance (Buyl et al., 2022; Fisher et al., 2024). Models may then interpret disability-related differences as limited capability (Glazko et al., 2024). Organizational expectations of an ideal worker can also enter assessment criteria </w:t>
      </w:r>
      <w:r w:rsidR="0093345C">
        <w:t xml:space="preserve">through historical datasets </w:t>
      </w:r>
      <w:r>
        <w:t xml:space="preserve">(Acker, 2006; Barocas &amp; Selbst, 2016; Foster &amp; Wass, 2013). </w:t>
      </w:r>
      <w:r w:rsidR="006D3C45" w:rsidRPr="006D3C45">
        <w:t xml:space="preserve">The social model locates disability </w:t>
      </w:r>
      <w:proofErr w:type="gramStart"/>
      <w:r w:rsidR="006D3C45" w:rsidRPr="006D3C45">
        <w:t>disadvantage</w:t>
      </w:r>
      <w:proofErr w:type="gramEnd"/>
      <w:r w:rsidR="006D3C45" w:rsidRPr="006D3C45">
        <w:t xml:space="preserve"> in barriers to participation, supporting the need to interpret recorded performance </w:t>
      </w:r>
      <w:proofErr w:type="gramStart"/>
      <w:r w:rsidR="006D3C45" w:rsidRPr="006D3C45">
        <w:t>in light of</w:t>
      </w:r>
      <w:proofErr w:type="gramEnd"/>
      <w:r w:rsidR="006D3C45" w:rsidRPr="006D3C45">
        <w:t xml:space="preserve"> working conditions and available accommodations (Barnes &amp; Mercer, 2005).</w:t>
      </w:r>
      <w:r>
        <w:t xml:space="preserve"> Both positions support </w:t>
      </w:r>
      <w:r w:rsidR="006B0361">
        <w:t>inclusion</w:t>
      </w:r>
      <w:r w:rsidR="00B83983">
        <w:t>,</w:t>
      </w:r>
      <w:r w:rsidR="006B0361">
        <w:t xml:space="preserve"> but</w:t>
      </w:r>
      <w:r>
        <w:t xml:space="preserve"> they disagree about how AI should address these data limitations.</w:t>
      </w:r>
    </w:p>
    <w:p w14:paraId="5C7CAAE0" w14:textId="6D61E47D" w:rsidR="003F4A37" w:rsidRDefault="00C242F1">
      <w:pPr>
        <w:pStyle w:val="Heading1"/>
      </w:pPr>
      <w:r>
        <w:t>Proposed point</w:t>
      </w:r>
    </w:p>
    <w:p w14:paraId="0549E6C8" w14:textId="77777777" w:rsidR="00C72CA2" w:rsidRPr="00C72CA2" w:rsidRDefault="00C72CA2" w:rsidP="00C72CA2"/>
    <w:p w14:paraId="0733E180" w14:textId="1CE96217" w:rsidR="00250D03" w:rsidRDefault="00000000" w:rsidP="007836DA">
      <w:r>
        <w:t xml:space="preserve">I would argue that disability-informed specialist components can supply knowledge missing from general-population training data and should be used when validation demonstrates that they correct assessment errors. They could flag unreliable evidence or trigger accessible reassessment while a general system remains in use. Glazko et al. (2024) found that disability-aware </w:t>
      </w:r>
      <w:r>
        <w:lastRenderedPageBreak/>
        <w:t xml:space="preserve">customization reduced résumé-screening bias, with varying improvements across disability conditions. </w:t>
      </w:r>
      <w:r w:rsidR="00997BEE" w:rsidRPr="00997BEE">
        <w:t xml:space="preserve">These findings </w:t>
      </w:r>
      <w:r w:rsidR="00D22C10">
        <w:t xml:space="preserve">support testing disability-informed specialist components, although the study evaluated GPT customization </w:t>
      </w:r>
      <w:r w:rsidR="00A04F0F">
        <w:t>but not</w:t>
      </w:r>
      <w:r w:rsidR="00D22C10">
        <w:t xml:space="preserve"> components that supplement</w:t>
      </w:r>
      <w:r w:rsidR="00997BEE" w:rsidRPr="00997BEE">
        <w:t xml:space="preserve"> a general assessment system (Glazko et al., 2024). My proposed approach would require safeguards for sensitive disability information and assessments based on individuals’ job-relevant skills and abilities (Fisher et al., 2024). It would also require a process through which errors identified by the specialist component can lead to changes in the final assessment.</w:t>
      </w:r>
    </w:p>
    <w:p w14:paraId="646A3CFE" w14:textId="4245B4BF" w:rsidR="003F4A37" w:rsidRDefault="007836DA" w:rsidP="007836DA">
      <w:r>
        <w:rPr>
          <w:b/>
        </w:rPr>
        <w:t>Proposed counterpoint</w:t>
      </w:r>
    </w:p>
    <w:p w14:paraId="5AB2DB5A" w14:textId="05D90A3A" w:rsidR="003F4A37" w:rsidRDefault="00000000">
      <w:r>
        <w:t xml:space="preserve">The counterpoint would argue that </w:t>
      </w:r>
      <w:r w:rsidR="004331AA">
        <w:t>the primary assessment process should address gaps in general-population training data</w:t>
      </w:r>
      <w:r>
        <w:t xml:space="preserve">, with accessible alternatives when AI remains unreliable. A separate component may preserve inappropriate standards and require another process for fair consideration. </w:t>
      </w:r>
      <w:r w:rsidR="00BD70F3">
        <w:t>Disclosure through disability</w:t>
      </w:r>
      <w:r w:rsidR="00972143">
        <w:t>-informed AI</w:t>
      </w:r>
      <w:r w:rsidR="00BD70F3">
        <w:t xml:space="preserve"> can</w:t>
      </w:r>
      <w:r>
        <w:t xml:space="preserve"> </w:t>
      </w:r>
      <w:r w:rsidR="00AE006B">
        <w:t xml:space="preserve">also </w:t>
      </w:r>
      <w:r>
        <w:t>expose workers to unfavorable treatment (von Schrader et al., 2014; Whittaker et al., 2019); classification may obscure individual circumstances (Whittaker et al., 2019), and separate routes raise comparability concerns. This position supports accommodations and disability expertise while challenging whether another AI component is justified, even when it improves selected outputs.</w:t>
      </w:r>
    </w:p>
    <w:p w14:paraId="026180DC" w14:textId="71992BFF" w:rsidR="002D274B" w:rsidRDefault="00000000" w:rsidP="002D274B">
      <w:pPr>
        <w:pStyle w:val="Heading1"/>
      </w:pPr>
      <w:proofErr w:type="gramStart"/>
      <w:r>
        <w:t>The disagreement</w:t>
      </w:r>
      <w:proofErr w:type="gramEnd"/>
      <w:r>
        <w:t xml:space="preserve"> and contribution</w:t>
      </w:r>
    </w:p>
    <w:p w14:paraId="775B5F6F" w14:textId="77777777" w:rsidR="0017774B" w:rsidRPr="0017774B" w:rsidRDefault="0017774B" w:rsidP="0017774B"/>
    <w:p w14:paraId="03EF864F" w14:textId="5A56FFD3" w:rsidR="003F4A37" w:rsidRDefault="00000000">
      <w:r>
        <w:t xml:space="preserve">The disagreement concerns where disability-specific knowledge should enter an assessment: through improvements to the general system or a specialist component that corrects its limitations. For </w:t>
      </w:r>
      <w:r w:rsidR="00AA11C1">
        <w:t xml:space="preserve">example, </w:t>
      </w:r>
      <w:r w:rsidR="000A4E1F">
        <w:t xml:space="preserve">for </w:t>
      </w:r>
      <w:r>
        <w:t>an applicant whose speech is transcribed unreliably (De Russis &amp; Corno, 2019), the point supports specialist detection and reassessment; the counterpoint requires the primary process to establish reliability before assessment</w:t>
      </w:r>
      <w:r w:rsidR="000A4E1F">
        <w:t xml:space="preserve"> for </w:t>
      </w:r>
      <w:r w:rsidR="008719C7">
        <w:t xml:space="preserve">speech </w:t>
      </w:r>
      <w:r w:rsidR="00AB6F75">
        <w:t>impediments</w:t>
      </w:r>
      <w:r>
        <w:t>. The exchange would examine who must identify errors, what workers must</w:t>
      </w:r>
      <w:r w:rsidR="00600A1E">
        <w:t xml:space="preserve"> </w:t>
      </w:r>
      <w:r>
        <w:t xml:space="preserve">disclose, and who can change </w:t>
      </w:r>
      <w:r w:rsidR="00330066">
        <w:t>AI-based decisions</w:t>
      </w:r>
      <w:r>
        <w:t xml:space="preserve">. </w:t>
      </w:r>
      <w:r>
        <w:lastRenderedPageBreak/>
        <w:t>Its organizational behavior contribution concerns managerial judgments of capability and worker voice. Recruitment provides the strongest evidence; evaluation and redundancy remain theoretical extensions.</w:t>
      </w:r>
    </w:p>
    <w:p w14:paraId="170026F2" w14:textId="77777777" w:rsidR="003F4A37" w:rsidRDefault="00000000">
      <w:pPr>
        <w:pStyle w:val="Heading1"/>
      </w:pPr>
      <w:r>
        <w:t>Format and contributors</w:t>
      </w:r>
    </w:p>
    <w:p w14:paraId="39D16944" w14:textId="77777777" w:rsidR="00B209C9" w:rsidRPr="00B209C9" w:rsidRDefault="00B209C9" w:rsidP="00B209C9"/>
    <w:p w14:paraId="7BE2C5C3" w14:textId="5FD8664D" w:rsidR="003F4A37" w:rsidRDefault="00000000">
      <w:r>
        <w:t xml:space="preserve">I propose two separately authored contributions using published research and theoretical reasoning, without new empirical data. </w:t>
      </w:r>
      <w:r w:rsidR="00AE7E47">
        <w:t xml:space="preserve">However, if the editor and other authors believe one paper may be better, I am open to that. </w:t>
      </w:r>
      <w:r>
        <w:t xml:space="preserve">I would write the point; </w:t>
      </w:r>
      <w:r w:rsidR="00AB6F75">
        <w:t>I have not yet identified a counterpoint contributor</w:t>
      </w:r>
      <w:r w:rsidR="00532F03">
        <w:t xml:space="preserve"> but have made suggestions in the cover letter</w:t>
      </w:r>
      <w:r>
        <w:t xml:space="preserve">. I welcome editorial assistance </w:t>
      </w:r>
      <w:r w:rsidR="00AB6F75">
        <w:t xml:space="preserve">in </w:t>
      </w:r>
      <w:r>
        <w:t>identifying contributor</w:t>
      </w:r>
      <w:r w:rsidR="009311E3">
        <w:t>(</w:t>
      </w:r>
      <w:r>
        <w:t>s</w:t>
      </w:r>
      <w:r w:rsidR="009311E3">
        <w:t>)</w:t>
      </w:r>
      <w:r>
        <w:t>. The exchange would identify evidence needed to resolve the disagreement.</w:t>
      </w:r>
    </w:p>
    <w:p w14:paraId="45C9BE5A" w14:textId="77777777" w:rsidR="003F4A37" w:rsidRDefault="00000000">
      <w:r>
        <w:br w:type="page"/>
      </w:r>
    </w:p>
    <w:p w14:paraId="67986DEA" w14:textId="77777777" w:rsidR="003F4A37" w:rsidRDefault="00000000">
      <w:pPr>
        <w:pStyle w:val="Heading1"/>
      </w:pPr>
      <w:r>
        <w:lastRenderedPageBreak/>
        <w:t>References</w:t>
      </w:r>
    </w:p>
    <w:p w14:paraId="5DBDA770" w14:textId="77777777" w:rsidR="003F4A37" w:rsidRDefault="00000000">
      <w:pPr>
        <w:spacing w:after="160" w:line="240" w:lineRule="auto"/>
        <w:ind w:left="720" w:hanging="720"/>
      </w:pPr>
      <w:r>
        <w:t xml:space="preserve">Acker, J. (2006). Inequality regimes: Gender, class, and race in organizations. </w:t>
      </w:r>
      <w:r>
        <w:rPr>
          <w:i/>
        </w:rPr>
        <w:t>Gender &amp; Society, 20</w:t>
      </w:r>
      <w:r>
        <w:t>(4), 441–464. https://doi.org/10.1177/0891243206289499</w:t>
      </w:r>
    </w:p>
    <w:p w14:paraId="4FCD5013" w14:textId="77777777" w:rsidR="003F4A37" w:rsidRDefault="00000000">
      <w:pPr>
        <w:spacing w:after="160" w:line="240" w:lineRule="auto"/>
        <w:ind w:left="720" w:hanging="720"/>
      </w:pPr>
      <w:r>
        <w:t xml:space="preserve">Barnes, C., &amp; Mercer, G. (2005). Disability, work, and welfare: Challenging the social exclusion of disabled people. </w:t>
      </w:r>
      <w:r>
        <w:rPr>
          <w:i/>
        </w:rPr>
        <w:t>Work, Employment and Society, 19</w:t>
      </w:r>
      <w:r>
        <w:t>(3), 527–545. https://doi.org/10.1177/0950017005055669</w:t>
      </w:r>
    </w:p>
    <w:p w14:paraId="7428DE21" w14:textId="77777777" w:rsidR="003F4A37" w:rsidRDefault="00000000">
      <w:pPr>
        <w:spacing w:after="160" w:line="240" w:lineRule="auto"/>
        <w:ind w:left="720" w:hanging="720"/>
      </w:pPr>
      <w:r>
        <w:rPr/>
        <w:t xml:space="preserve">Barocas, S., &amp; Selbst, A. D. (2016). Big data’s disparate impact. </w:t>
      </w:r>
      <w:r>
        <w:rPr>
          <w:i/>
        </w:rPr>
        <w:t>California Law Review, 104</w:t>
      </w:r>
      <w:r>
        <w:rPr/>
        <w:t>(3), 671–732. https://doi.org/10.15779/Z38BG31</w:t>
      </w:r>
    </w:p>
    <w:p w14:paraId="1285C152" w14:textId="77777777" w:rsidR="003F4A37" w:rsidRDefault="00000000">
      <w:pPr>
        <w:spacing w:after="160" w:line="240" w:lineRule="auto"/>
        <w:ind w:left="720" w:hanging="720"/>
      </w:pPr>
      <w:r>
        <w:t xml:space="preserve">Buyl, M., Cociancig, C., Frattone, C., &amp; Roekens, N. (2022). Tackling algorithmic disability discrimination in the hiring process: An ethical, legal and technical analysis. In </w:t>
      </w:r>
      <w:r>
        <w:rPr>
          <w:i/>
        </w:rPr>
        <w:t>Proceedings of the 2022 ACM Conference on Fairness, Accountability, and Transparency</w:t>
      </w:r>
      <w:r>
        <w:t xml:space="preserve"> (pp. 1071–1082). Association for Computing Machinery. https://doi.org/10.1145/3531146.3533169</w:t>
      </w:r>
    </w:p>
    <w:p w14:paraId="7428DE21" w14:textId="77777777" w:rsidR="003F4A37" w:rsidRDefault="00000000">
      <w:pPr>
        <w:spacing w:after="160" w:line="240" w:lineRule="auto"/>
        <w:ind w:left="720" w:hanging="720"/>
      </w:pPr>
      <w:r>
        <w:rPr/>
        <w:t xml:space="preserve">De Russis, L., &amp; Corno, F. (2019). On the impact of dysarthric speech on contemporary ASR cloud platforms. </w:t>
      </w:r>
      <w:r>
        <w:rPr>
          <w:i/>
        </w:rPr>
        <w:t>Journal of Reliable Intelligent Environments, 5</w:t>
      </w:r>
      <w:r>
        <w:rPr/>
        <w:t>(3), 163–172. https://doi.org/10.1007/s40860-019-00085-y</w:t>
      </w:r>
    </w:p>
    <w:p w14:paraId="30562727" w14:textId="77777777" w:rsidR="003F4A37" w:rsidRDefault="00000000">
      <w:pPr>
        <w:spacing w:after="160" w:line="240" w:lineRule="auto"/>
        <w:ind w:left="720" w:hanging="720"/>
      </w:pPr>
      <w:r>
        <w:t xml:space="preserve">Fisher, S. L., Bonaccio, S., &amp; Connelly, C. E. (2024). AI-based tools in selection: Considering the impact on applicants with disabilities. </w:t>
      </w:r>
      <w:r>
        <w:rPr>
          <w:i/>
        </w:rPr>
        <w:t>Organizational Dynamics, 53</w:t>
      </w:r>
      <w:r>
        <w:t>(1), Article 101036. https://doi.org/10.1016/j.orgdyn.2024.101036</w:t>
      </w:r>
    </w:p>
    <w:p w14:paraId="7428DE21" w14:textId="77777777" w:rsidR="003F4A37" w:rsidRDefault="00000000">
      <w:pPr>
        <w:spacing w:after="160" w:line="240" w:lineRule="auto"/>
        <w:ind w:left="720" w:hanging="720"/>
      </w:pPr>
      <w:r>
        <w:t xml:space="preserve">Foster, D., &amp; Wass, V. (2013). Disability in the labour market: An exploration of concepts of the ideal worker and organisational fit that disadvantage employees with impairments. </w:t>
      </w:r>
      <w:r>
        <w:rPr>
          <w:i/>
        </w:rPr>
        <w:t>Sociology, 47</w:t>
      </w:r>
      <w:r>
        <w:t>(4), 705–721. https://doi.org/10.1177/0038038512454245</w:t>
      </w:r>
    </w:p>
    <w:p w14:paraId="5EDE8575" w14:textId="77777777" w:rsidR="003F4A37" w:rsidRDefault="00000000">
      <w:pPr>
        <w:spacing w:after="160" w:line="240" w:lineRule="auto"/>
        <w:ind w:left="720" w:hanging="720"/>
      </w:pPr>
      <w:r>
        <w:t xml:space="preserve">Glazko, K., Mohammed, Y., Kosa, B., Potluri, V., &amp; Mankoff, J. (2024). Identifying and improving disability bias in GPT-based resume screening. In </w:t>
      </w:r>
      <w:r>
        <w:rPr>
          <w:i/>
        </w:rPr>
        <w:t>Proceedings of the 2024 ACM Conference on Fairness, Accountability, and Transparency</w:t>
      </w:r>
      <w:r>
        <w:t xml:space="preserve"> (pp. 687–700). Association for Computing Machinery. https://doi.org/10.1145/3630106.3658933</w:t>
      </w:r>
    </w:p>
    <w:p w14:paraId="19B2C1E2" w14:textId="4EFDE318" w:rsidR="003F4A37" w:rsidRDefault="005A5826">
      <w:pPr>
        <w:spacing w:after="160" w:line="240" w:lineRule="auto"/>
        <w:ind w:left="720" w:hanging="720"/>
      </w:pPr>
      <w:r w:rsidRPr="005A5826">
        <w:rPr>
          <w:lang w:val="de-DE"/>
        </w:rPr>
        <w:t>v</w:t>
      </w:r>
      <w:r w:rsidR="00000000" w:rsidRPr="005A5826">
        <w:rPr>
          <w:lang w:val="de-DE"/>
        </w:rPr>
        <w:t xml:space="preserve">on Schrader, S., Malzer, V., &amp; Bruyère, S. (2014). </w:t>
      </w:r>
      <w:r w:rsidR="00000000">
        <w:t xml:space="preserve">Perspectives on disability disclosure: The importance of employer practices and workplace climate. </w:t>
      </w:r>
      <w:r w:rsidR="00000000">
        <w:rPr>
          <w:i/>
        </w:rPr>
        <w:t>Employee Responsibilities and Rights Journal, 26</w:t>
      </w:r>
      <w:r w:rsidR="00000000">
        <w:t>(4), 237–255. https://doi.org/10.1007/s10672-013-9227-9</w:t>
      </w:r>
    </w:p>
    <w:p w14:paraId="7428DE21" w14:textId="77777777" w:rsidR="003F4A37" w:rsidRDefault="00000000">
      <w:pPr>
        <w:spacing w:after="160" w:line="240" w:lineRule="auto"/>
        <w:ind w:left="720" w:hanging="720"/>
      </w:pPr>
      <w:r>
        <w:rPr/>
        <w:t xml:space="preserve">Whittaker, M., Alper, M., Bennett, C. L., Hendren, S., Kaziunas, L., Mills, M., Morris, M. R., Rankin, J., Rogers, E., Salas, M., &amp; West, S. M. (2019). </w:t>
      </w:r>
      <w:r>
        <w:rPr>
          <w:i/>
        </w:rPr>
        <w:t>Disability, bias, and AI</w:t>
      </w:r>
      <w:r>
        <w:rPr/>
        <w:t>. AI Now Institute. https://ainowinstitute.org/wp-content/uploads/2023/04/disabilitybiasai-2019.pdf</w:t>
      </w:r>
    </w:p>
    <w:p w14:paraId="79C4AF8C" w14:textId="77777777" w:rsidR="003F4A37" w:rsidRDefault="00000000">
      <w:pPr>
        <w:pStyle w:val="Heading1"/>
      </w:pPr>
      <w:r>
        <w:t>AI use disclosure</w:t>
      </w:r>
    </w:p>
    <w:p w14:paraId="098F93C3" w14:textId="396FC659" w:rsidR="003F4A37" w:rsidRDefault="00000000">
      <w:pPr>
        <w:spacing w:line="240" w:lineRule="auto"/>
      </w:pPr>
      <w:r>
        <w:t xml:space="preserve">ChatGPT (OpenAI, October 2026) </w:t>
      </w:r>
      <w:r w:rsidR="005646C0">
        <w:t>helped structure and draft this proposal and prepare</w:t>
      </w:r>
      <w:r>
        <w:t xml:space="preserve"> the submission materials. The author retains responsibility for reviewing and verifying the final arguments, text, and references.</w:t>
      </w:r>
    </w:p>
    <w:sectPr w:rsidR="003F4A37"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31EDC" w14:textId="77777777" w:rsidR="00D377D2" w:rsidRDefault="00D377D2">
      <w:pPr>
        <w:spacing w:line="240" w:lineRule="auto"/>
      </w:pPr>
      <w:r>
        <w:separator/>
      </w:r>
    </w:p>
  </w:endnote>
  <w:endnote w:type="continuationSeparator" w:id="0">
    <w:p w14:paraId="695B7F30" w14:textId="77777777" w:rsidR="00D377D2" w:rsidRDefault="00D377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CFB6" w14:textId="77777777" w:rsidR="003F4A37" w:rsidRDefault="00000000">
    <w:pPr>
      <w:pStyle w:val="Footer"/>
      <w:jc w:val="center"/>
    </w:pPr>
    <w:r>
      <w:fldChar w:fldCharType="begin"/>
    </w:r>
    <w:r>
      <w:instrText>PAGE</w:instrText>
    </w:r>
    <w:r>
      <w:fldChar w:fldCharType="separate"/>
    </w:r>
    <w:r w:rsidR="006D0E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99FF6" w14:textId="77777777" w:rsidR="00D377D2" w:rsidRDefault="00D377D2">
      <w:pPr>
        <w:spacing w:line="240" w:lineRule="auto"/>
      </w:pPr>
      <w:r>
        <w:separator/>
      </w:r>
    </w:p>
  </w:footnote>
  <w:footnote w:type="continuationSeparator" w:id="0">
    <w:p w14:paraId="2EF582B5" w14:textId="77777777" w:rsidR="00D377D2" w:rsidRDefault="00D377D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9455213">
    <w:abstractNumId w:val="8"/>
  </w:num>
  <w:num w:numId="2" w16cid:durableId="1692991756">
    <w:abstractNumId w:val="6"/>
  </w:num>
  <w:num w:numId="3" w16cid:durableId="662584014">
    <w:abstractNumId w:val="5"/>
  </w:num>
  <w:num w:numId="4" w16cid:durableId="1264412609">
    <w:abstractNumId w:val="4"/>
  </w:num>
  <w:num w:numId="5" w16cid:durableId="1237129463">
    <w:abstractNumId w:val="7"/>
  </w:num>
  <w:num w:numId="6" w16cid:durableId="1100832700">
    <w:abstractNumId w:val="3"/>
  </w:num>
  <w:num w:numId="7" w16cid:durableId="1677028760">
    <w:abstractNumId w:val="2"/>
  </w:num>
  <w:num w:numId="8" w16cid:durableId="1851139126">
    <w:abstractNumId w:val="1"/>
  </w:num>
  <w:num w:numId="9" w16cid:durableId="1371808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E79"/>
    <w:rsid w:val="0006063C"/>
    <w:rsid w:val="00095B2B"/>
    <w:rsid w:val="00097A6B"/>
    <w:rsid w:val="000A4E1F"/>
    <w:rsid w:val="000C03A9"/>
    <w:rsid w:val="000E4EDF"/>
    <w:rsid w:val="00133A8F"/>
    <w:rsid w:val="0015074B"/>
    <w:rsid w:val="00156B61"/>
    <w:rsid w:val="0017774B"/>
    <w:rsid w:val="001E4209"/>
    <w:rsid w:val="001E6139"/>
    <w:rsid w:val="001F145C"/>
    <w:rsid w:val="00224996"/>
    <w:rsid w:val="00250D03"/>
    <w:rsid w:val="0029639D"/>
    <w:rsid w:val="002A0F86"/>
    <w:rsid w:val="002D274B"/>
    <w:rsid w:val="002F5379"/>
    <w:rsid w:val="00321060"/>
    <w:rsid w:val="00326F90"/>
    <w:rsid w:val="00330066"/>
    <w:rsid w:val="0033433F"/>
    <w:rsid w:val="00342D06"/>
    <w:rsid w:val="003D1F28"/>
    <w:rsid w:val="003D3955"/>
    <w:rsid w:val="003D50C8"/>
    <w:rsid w:val="003F4A37"/>
    <w:rsid w:val="00401EE1"/>
    <w:rsid w:val="00427031"/>
    <w:rsid w:val="004331AA"/>
    <w:rsid w:val="004420A8"/>
    <w:rsid w:val="00442D82"/>
    <w:rsid w:val="0046213F"/>
    <w:rsid w:val="004C6B61"/>
    <w:rsid w:val="00501225"/>
    <w:rsid w:val="00512EDC"/>
    <w:rsid w:val="00532F03"/>
    <w:rsid w:val="005646C0"/>
    <w:rsid w:val="005A5826"/>
    <w:rsid w:val="005E4C59"/>
    <w:rsid w:val="00600A1E"/>
    <w:rsid w:val="00690686"/>
    <w:rsid w:val="00692D44"/>
    <w:rsid w:val="006B0361"/>
    <w:rsid w:val="006D0E75"/>
    <w:rsid w:val="006D3C45"/>
    <w:rsid w:val="007077DF"/>
    <w:rsid w:val="00721202"/>
    <w:rsid w:val="00760375"/>
    <w:rsid w:val="007836DA"/>
    <w:rsid w:val="007A2E9D"/>
    <w:rsid w:val="007C3225"/>
    <w:rsid w:val="007D6B7B"/>
    <w:rsid w:val="008006A9"/>
    <w:rsid w:val="00861064"/>
    <w:rsid w:val="008719C7"/>
    <w:rsid w:val="008A0569"/>
    <w:rsid w:val="009163EE"/>
    <w:rsid w:val="009311E3"/>
    <w:rsid w:val="0093345C"/>
    <w:rsid w:val="00966ACA"/>
    <w:rsid w:val="00972143"/>
    <w:rsid w:val="00997BEE"/>
    <w:rsid w:val="00A04F0F"/>
    <w:rsid w:val="00A3477E"/>
    <w:rsid w:val="00A5796F"/>
    <w:rsid w:val="00A757B5"/>
    <w:rsid w:val="00AA11C1"/>
    <w:rsid w:val="00AA1D8D"/>
    <w:rsid w:val="00AB6F75"/>
    <w:rsid w:val="00AE006B"/>
    <w:rsid w:val="00AE7E47"/>
    <w:rsid w:val="00B209C9"/>
    <w:rsid w:val="00B419C0"/>
    <w:rsid w:val="00B47730"/>
    <w:rsid w:val="00B82F2A"/>
    <w:rsid w:val="00B83983"/>
    <w:rsid w:val="00B94B4C"/>
    <w:rsid w:val="00BB2045"/>
    <w:rsid w:val="00BD70F3"/>
    <w:rsid w:val="00C242F1"/>
    <w:rsid w:val="00C37885"/>
    <w:rsid w:val="00C651C0"/>
    <w:rsid w:val="00C72CA2"/>
    <w:rsid w:val="00CB0664"/>
    <w:rsid w:val="00CF26B8"/>
    <w:rsid w:val="00D177E7"/>
    <w:rsid w:val="00D22C10"/>
    <w:rsid w:val="00D26677"/>
    <w:rsid w:val="00D31801"/>
    <w:rsid w:val="00D31C44"/>
    <w:rsid w:val="00D377D2"/>
    <w:rsid w:val="00D476F3"/>
    <w:rsid w:val="00DB14EA"/>
    <w:rsid w:val="00DF321E"/>
    <w:rsid w:val="00E01339"/>
    <w:rsid w:val="00E11DC2"/>
    <w:rsid w:val="00E630A5"/>
    <w:rsid w:val="00E864B8"/>
    <w:rsid w:val="00ED426F"/>
    <w:rsid w:val="00F0407D"/>
    <w:rsid w:val="00FC693F"/>
    <w:rsid w:val="00FF4B5C"/>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DC53E6"/>
  <w14:defaultImageDpi w14:val="300"/>
  <w15:docId w15:val="{66F0751F-5870-4F6C-AA3C-CBA8D0F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color w:val="000000"/>
      <w:sz w:val="24"/>
    </w:rPr>
  </w:style>
  <w:style w:type="paragraph" w:styleId="Heading1">
    <w:name w:val="heading 1"/>
    <w:basedOn w:val="Normal"/>
    <w:next w:val="Normal"/>
    <w:link w:val="Heading1Char"/>
    <w:uiPriority w:val="9"/>
    <w:qFormat/>
    <w:rsid w:val="00FC693F"/>
    <w:pPr>
      <w:keepNext/>
      <w:keepLines/>
      <w:spacing w:before="120" w:after="80" w:line="240" w:lineRule="auto"/>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120" w:after="80" w:line="240" w:lineRule="auto"/>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spacing w:after="160" w:line="240" w:lineRule="auto"/>
      <w:contextualSpacing/>
    </w:pPr>
    <w:rPr>
      <w:b/>
      <w:spacing w:val="5"/>
      <w:kern w:val="28"/>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Pages>
  <Words>939</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Disability Informed Specialist AI in Employment Assessments</vt:lpstr>
    </vt:vector>
  </TitlesOfParts>
  <Manager/>
  <Company/>
  <LinksUpToDate>false</LinksUpToDate>
  <CharactersWithSpaces>6280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Disability Informed Specialist AI in Employment Assessments</dc:title>
  <dc:subject/>
  <dc:creator/>
  <cp:keywords/>
  <dc:description>generated by python-docx</dc:description>
  <cp:lastModifiedBy>Siddharth Upadhyay</cp:lastModifiedBy>
  <cp:revision>123</cp:revision>
  <dcterms:created xsi:type="dcterms:W3CDTF">2013-12-23T23:15:00Z</dcterms:created>
  <dcterms:modified xsi:type="dcterms:W3CDTF">2026-10-13T07:46:00Z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2dc75d0e86527d4d516608e32700708098e809fc6e5e9801f1354a6377408495</vt:lpwstr>
  </property>
</Properties>
</file>