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B541F" w14:textId="77777777" w:rsidR="00DF5C2A" w:rsidRDefault="00DF5C2A" w:rsidP="00DF5C2A">
      <w:pPr>
        <w:jc w:val="both"/>
        <w:rPr>
          <w:rFonts w:ascii="Calibri" w:eastAsia="Times New Roman" w:hAnsi="Calibri" w:cs="Calibri"/>
          <w:color w:val="000000"/>
          <w:kern w:val="0"/>
          <w:lang w:val="en-IN" w:eastAsia="en-IN"/>
          <w14:ligatures w14:val="none"/>
        </w:rPr>
      </w:pPr>
      <w:r>
        <w:rPr>
          <w:rFonts w:ascii="Calibri" w:eastAsia="Times New Roman" w:hAnsi="Calibri" w:cs="Calibri"/>
          <w:color w:val="000000"/>
          <w:kern w:val="0"/>
          <w:lang w:val="en-IN" w:eastAsia="en-IN"/>
          <w14:ligatures w14:val="none"/>
        </w:rPr>
        <w:t>Please update the text of the text message displayed in the “About Us” section of the website to read as follows:</w:t>
      </w:r>
    </w:p>
    <w:p w14:paraId="387CACB0" w14:textId="324726C5" w:rsidR="00BF0AB9" w:rsidRPr="00DF5C2A" w:rsidRDefault="00DF5C2A" w:rsidP="00DF5C2A">
      <w:r>
        <w:rPr>
          <w:rFonts w:ascii="Calibri" w:eastAsia="Times New Roman" w:hAnsi="Calibri" w:cs="Calibri"/>
          <w:color w:val="000000"/>
          <w:kern w:val="0"/>
          <w:lang w:val="en-IN" w:eastAsia="en-IN"/>
          <w14:ligatures w14:val="none"/>
        </w:rPr>
        <w:t>‘</w:t>
      </w:r>
      <w:r w:rsidRPr="00635A11">
        <w:rPr>
          <w:rFonts w:ascii="Calibri" w:eastAsia="Times New Roman" w:hAnsi="Calibri" w:cs="Calibri"/>
          <w:color w:val="000000"/>
          <w:kern w:val="0"/>
          <w:lang w:eastAsia="en-IN"/>
          <w14:ligatures w14:val="none"/>
        </w:rPr>
        <w:t>This is a demo website meant to demonstrate some of the functionality intended for the final ICDTRA website. Currently, the Cancer Genomics section offers a limited selection of differential expression data from the genomics expression database EMBL-EBI Expression Atlas (</w:t>
      </w:r>
      <w:hyperlink r:id="rId5" w:tgtFrame="_blank" w:history="1">
        <w:r w:rsidRPr="00635A11">
          <w:rPr>
            <w:rStyle w:val="Hyperlink"/>
            <w:rFonts w:ascii="Calibri" w:eastAsia="Times New Roman" w:hAnsi="Calibri" w:cs="Calibri"/>
            <w:kern w:val="0"/>
            <w:lang w:eastAsia="en-IN"/>
            <w14:ligatures w14:val="none"/>
          </w:rPr>
          <w:t>https://www.ebi.ac.uk/gxa/home</w:t>
        </w:r>
      </w:hyperlink>
      <w:r w:rsidRPr="00635A11">
        <w:rPr>
          <w:rFonts w:ascii="Calibri" w:eastAsia="Times New Roman" w:hAnsi="Calibri" w:cs="Calibri"/>
          <w:color w:val="000000"/>
          <w:kern w:val="0"/>
          <w:lang w:eastAsia="en-IN"/>
          <w14:ligatures w14:val="none"/>
        </w:rPr>
        <w:t xml:space="preserve">), within the “Differential Gene Expression” sub-section, which also offers lists of the names of proteins/genes associated with signalling pathways, as sourced from the </w:t>
      </w:r>
      <w:proofErr w:type="spellStart"/>
      <w:r w:rsidRPr="00635A11">
        <w:rPr>
          <w:rFonts w:ascii="Calibri" w:eastAsia="Times New Roman" w:hAnsi="Calibri" w:cs="Calibri"/>
          <w:color w:val="000000"/>
          <w:kern w:val="0"/>
          <w:lang w:eastAsia="en-IN"/>
          <w14:ligatures w14:val="none"/>
        </w:rPr>
        <w:t>Reactome</w:t>
      </w:r>
      <w:proofErr w:type="spellEnd"/>
      <w:r w:rsidRPr="00635A11">
        <w:rPr>
          <w:rFonts w:ascii="Calibri" w:eastAsia="Times New Roman" w:hAnsi="Calibri" w:cs="Calibri"/>
          <w:color w:val="000000"/>
          <w:kern w:val="0"/>
          <w:lang w:eastAsia="en-IN"/>
          <w14:ligatures w14:val="none"/>
        </w:rPr>
        <w:t xml:space="preserve"> database’s Pathway Browser (</w:t>
      </w:r>
      <w:hyperlink r:id="rId6" w:tgtFrame="_blank" w:history="1">
        <w:r w:rsidRPr="00635A11">
          <w:rPr>
            <w:rStyle w:val="Hyperlink"/>
            <w:rFonts w:ascii="Calibri" w:eastAsia="Times New Roman" w:hAnsi="Calibri" w:cs="Calibri"/>
            <w:kern w:val="0"/>
            <w:lang w:eastAsia="en-IN"/>
            <w14:ligatures w14:val="none"/>
          </w:rPr>
          <w:t>https://reactome.org/PathwayBrowser/</w:t>
        </w:r>
      </w:hyperlink>
      <w:r w:rsidRPr="00635A11">
        <w:rPr>
          <w:rFonts w:ascii="Calibri" w:eastAsia="Times New Roman" w:hAnsi="Calibri" w:cs="Calibri"/>
          <w:color w:val="000000"/>
          <w:kern w:val="0"/>
          <w:lang w:eastAsia="en-IN"/>
          <w14:ligatures w14:val="none"/>
        </w:rPr>
        <w:t>). The “Gene Biomarker Data From Literature” sub-section lists data on biomarkers gathered from the literature on cancer. The Cancer Literature section currently allows users to search through a set of research articles featuring “cancer” and “differential expression” together in the title and/or the abstract, as well as listing “India” as the affiliation address of at least one of the authors of the paper. The list of publications can be viewed, and the articles can be downloaded as PDF files, in cases where the articles are open-source. The Cancer Proteomics section will operate similarly to the Cancer Genomics section, although the “differential protein expression with biological fold-change from a proteomics database” part of this section is not active, at present, owing to difficulties in obtaining freely available differential expression data, organised in a database, through automation. The Diagnostics section presently displays biomarker data drawn from the literature on cancer, by Google’s Notebook LM (</w:t>
      </w:r>
      <w:hyperlink r:id="rId7" w:tgtFrame="_blank" w:history="1">
        <w:r w:rsidRPr="00635A11">
          <w:rPr>
            <w:rStyle w:val="Hyperlink"/>
            <w:rFonts w:ascii="Calibri" w:eastAsia="Times New Roman" w:hAnsi="Calibri" w:cs="Calibri"/>
            <w:kern w:val="0"/>
            <w:lang w:eastAsia="en-IN"/>
            <w14:ligatures w14:val="none"/>
          </w:rPr>
          <w:t>https://notebooklm.google/</w:t>
        </w:r>
      </w:hyperlink>
      <w:r w:rsidRPr="00635A11">
        <w:rPr>
          <w:rFonts w:ascii="Calibri" w:eastAsia="Times New Roman" w:hAnsi="Calibri" w:cs="Calibri"/>
          <w:color w:val="000000"/>
          <w:kern w:val="0"/>
          <w:lang w:eastAsia="en-IN"/>
          <w14:ligatures w14:val="none"/>
        </w:rPr>
        <w:t xml:space="preserve">). The corresponding sub-sections in the Cancer Genomics and Cancer Proteomics sections are derived from the table in this section. </w:t>
      </w:r>
      <w:r>
        <w:rPr>
          <w:rFonts w:ascii="Calibri" w:eastAsia="Times New Roman" w:hAnsi="Calibri" w:cs="Calibri"/>
          <w:color w:val="000000"/>
          <w:kern w:val="0"/>
          <w:lang w:eastAsia="en-IN"/>
          <w14:ligatures w14:val="none"/>
        </w:rPr>
        <w:t xml:space="preserve">The Diagnostics section also mentions approaches that could be taken for providing information on diagnostics tools/techniques and biorepositories. The latter is useful for promoting research collaboration of cancer biorepositories with basic science cancer researchers. </w:t>
      </w:r>
      <w:r w:rsidRPr="00635A11">
        <w:rPr>
          <w:rFonts w:ascii="Calibri" w:eastAsia="Times New Roman" w:hAnsi="Calibri" w:cs="Calibri"/>
          <w:color w:val="000000"/>
          <w:kern w:val="0"/>
          <w:lang w:eastAsia="en-IN"/>
          <w14:ligatures w14:val="none"/>
        </w:rPr>
        <w:t>The Treatment Options section presently displays a list of National Cancer Grid (NCG) member hospitals/institutes listed by the Tata Memorial Centre (TMC) (</w:t>
      </w:r>
      <w:hyperlink r:id="rId8" w:tgtFrame="_blank" w:history="1">
        <w:r w:rsidRPr="00635A11">
          <w:rPr>
            <w:rStyle w:val="Hyperlink"/>
            <w:rFonts w:ascii="Calibri" w:eastAsia="Times New Roman" w:hAnsi="Calibri" w:cs="Calibri"/>
            <w:kern w:val="0"/>
            <w:lang w:eastAsia="en-IN"/>
            <w14:ligatures w14:val="none"/>
          </w:rPr>
          <w:t>https://www.ncgindia.org/</w:t>
        </w:r>
      </w:hyperlink>
      <w:r w:rsidRPr="00635A11">
        <w:rPr>
          <w:rFonts w:ascii="Calibri" w:eastAsia="Times New Roman" w:hAnsi="Calibri" w:cs="Calibri"/>
          <w:color w:val="000000"/>
          <w:kern w:val="0"/>
          <w:lang w:eastAsia="en-IN"/>
          <w14:ligatures w14:val="none"/>
        </w:rPr>
        <w:t>).</w:t>
      </w:r>
      <w:r>
        <w:rPr>
          <w:rFonts w:ascii="Calibri" w:eastAsia="Times New Roman" w:hAnsi="Calibri" w:cs="Calibri"/>
          <w:color w:val="000000"/>
          <w:kern w:val="0"/>
          <w:lang w:eastAsia="en-IN"/>
          <w14:ligatures w14:val="none"/>
        </w:rPr>
        <w:t xml:space="preserve"> It also lists approaches to providing information to the user on drugs available in the Indian market. The Clinical Trials section lists approaches to informing the user about guidelines for the selection of patients as study subjects, drug-response prediction, druggable protein targets, and drugs under clinical trials. The Education section states that the cancer biology sub-section will be developed by referring to cancer biology review articles and taking input from the faculty at TMC-ACTREC. The Education section also houses sub-sections on high-throughput cancer data and cancer awareness programmes in India, providing relevant resources for both sub-sections.’</w:t>
      </w:r>
    </w:p>
    <w:sectPr w:rsidR="00BF0AB9" w:rsidRPr="00DF5C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F67C5"/>
    <w:multiLevelType w:val="hybridMultilevel"/>
    <w:tmpl w:val="CAE4286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1C4ED7"/>
    <w:multiLevelType w:val="hybridMultilevel"/>
    <w:tmpl w:val="61D6CC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2C671A"/>
    <w:multiLevelType w:val="hybridMultilevel"/>
    <w:tmpl w:val="1A2EC7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C207A85"/>
    <w:multiLevelType w:val="hybridMultilevel"/>
    <w:tmpl w:val="E0DC13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15390570">
    <w:abstractNumId w:val="1"/>
  </w:num>
  <w:num w:numId="2" w16cid:durableId="1221283854">
    <w:abstractNumId w:val="3"/>
  </w:num>
  <w:num w:numId="3" w16cid:durableId="1290818627">
    <w:abstractNumId w:val="0"/>
  </w:num>
  <w:num w:numId="4" w16cid:durableId="1036851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358"/>
    <w:rsid w:val="00192FCC"/>
    <w:rsid w:val="00254526"/>
    <w:rsid w:val="002C2B67"/>
    <w:rsid w:val="00340DAE"/>
    <w:rsid w:val="0035311E"/>
    <w:rsid w:val="003D032E"/>
    <w:rsid w:val="0044521B"/>
    <w:rsid w:val="004500D4"/>
    <w:rsid w:val="004526ED"/>
    <w:rsid w:val="004A43E0"/>
    <w:rsid w:val="005535C0"/>
    <w:rsid w:val="00602F1E"/>
    <w:rsid w:val="00610B71"/>
    <w:rsid w:val="006B280C"/>
    <w:rsid w:val="006F65C2"/>
    <w:rsid w:val="007117EC"/>
    <w:rsid w:val="007210BE"/>
    <w:rsid w:val="007463D1"/>
    <w:rsid w:val="007C08E9"/>
    <w:rsid w:val="0081599F"/>
    <w:rsid w:val="00894A97"/>
    <w:rsid w:val="008F5E62"/>
    <w:rsid w:val="00912070"/>
    <w:rsid w:val="00997DC4"/>
    <w:rsid w:val="009F17DD"/>
    <w:rsid w:val="009F77B8"/>
    <w:rsid w:val="00AE4194"/>
    <w:rsid w:val="00B502B3"/>
    <w:rsid w:val="00BF0AB9"/>
    <w:rsid w:val="00C10E87"/>
    <w:rsid w:val="00D15DC2"/>
    <w:rsid w:val="00D22605"/>
    <w:rsid w:val="00D231A8"/>
    <w:rsid w:val="00D714BD"/>
    <w:rsid w:val="00DF5C2A"/>
    <w:rsid w:val="00E123F6"/>
    <w:rsid w:val="00F36358"/>
    <w:rsid w:val="00FE4D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9C509"/>
  <w15:chartTrackingRefBased/>
  <w15:docId w15:val="{A942E7D0-DBFA-46E3-9421-A13945DBD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5C2A"/>
    <w:rPr>
      <w:lang w:val="en-GB"/>
    </w:rPr>
  </w:style>
  <w:style w:type="paragraph" w:styleId="Heading1">
    <w:name w:val="heading 1"/>
    <w:basedOn w:val="Normal"/>
    <w:next w:val="Normal"/>
    <w:link w:val="Heading1Char"/>
    <w:uiPriority w:val="9"/>
    <w:qFormat/>
    <w:rsid w:val="00F36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6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6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6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6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6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358"/>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F36358"/>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F36358"/>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F36358"/>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F36358"/>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F3635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3635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3635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3635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36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35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36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35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36358"/>
    <w:pPr>
      <w:spacing w:before="160"/>
      <w:jc w:val="center"/>
    </w:pPr>
    <w:rPr>
      <w:i/>
      <w:iCs/>
      <w:color w:val="404040" w:themeColor="text1" w:themeTint="BF"/>
    </w:rPr>
  </w:style>
  <w:style w:type="character" w:customStyle="1" w:styleId="QuoteChar">
    <w:name w:val="Quote Char"/>
    <w:basedOn w:val="DefaultParagraphFont"/>
    <w:link w:val="Quote"/>
    <w:uiPriority w:val="29"/>
    <w:rsid w:val="00F36358"/>
    <w:rPr>
      <w:i/>
      <w:iCs/>
      <w:color w:val="404040" w:themeColor="text1" w:themeTint="BF"/>
      <w:lang w:val="en-GB"/>
    </w:rPr>
  </w:style>
  <w:style w:type="paragraph" w:styleId="ListParagraph">
    <w:name w:val="List Paragraph"/>
    <w:basedOn w:val="Normal"/>
    <w:uiPriority w:val="34"/>
    <w:qFormat/>
    <w:rsid w:val="00F36358"/>
    <w:pPr>
      <w:ind w:left="720"/>
      <w:contextualSpacing/>
    </w:pPr>
  </w:style>
  <w:style w:type="character" w:styleId="IntenseEmphasis">
    <w:name w:val="Intense Emphasis"/>
    <w:basedOn w:val="DefaultParagraphFont"/>
    <w:uiPriority w:val="21"/>
    <w:qFormat/>
    <w:rsid w:val="00F36358"/>
    <w:rPr>
      <w:i/>
      <w:iCs/>
      <w:color w:val="2F5496" w:themeColor="accent1" w:themeShade="BF"/>
    </w:rPr>
  </w:style>
  <w:style w:type="paragraph" w:styleId="IntenseQuote">
    <w:name w:val="Intense Quote"/>
    <w:basedOn w:val="Normal"/>
    <w:next w:val="Normal"/>
    <w:link w:val="IntenseQuoteChar"/>
    <w:uiPriority w:val="30"/>
    <w:qFormat/>
    <w:rsid w:val="00F36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6358"/>
    <w:rPr>
      <w:i/>
      <w:iCs/>
      <w:color w:val="2F5496" w:themeColor="accent1" w:themeShade="BF"/>
      <w:lang w:val="en-GB"/>
    </w:rPr>
  </w:style>
  <w:style w:type="character" w:styleId="IntenseReference">
    <w:name w:val="Intense Reference"/>
    <w:basedOn w:val="DefaultParagraphFont"/>
    <w:uiPriority w:val="32"/>
    <w:qFormat/>
    <w:rsid w:val="00F36358"/>
    <w:rPr>
      <w:b/>
      <w:bCs/>
      <w:smallCaps/>
      <w:color w:val="2F5496" w:themeColor="accent1" w:themeShade="BF"/>
      <w:spacing w:val="5"/>
    </w:rPr>
  </w:style>
  <w:style w:type="character" w:styleId="Hyperlink">
    <w:name w:val="Hyperlink"/>
    <w:basedOn w:val="DefaultParagraphFont"/>
    <w:uiPriority w:val="99"/>
    <w:unhideWhenUsed/>
    <w:rsid w:val="00D231A8"/>
    <w:rPr>
      <w:color w:val="0563C1" w:themeColor="hyperlink"/>
      <w:u w:val="single"/>
    </w:rPr>
  </w:style>
  <w:style w:type="character" w:styleId="UnresolvedMention">
    <w:name w:val="Unresolved Mention"/>
    <w:basedOn w:val="DefaultParagraphFont"/>
    <w:uiPriority w:val="99"/>
    <w:semiHidden/>
    <w:unhideWhenUsed/>
    <w:rsid w:val="00D231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gindia.org/" TargetMode="External"/><Relationship Id="rId3" Type="http://schemas.openxmlformats.org/officeDocument/2006/relationships/settings" Target="settings.xml"/><Relationship Id="rId7" Type="http://schemas.openxmlformats.org/officeDocument/2006/relationships/hyperlink" Target="https://notebooklm.goog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ome.org/PathwayBrowser/" TargetMode="External"/><Relationship Id="rId5" Type="http://schemas.openxmlformats.org/officeDocument/2006/relationships/hyperlink" Target="https://www.ebi.ac.uk/gxa/hom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Pages>
  <Words>478</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Barua</dc:creator>
  <cp:keywords/>
  <dc:description/>
  <cp:lastModifiedBy>Siddhartha Barua</cp:lastModifiedBy>
  <cp:revision>26</cp:revision>
  <dcterms:created xsi:type="dcterms:W3CDTF">2026-02-10T10:00:00Z</dcterms:created>
  <dcterms:modified xsi:type="dcterms:W3CDTF">2026-02-18T01:11:00Z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621154b8-e584-4335-b9ec-4e85fcd745c4</vt:lpwstr>
  </property>
</Properties>
</file>