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400"/>
        <w:ind/>
        <w:rPr/>
      </w:pPr>
      <w:r/>
      <w:r/>
    </w:p>
    <w:p>
      <w:pPr>
        <w:pBdr/>
        <w:spacing w:after="120"/>
        <w:ind/>
        <w:jc w:val="center"/>
        <w:rPr/>
      </w:pPr>
      <w:r>
        <w:rPr>
          <w:b/>
          <w:bCs/>
          <w:sz w:val="40"/>
          <w:szCs w:val="40"/>
        </w:rPr>
        <w:t xml:space="preserve">Continuous Sentence-Level Translation of</w:t>
      </w:r>
      <w:r/>
    </w:p>
    <w:p>
      <w:pPr>
        <w:pBdr/>
        <w:spacing w:after="360"/>
        <w:ind/>
        <w:jc w:val="center"/>
        <w:rPr/>
      </w:pPr>
      <w:r>
        <w:rPr>
          <w:b/>
          <w:bCs/>
          <w:sz w:val="40"/>
          <w:szCs w:val="40"/>
        </w:rPr>
        <w:t xml:space="preserve">Indian Sign Language to English</w:t>
      </w:r>
      <w:r/>
    </w:p>
    <w:p>
      <w:pPr>
        <w:pBdr/>
        <w:spacing w:after="120" w:before="480"/>
        <w:ind/>
        <w:jc w:val="center"/>
        <w:rPr/>
      </w:pPr>
      <w:r>
        <w:rPr>
          <w:sz w:val="28"/>
          <w:szCs w:val="28"/>
        </w:rPr>
        <w:t xml:space="preserve">Case Study Report</w:t>
      </w:r>
      <w:r/>
    </w:p>
    <w:p>
      <w:pPr>
        <w:pBdr/>
        <w:spacing/>
        <w:ind/>
        <w:rPr/>
      </w:pPr>
      <w:r>
        <w:br w:type="page" w:clear="all"/>
      </w:r>
      <w:r/>
    </w:p>
    <w:p>
      <w:pPr>
        <w:pStyle w:val="734"/>
        <w:pBdr/>
        <w:spacing w:after="160" w:before="360"/>
        <w:ind/>
        <w:rPr>
          <w:color w:val="000000" w:themeColor="text1"/>
        </w:rPr>
      </w:pPr>
      <w:r>
        <w:rPr>
          <w:color w:val="000000" w:themeColor="text1"/>
        </w:rPr>
        <w:t xml:space="preserve">Project Overview</w:t>
      </w:r>
      <w:r>
        <w:rPr>
          <w:color w:val="000000" w:themeColor="text1"/>
        </w:rPr>
      </w:r>
    </w:p>
    <w:p>
      <w:pPr>
        <w:pStyle w:val="735"/>
        <w:pBdr/>
        <w:spacing w:after="120" w:before="240"/>
        <w:ind/>
        <w:rPr>
          <w:color w:val="000000" w:themeColor="text1"/>
        </w:rPr>
      </w:pPr>
      <w:r>
        <w:rPr>
          <w:color w:val="000000" w:themeColor="text1"/>
        </w:rPr>
        <w:t xml:space="preserve">Problem Statement</w:t>
      </w:r>
      <w:r>
        <w:rPr>
          <w:color w:val="000000" w:themeColor="text1"/>
        </w:rPr>
      </w:r>
    </w:p>
    <w:p>
      <w:pPr>
        <w:pBdr/>
        <w:spacing w:after="120" w:line="276" w:lineRule="auto"/>
        <w:ind/>
        <w:jc w:val="both"/>
        <w:rPr/>
      </w:pPr>
      <w:r>
        <w:t xml:space="preserve">India has an estimated 63 million people who are Deaf or Hard of Hearing (WHO, 2016), for whom Indian Sign Language (ISL) is a primary mode of communication. ISL has its own grammar, word order and non-manual m</w:t>
      </w:r>
      <w:r>
        <w:t xml:space="preserve">arkers (facial expression, mouth shape, body posture); it is not a signed encoding of English. This creates a persistent communication barrier between ISL users and the hearing, non-signing majority in education, healthcare, e-governance and everyday life.</w:t>
      </w:r>
      <w:r/>
    </w:p>
    <w:p>
      <w:pPr>
        <w:pBdr/>
        <w:spacing w:after="120" w:line="276" w:lineRule="auto"/>
        <w:ind/>
        <w:jc w:val="both"/>
        <w:rPr/>
      </w:pPr>
      <w:r>
        <w:t xml:space="preserve">The project addresses </w:t>
      </w:r>
      <w:r>
        <w:rPr>
          <w:b/>
          <w:bCs/>
        </w:rPr>
        <w:t xml:space="preserve">continuous, sentence-level Sign Language Translation (SLT)</w:t>
      </w:r>
      <w:r>
        <w:t xml:space="preserve">: given a video of a person signing a full sentence in ISL, the system must produce the English sentence with the same mean</w:t>
      </w:r>
      <w:r>
        <w:t xml:space="preserve">ing, without first segmenting the video into isolated signs. This is harder than isolated-sign recognition because sign boundaries are not marked, ISL and English differ in word order and grammar, and meaning is carried jointly by the hands, body and face.</w:t>
      </w:r>
      <w:r/>
    </w:p>
    <w:p>
      <w:pPr>
        <w:pStyle w:val="735"/>
        <w:pBdr/>
        <w:spacing w:after="120" w:before="240"/>
        <w:ind/>
        <w:rPr>
          <w:color w:val="000000" w:themeColor="text1"/>
        </w:rPr>
      </w:pPr>
      <w:r>
        <w:rPr>
          <w:color w:val="000000" w:themeColor="text1"/>
        </w:rPr>
        <w:t xml:space="preserve">Motivation</w:t>
      </w:r>
      <w:r>
        <w:rPr>
          <w:color w:val="000000" w:themeColor="text1"/>
        </w:rPr>
      </w:r>
    </w:p>
    <w:p>
      <w:pPr>
        <w:pStyle w:val="726"/>
        <w:numPr>
          <w:ilvl w:val="0"/>
          <w:numId w:val="2"/>
        </w:numPr>
        <w:pBdr/>
        <w:spacing w:after="80" w:line="276" w:lineRule="auto"/>
        <w:ind/>
        <w:rPr/>
      </w:pPr>
      <w:r>
        <w:rPr>
          <w:b/>
          <w:bCs/>
        </w:rPr>
        <w:t xml:space="preserve">Accessibility:</w:t>
      </w:r>
      <w:r>
        <w:t xml:space="preserve"> ISL→English translation can reduce dependence on human interpreters, who are scarce in India, for everyday services, classrooms and public institutions.</w:t>
      </w:r>
      <w:r/>
    </w:p>
    <w:p>
      <w:pPr>
        <w:pStyle w:val="726"/>
        <w:numPr>
          <w:ilvl w:val="0"/>
          <w:numId w:val="2"/>
        </w:numPr>
        <w:pBdr/>
        <w:spacing w:after="80" w:line="276" w:lineRule="auto"/>
        <w:ind/>
        <w:rPr/>
      </w:pPr>
      <w:r>
        <w:rPr>
          <w:b/>
          <w:bCs/>
        </w:rPr>
        <w:t xml:space="preserve">Research gap:</w:t>
      </w:r>
      <w:r>
        <w:t xml:space="preserve"> compared with American or German Sign Language, ISL has few annotated resources and benchmarked tasks, so there are far fewer data-driven translation systems.</w:t>
      </w:r>
      <w:r/>
    </w:p>
    <w:p>
      <w:pPr>
        <w:pStyle w:val="726"/>
        <w:numPr>
          <w:ilvl w:val="0"/>
          <w:numId w:val="2"/>
        </w:numPr>
        <w:pBdr/>
        <w:spacing w:after="80" w:line="276" w:lineRule="auto"/>
        <w:ind/>
        <w:rPr/>
      </w:pPr>
      <w:r>
        <w:rPr>
          <w:b/>
          <w:bCs/>
        </w:rPr>
        <w:t xml:space="preserve">Technical challenge:</w:t>
      </w:r>
      <w:r>
        <w:t xml:space="preserve"> SLT is a multimodal sequence-to-sequence problem that must fuse video with skeletal motion and map a long, unsegmented input to a short, fluent sentence.</w:t>
      </w:r>
      <w:r/>
    </w:p>
    <w:p>
      <w:pPr>
        <w:pStyle w:val="735"/>
        <w:pBdr/>
        <w:spacing w:after="120" w:before="240"/>
        <w:ind/>
        <w:rPr>
          <w:color w:val="000000" w:themeColor="text1"/>
        </w:rPr>
      </w:pPr>
      <w:r>
        <w:rPr>
          <w:color w:val="000000" w:themeColor="text1"/>
        </w:rPr>
        <w:t xml:space="preserve">Project Goal</w:t>
      </w:r>
      <w:r>
        <w:rPr>
          <w:color w:val="000000" w:themeColor="text1"/>
        </w:rPr>
      </w:r>
    </w:p>
    <w:p>
      <w:pPr>
        <w:pBdr/>
        <w:spacing w:after="120" w:line="276" w:lineRule="auto"/>
        <w:ind/>
        <w:jc w:val="both"/>
        <w:rPr/>
      </w:pPr>
      <w:r>
        <w:t xml:space="preserve">Build a deep-learning model that translates recorded ISL sentence videos into English, evaluate it rigorously, and serve it through an API that the team's web application calls with webcam recordings.</w:t>
      </w:r>
      <w:r/>
    </w:p>
    <w:p>
      <w:pPr>
        <w:pBdr/>
        <w:spacing/>
        <w:ind/>
        <w:rPr/>
      </w:pPr>
      <w:r>
        <w:br w:type="page" w:clear="all"/>
      </w:r>
      <w:r/>
    </w:p>
    <w:p>
      <w:pPr>
        <w:pStyle w:val="735"/>
        <w:pBdr/>
        <w:spacing w:after="120" w:before="240"/>
        <w:ind/>
        <w:rPr/>
      </w:pPr>
      <w:r>
        <w:t xml:space="preserve">1. Literature Survey</w:t>
      </w:r>
      <w:r/>
    </w:p>
    <w:p>
      <w:pPr>
        <w:pBdr/>
        <w:spacing w:after="120" w:line="276" w:lineRule="auto"/>
        <w:ind/>
        <w:jc w:val="both"/>
        <w:rPr/>
      </w:pPr>
      <w:r>
        <w:t xml:space="preserve">Five recent papers (2025), each in a journal indexed on Scimago Journal Rank, were reviewed:</w:t>
      </w:r>
      <w:r/>
    </w:p>
    <w:p>
      <w:pPr>
        <w:pStyle w:val="736"/>
        <w:pBdr/>
        <w:spacing w:after="100" w:before="200"/>
        <w:ind/>
        <w:rPr/>
      </w:pPr>
      <w:r>
        <w:t xml:space="preserve">1.1 Said et al. (2025) — Adaptive Transformer-Based Deep Learning Framework for Continuous Sign Language Recognition and Translation</w:t>
      </w:r>
      <w:r/>
    </w:p>
    <w:p>
      <w:pPr>
        <w:pBdr/>
        <w:spacing w:after="120" w:line="276" w:lineRule="auto"/>
        <w:ind/>
        <w:jc w:val="both"/>
        <w:rPr/>
      </w:pPr>
      <w:r>
        <w:rPr>
          <w:i/>
          <w:iCs/>
        </w:rPr>
        <w:t xml:space="preserve">Mathematics</w:t>
      </w:r>
      <w:r>
        <w:t xml:space="preserve"> (MDPI), 13(6), 909, DOI 10.3390/math13060909. Proposes an Adaptive Transformer with adaptive masking, local clip self-attention and adaptive fusion to handle the weak alignment between long sign videos and short sentences. </w:t>
      </w:r>
      <w:r>
        <w:rPr>
          <w:b/>
          <w:bCs/>
        </w:rPr>
        <w:t xml:space="preserve">Relevance:</w:t>
      </w:r>
      <w:r>
        <w:t xml:space="preserve"> informs the fusion of video and pose features before the decoder.</w:t>
      </w:r>
      <w:r/>
    </w:p>
    <w:p>
      <w:pPr>
        <w:pStyle w:val="736"/>
        <w:pBdr/>
        <w:spacing w:after="100" w:before="200"/>
        <w:ind/>
        <w:rPr/>
      </w:pPr>
      <w:r>
        <w:t xml:space="preserve">1.2 Arib, Akter, Rahman &amp; Rahman (2025) — SignFormer-GCN: Continuous Sign Language Translation Using Spatio-Temporal Graph Convolutional Networks</w:t>
      </w:r>
      <w:r/>
    </w:p>
    <w:p>
      <w:pPr>
        <w:pBdr/>
        <w:spacing w:after="120" w:line="276" w:lineRule="auto"/>
        <w:ind/>
        <w:jc w:val="both"/>
        <w:rPr/>
      </w:pPr>
      <w:r>
        <w:rPr>
          <w:i/>
          <w:iCs/>
        </w:rPr>
        <w:t xml:space="preserve">PLOS ONE</w:t>
      </w:r>
      <w:r>
        <w:t xml:space="preserve">, DOI 10.1371/journal.pone.0316298. Combines a transformer with a spatio-temporal graph network over skeleton keypoints, arguing that RGB-only pipelines miss the structure of sign articulation. </w:t>
      </w:r>
      <w:r>
        <w:rPr>
          <w:b/>
          <w:bCs/>
        </w:rPr>
        <w:t xml:space="preserve">Relevance:</w:t>
      </w:r>
      <w:r>
        <w:t xml:space="preserve"> supports keeping a dedicated pose branch — confirmed by this work's ablation test, where removing pose collapses accuracy.</w:t>
      </w:r>
      <w:r/>
    </w:p>
    <w:p>
      <w:pPr>
        <w:pStyle w:val="736"/>
        <w:pBdr/>
        <w:spacing w:after="100" w:before="200"/>
        <w:ind/>
        <w:rPr/>
      </w:pPr>
      <w:r>
        <w:t xml:space="preserve">1.3 Nedungadi, Dileep, Geetha &amp; Raman (2025) — Vision Transformer-Powered Conversational Agent for Real-Time Indian Sign Language E-Governance Accessibility</w:t>
      </w:r>
      <w:r/>
    </w:p>
    <w:p>
      <w:pPr>
        <w:pBdr/>
        <w:spacing w:after="120" w:line="276" w:lineRule="auto"/>
        <w:ind/>
        <w:jc w:val="both"/>
        <w:rPr/>
      </w:pPr>
      <w:r>
        <w:rPr>
          <w:i/>
          <w:iCs/>
        </w:rPr>
        <w:t xml:space="preserve">Scientific Reports</w:t>
      </w:r>
      <w:r>
        <w:t xml:space="preserve">, 15, 33055, DOI 10.1038/s41598-025-12667-3. Deploys a CNN–transformer for continuous ISL recognition feeding a BART/T5-style engine on India's UMANG platform (97.5% accuracy, 6.53 s mean latency). </w:t>
      </w:r>
      <w:r>
        <w:rPr>
          <w:b/>
          <w:bCs/>
        </w:rPr>
        <w:t xml:space="preserve">Relevance:</w:t>
      </w:r>
      <w:r>
        <w:t xml:space="preserve"> confirms BART-family decoders for ISL-to-text and provides the latency reference used in testing.</w:t>
      </w:r>
      <w:r/>
    </w:p>
    <w:p>
      <w:pPr>
        <w:pStyle w:val="736"/>
        <w:pBdr/>
        <w:spacing w:after="100" w:before="200"/>
        <w:ind/>
        <w:rPr/>
      </w:pPr>
      <w:r>
        <w:t xml:space="preserve">1.4 Pandey, Tahseen, Pathak, Parveen &amp; Maurya (2025) — Real-Time Vision-Based Indian Sign Language Translation Using Deep Learning Techniques</w:t>
      </w:r>
      <w:r/>
    </w:p>
    <w:p>
      <w:pPr>
        <w:pBdr/>
        <w:spacing w:after="120" w:line="276" w:lineRule="auto"/>
        <w:ind/>
        <w:jc w:val="both"/>
        <w:rPr/>
      </w:pPr>
      <w:r>
        <w:rPr>
          <w:i/>
          <w:iCs/>
        </w:rPr>
        <w:t xml:space="preserve">IJIRCST</w:t>
      </w:r>
      <w:r>
        <w:t xml:space="preserve">, 13(3), DOI 10.55524/ijircst.2025.13.3.6. Compares CNN, LSTM and Transformer encoder–decoders on ISL/ASL data (BLEU 0.74, 96.1% accuracy) and uses BLEU, ROUGE, CER and WER. </w:t>
      </w:r>
      <w:r>
        <w:rPr>
          <w:b/>
          <w:bCs/>
        </w:rPr>
        <w:t xml:space="preserve">Relevance:</w:t>
      </w:r>
      <w:r>
        <w:t xml:space="preserve"> informs the choice of metrics.</w:t>
      </w:r>
      <w:r/>
    </w:p>
    <w:p>
      <w:pPr>
        <w:pStyle w:val="736"/>
        <w:pBdr/>
        <w:spacing w:after="100" w:before="200"/>
        <w:ind/>
        <w:rPr/>
      </w:pPr>
      <w:r>
        <w:t xml:space="preserve">1.5 Gonfa, Meshesha, Girmaw &amp; W/Maryam (2025) — A Deep Learning Framework for Ethiopian Sign Language Recognition Using Skeleton-Based Representation</w:t>
      </w:r>
      <w:r/>
    </w:p>
    <w:p>
      <w:pPr>
        <w:pBdr/>
        <w:spacing w:after="120" w:line="276" w:lineRule="auto"/>
        <w:ind/>
        <w:jc w:val="both"/>
        <w:rPr/>
      </w:pPr>
      <w:r>
        <w:rPr>
          <w:i/>
          <w:iCs/>
        </w:rPr>
        <w:t xml:space="preserve">Scientific Reports</w:t>
      </w:r>
      <w:r>
        <w:t xml:space="preserve">, 15, 36181, DOI 10.1038/s41598-025-19937-0. Uses MediaPipe skeletal keypoints with recurrent models and reports a large signer-dependent (94%) vs signer-independent (73%) gap. </w:t>
      </w:r>
      <w:r>
        <w:rPr>
          <w:b/>
          <w:bCs/>
        </w:rPr>
        <w:t xml:space="preserve">Relevance:</w:t>
      </w:r>
      <w:r>
        <w:t xml:space="preserve"> mirrors this work's MediaPipe pose pipeline and its generalisation concerns.</w:t>
      </w:r>
      <w:r/>
    </w:p>
    <w:p>
      <w:pPr>
        <w:pBdr/>
        <w:spacing w:after="120" w:line="276" w:lineRule="auto"/>
        <w:ind/>
        <w:jc w:val="both"/>
        <w:rPr/>
      </w:pPr>
      <w:r>
        <w:t xml:space="preserve">The adversarial component follows the gradient-reversal method of Ganin &amp; Lempitsky (2015), and the test strategy follows the CDAO framework </w:t>
      </w:r>
      <w:r>
        <w:rPr>
          <w:i/>
          <w:iCs/>
        </w:rPr>
        <w:t xml:space="preserve">Test and Evaluation of Artificial Intelligence Models</w:t>
      </w:r>
      <w:r>
        <w:t xml:space="preserve"> (2024).</w:t>
      </w:r>
      <w:r/>
    </w:p>
    <w:p w14:paraId="4A2283CD">
      <w:pPr>
        <w:pStyle w:val="735"/>
        <w:pBdr/>
        <w:spacing w:after="120" w:before="240"/>
        <w:ind/>
        <w:rPr/>
      </w:pPr>
      <w:r>
        <w:rPr>
          <w:highlight w:val="none"/>
        </w:rPr>
      </w:r>
      <w:r>
        <w:rPr>
          <w:highlight w:val="none"/>
        </w:rPr>
      </w:r>
      <w:r>
        <w:rPr>
          <w:highlight w:val="none"/>
        </w:rPr>
      </w:r>
    </w:p>
    <w:p w14:paraId="7DF4F83A">
      <w:pPr>
        <w:pStyle w:val="735"/>
        <w:pBdr/>
        <w:spacing w:after="120" w:before="240"/>
        <w:ind/>
        <w:rPr>
          <w:highlight w:val="none"/>
        </w:rPr>
      </w:pPr>
      <w:r>
        <w:rPr>
          <w:highlight w:val="none"/>
        </w:rPr>
      </w:r>
      <w:r>
        <w:rPr>
          <w:highlight w:val="none"/>
        </w:rPr>
      </w:r>
      <w:r>
        <w:rPr>
          <w:highlight w:val="none"/>
        </w:rPr>
      </w:r>
    </w:p>
    <w:p w14:paraId="436BAC36">
      <w:pPr>
        <w:pStyle w:val="734"/>
        <w:pBdr/>
        <w:spacing w:after="160" w:before="360"/>
        <w:ind/>
        <w:rPr>
          <w:color w:val="000000" w:themeColor="text1"/>
        </w:rPr>
      </w:pPr>
      <w:r>
        <w:rPr>
          <w:color w:val="000000" w:themeColor="text1"/>
        </w:rPr>
        <w:t xml:space="preserve">Member 1</w:t>
      </w:r>
      <w:r>
        <w:rPr>
          <w:color w:val="000000" w:themeColor="text1"/>
        </w:rPr>
      </w:r>
      <w:r>
        <w:rPr>
          <w:color w:val="000000" w:themeColor="text1"/>
        </w:rPr>
      </w:r>
    </w:p>
    <w:p w14:paraId="402C8EDA">
      <w:pPr>
        <w:pBdr/>
        <w:spacing w:after="120" w:line="276" w:lineRule="auto"/>
        <w:ind/>
        <w:jc w:val="both"/>
        <w:rPr/>
      </w:pPr>
      <w:r>
        <w:rPr>
          <w:i/>
          <w:iCs/>
        </w:rPr>
        <w:t xml:space="preserve">Sc</w:t>
      </w:r>
      <w:r>
        <w:rPr>
          <w:i/>
          <w:iCs/>
        </w:rPr>
        <w:t xml:space="preserve">ope of this part: a dual-stream (pose + video) translation model with a pretrained BART decoder, fine-tuned on the ISL-CSLTR sentence corpus, an adversarial (GAN-style) modality-alignment experiment, and a structured test and evaluation of the final model.</w:t>
      </w:r>
      <w:r/>
      <w:r/>
    </w:p>
    <w:p>
      <w:pPr>
        <w:pStyle w:val="735"/>
        <w:pBdr/>
        <w:spacing w:after="120" w:before="240"/>
        <w:ind/>
        <w:rPr>
          <w:color w:val="000000" w:themeColor="text1"/>
          <w:highlight w:val="none"/>
        </w:rPr>
      </w:pPr>
      <w:r>
        <w:rPr>
          <w:color w:val="000000" w:themeColor="text1"/>
        </w:rPr>
        <w:t xml:space="preserve">2. Architecture Diagram for the Overall Application</w:t>
      </w:r>
      <w:r>
        <w:rPr>
          <w:color w:val="000000" w:themeColor="text1"/>
        </w:rPr>
      </w:r>
    </w:p>
    <w:p>
      <w:pPr>
        <w:pBdr/>
        <w:spacing w:after="120" w:line="276" w:lineRule="auto"/>
        <w:ind/>
        <w:jc w:val="both"/>
        <w:rPr/>
      </w:pPr>
      <w:r>
        <w:t xml:space="preserve">The top row shows how the model is built: features are extracted from the ISL-CSLTR videos, the model is initialised from an iSign-pretrained checkpoint, fine-tuned with and without the GAN component, tested, and published to a privat</w:t>
      </w:r>
      <w:r>
        <w:t xml:space="preserve">e Hugging Face repository. The bottom row shows the application: the web app records the user signing, a Hugging Face Space runs the same feature extraction and the model, and returns the closest of the 101 known sentences together with a confidence score.</w:t>
      </w:r>
      <w:r/>
    </w:p>
    <w:p>
      <w:pPr>
        <w:pBdr/>
        <w:spacing w:after="60" w:before="120"/>
        <w:ind/>
        <w:jc w:val="center"/>
        <w:rPr/>
      </w:pPr>
      <w:r>
        <mc:AlternateContent>
          <mc:Choice Requires="wpg">
            <w:drawing>
              <wp:inline xmlns:wp="http://schemas.openxmlformats.org/drawingml/2006/wordprocessingDrawing" distT="0" distB="0" distL="0" distR="0">
                <wp:extent cx="5852160" cy="2752725"/>
                <wp:effectExtent l="0" t="0" r="0" b="0"/>
                <wp:docPr id="1" name="overall_latest.png" descr="Figure 1: Overall application architecture." title="Figure 1: Overall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852160" cy="2752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0.80pt;height:216.75pt;mso-wrap-distance-left:0.00pt;mso-wrap-distance-top:0.00pt;mso-wrap-distance-right:0.00pt;mso-wrap-distance-bottom:0.00pt;z-index:1;" stroked="false">
                <v:imagedata r:id="rId10" o:title=""/>
                <o:lock v:ext="edit" rotation="t"/>
              </v:shape>
            </w:pict>
          </mc:Fallback>
        </mc:AlternateContent>
      </w:r>
      <w:r/>
    </w:p>
    <w:p>
      <w:pPr>
        <w:pBdr/>
        <w:spacing w:after="240"/>
        <w:ind/>
        <w:jc w:val="center"/>
        <w:rPr/>
      </w:pPr>
      <w:r>
        <w:rPr>
          <w:i/>
          <w:iCs/>
          <w:color w:val="52514e"/>
          <w:sz w:val="18"/>
          <w:szCs w:val="18"/>
        </w:rPr>
        <w:t xml:space="preserve">Figure 1: Overall application architecture.</w:t>
      </w:r>
      <w:r/>
    </w:p>
    <w:p>
      <w:pPr>
        <w:pStyle w:val="735"/>
        <w:pBdr/>
        <w:spacing w:after="120" w:before="240"/>
        <w:ind/>
        <w:rPr>
          <w:color w:val="000000" w:themeColor="text1"/>
        </w:rPr>
      </w:pPr>
      <w:r>
        <w:rPr>
          <w:color w:val="000000" w:themeColor="text1"/>
        </w:rPr>
        <w:t xml:space="preserve">3. Module Details</w:t>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0"/>
        <w:gridCol w:w="2600"/>
        <w:gridCol w:w="4660"/>
      </w:tblGrid>
      <w:tr>
        <w:trPr>
          <w:tblHeader/>
        </w:trPr>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b/>
                <w:bCs/>
                <w:sz w:val="18"/>
                <w:szCs w:val="18"/>
              </w:rPr>
              <w:t xml:space="preserve">Module</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b/>
                <w:bCs/>
                <w:sz w:val="18"/>
                <w:szCs w:val="18"/>
              </w:rPr>
              <w:t xml:space="preserve">Function</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b/>
                <w:bCs/>
                <w:sz w:val="18"/>
                <w:szCs w:val="18"/>
              </w:rPr>
              <w:t xml:space="preserve">Implementation</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Data preparation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Builds labels and train/validation/test splits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Sentence = video folder name; per sentence 1 test, 1 validation, rest training (687 videos, 101 sentences)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Pose extraction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Body and hand keypoints per frame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MediaPipe Tasks (pose + hand landmarkers); 75 points (33 body, 21 per hand) with x, y, z and confidence; centred on the shoulders and scaled by shoulder–nose distance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Video features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Visual summary of the clip</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Frozen VideoMAE-base on 16 frames, pooled to 8 tokens of 768 values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Skeleton encoder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Learns motion patterns over time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3-layer Transformer (256-dim, 4 heads) over up to 450 frames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Fusion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Combines both streams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Video and pose tokens joined into one sequence and projected to 768 dimensions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Decoder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Writes the English sentence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Pretrained BART-base; only its cross-attention layers are trained; beam search with 4 beams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Modality discriminator (GAN)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Aligns video and pose representations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Small network that tries to tell video from pose; a gradient-reversal layer trains the encoders to fool it</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Sentence snapping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Maps output to a valid sentence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Picks the closest of the 101 known sentences (ROUGE-L similarity)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Test &amp; evaluation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Checks the model beyond accuracy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13 pass/fail criteria from the CDAO framework (Section 8)</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API</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pPr>
              <w:pBdr/>
              <w:spacing/>
              <w:ind/>
              <w:rPr/>
            </w:pPr>
            <w:r>
              <w:rPr>
                <w:sz w:val="18"/>
                <w:szCs w:val="18"/>
              </w:rPr>
              <w:t xml:space="preserve">Serves translations to the web app</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660" w:type="dxa"/>
          </w:tcPr>
          <w:p>
            <w:pPr>
              <w:pBdr/>
              <w:spacing/>
              <w:ind/>
              <w:rPr/>
            </w:pPr>
            <w:r>
              <w:rPr>
                <w:sz w:val="18"/>
                <w:szCs w:val="18"/>
              </w:rPr>
              <w:t xml:space="preserve">Gradio app on Hugging Face Spaces (ZeroGPU), weights loaded from a private model repository</w:t>
            </w:r>
            <w:r/>
          </w:p>
        </w:tc>
      </w:tr>
    </w:tbl>
    <w:p>
      <w:pPr>
        <w:pStyle w:val="735"/>
        <w:pBdr/>
        <w:spacing w:after="120" w:before="240"/>
        <w:ind/>
        <w:rPr>
          <w:color w:val="000000" w:themeColor="text1"/>
        </w:rPr>
      </w:pPr>
      <w:r>
        <w:rPr>
          <w:color w:val="000000" w:themeColor="text1"/>
        </w:rPr>
        <w:t xml:space="preserve">4. Formula of Performance Metrics</w:t>
      </w:r>
      <w:r>
        <w:rPr>
          <w:color w:val="000000" w:themeColor="text1"/>
        </w:rPr>
      </w:r>
    </w:p>
    <w:p>
      <w:pPr>
        <w:pBdr/>
        <w:spacing w:after="120" w:line="276" w:lineRule="auto"/>
        <w:ind/>
        <w:jc w:val="both"/>
        <w:rPr/>
      </w:pPr>
      <w:r>
        <w:rPr>
          <w:b/>
          <w:bCs/>
        </w:rPr>
        <w:t xml:space="preserve">BLEU</w:t>
      </w:r>
      <w:r>
        <w:t xml:space="preserve"> — n-gram precision overlap with a brevity penalty BP:</w:t>
      </w:r>
      <w:r/>
    </w:p>
    <w:p>
      <w:pPr>
        <w:pBdr/>
        <w:spacing w:after="120" w:before="60"/>
        <w:ind/>
        <w:jc w:val="center"/>
        <w:rPr/>
      </w:pPr>
      <w:r>
        <w:rPr>
          <w:rFonts w:ascii="Cambria Math" w:hAnsi="Cambria Math" w:eastAsia="Cambria Math" w:cs="Cambria Math"/>
        </w:rPr>
        <w:t xml:space="preserve">BLEU = BP × exp( Σₙ₌₁⁴ ¼ · log pₙ )</w:t>
      </w:r>
      <w:r/>
    </w:p>
    <w:p>
      <w:pPr>
        <w:pBdr/>
        <w:spacing w:after="120" w:line="276" w:lineRule="auto"/>
        <w:ind/>
        <w:jc w:val="both"/>
        <w:rPr/>
      </w:pPr>
      <w:r>
        <w:rPr>
          <w:b/>
          <w:bCs/>
        </w:rPr>
        <w:t xml:space="preserve">ROUGE-L</w:t>
      </w:r>
      <w:r>
        <w:t xml:space="preserve"> — longest common subsequence (LCS) between output ŷ and reference y:</w:t>
      </w:r>
      <w:r/>
    </w:p>
    <w:p>
      <w:pPr>
        <w:pBdr/>
        <w:spacing w:after="120" w:before="60"/>
        <w:ind/>
        <w:jc w:val="center"/>
        <w:rPr/>
      </w:pPr>
      <w:r>
        <w:rPr>
          <w:rFonts w:ascii="Cambria Math" w:hAnsi="Cambria Math" w:eastAsia="Cambria Math" w:cs="Cambria Math"/>
        </w:rPr>
        <w:t xml:space="preserve">R = LCS / |y| ,  P = LCS / |ŷ| ,  F = 2PR / (P + R)</w:t>
      </w:r>
      <w:r/>
    </w:p>
    <w:p>
      <w:pPr>
        <w:pBdr/>
        <w:spacing w:after="120" w:line="276" w:lineRule="auto"/>
        <w:ind/>
        <w:jc w:val="both"/>
        <w:rPr/>
      </w:pPr>
      <w:r>
        <w:rPr>
          <w:b/>
          <w:bCs/>
        </w:rPr>
        <w:t xml:space="preserve">Word Error Rate</w:t>
      </w:r>
      <w:r>
        <w:t xml:space="preserve"> — substitutions S, deletions D and insertions I relative to the N reference words:</w:t>
      </w:r>
      <w:r/>
    </w:p>
    <w:p>
      <w:pPr>
        <w:pBdr/>
        <w:spacing w:after="120" w:before="60"/>
        <w:ind/>
        <w:jc w:val="center"/>
        <w:rPr/>
      </w:pPr>
      <w:r>
        <w:rPr>
          <w:rFonts w:ascii="Cambria Math" w:hAnsi="Cambria Math" w:eastAsia="Cambria Math" w:cs="Cambria Math"/>
        </w:rPr>
        <w:t xml:space="preserve">WER = (S + D + I) / N</w:t>
      </w:r>
      <w:r/>
    </w:p>
    <w:p>
      <w:pPr>
        <w:pBdr/>
        <w:spacing w:after="120" w:line="276" w:lineRule="auto"/>
        <w:ind/>
        <w:jc w:val="both"/>
        <w:rPr/>
      </w:pPr>
      <w:r>
        <w:rPr>
          <w:b/>
          <w:bCs/>
        </w:rPr>
        <w:t xml:space="preserve">Sentence accuracy</w:t>
      </w:r>
      <w:r>
        <w:t xml:space="preserve"> — the output is snapped to the most similar of the 101 sentences, then compared with the reference:</w:t>
      </w:r>
      <w:r/>
    </w:p>
    <w:p>
      <w:pPr>
        <w:pBdr/>
        <w:spacing w:after="120" w:before="60"/>
        <w:ind/>
        <w:jc w:val="center"/>
        <w:rPr/>
      </w:pPr>
      <w:r>
        <w:rPr>
          <w:rFonts w:ascii="Cambria Math" w:hAnsi="Cambria Math" w:eastAsia="Cambria Math" w:cs="Cambria Math"/>
        </w:rPr>
        <w:t xml:space="preserve">Accuracy = (correctly identified sentences) / (test clips)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2500"/>
        <w:gridCol w:w="2800"/>
        <w:gridCol w:w="2360"/>
      </w:tblGrid>
      <w:tr>
        <w:trPr>
          <w:tblHeader/>
        </w:trPr>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pPr>
              <w:pBdr/>
              <w:spacing/>
              <w:ind/>
              <w:rPr/>
            </w:pPr>
            <w:r>
              <w:rPr>
                <w:b/>
                <w:bCs/>
                <w:sz w:val="18"/>
                <w:szCs w:val="18"/>
              </w:rPr>
              <w:t xml:space="preserve">Metric</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tcPr>
          <w:p>
            <w:pPr>
              <w:pBdr/>
              <w:spacing/>
              <w:ind/>
              <w:rPr/>
            </w:pPr>
            <w:r>
              <w:rPr>
                <w:b/>
                <w:bCs/>
                <w:sz w:val="18"/>
                <w:szCs w:val="18"/>
              </w:rPr>
              <w:t xml:space="preserve">What it measures</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800" w:type="dxa"/>
          </w:tcPr>
          <w:p>
            <w:pPr>
              <w:pBdr/>
              <w:spacing/>
              <w:ind/>
              <w:rPr/>
            </w:pPr>
            <w:r>
              <w:rPr>
                <w:b/>
                <w:bCs/>
                <w:sz w:val="18"/>
                <w:szCs w:val="18"/>
              </w:rPr>
              <w:t xml:space="preserve">Why it suits this task</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60" w:type="dxa"/>
          </w:tcPr>
          <w:p>
            <w:pPr>
              <w:pBdr/>
              <w:spacing/>
              <w:ind/>
              <w:rPr/>
            </w:pPr>
            <w:r>
              <w:rPr>
                <w:b/>
                <w:bCs/>
                <w:sz w:val="18"/>
                <w:szCs w:val="18"/>
              </w:rPr>
              <w:t xml:space="preserve">Values in reviewed papers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pPr>
              <w:pBdr/>
              <w:spacing/>
              <w:ind/>
              <w:rPr/>
            </w:pPr>
            <w:r>
              <w:rPr>
                <w:sz w:val="18"/>
                <w:szCs w:val="18"/>
              </w:rPr>
              <w:t xml:space="preserve">BLEU</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tcPr>
          <w:p>
            <w:pPr>
              <w:pBdr/>
              <w:spacing/>
              <w:ind/>
              <w:rPr/>
            </w:pPr>
            <w:r>
              <w:rPr>
                <w:sz w:val="18"/>
                <w:szCs w:val="18"/>
              </w:rPr>
              <w:t xml:space="preserve">Word-sequence overlap with the reference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800" w:type="dxa"/>
          </w:tcPr>
          <w:p>
            <w:pPr>
              <w:pBdr/>
              <w:spacing/>
              <w:ind/>
              <w:rPr/>
            </w:pPr>
            <w:r>
              <w:rPr>
                <w:sz w:val="18"/>
                <w:szCs w:val="18"/>
              </w:rPr>
              <w:t xml:space="preserve">Standard translation metric, comparable across SLT papers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60" w:type="dxa"/>
          </w:tcPr>
          <w:p>
            <w:pPr>
              <w:pBdr/>
              <w:spacing/>
              <w:ind/>
              <w:rPr/>
            </w:pPr>
            <w:r>
              <w:rPr>
                <w:sz w:val="18"/>
                <w:szCs w:val="18"/>
              </w:rPr>
              <w:t xml:space="preserve">0.74 (Pandey et al., 2025)</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pPr>
              <w:pBdr/>
              <w:spacing/>
              <w:ind/>
              <w:rPr/>
            </w:pPr>
            <w:r>
              <w:rPr>
                <w:sz w:val="18"/>
                <w:szCs w:val="18"/>
              </w:rPr>
              <w:t xml:space="preserve">ROUGE-L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tcPr>
          <w:p>
            <w:pPr>
              <w:pBdr/>
              <w:spacing/>
              <w:ind/>
              <w:rPr/>
            </w:pPr>
            <w:r>
              <w:rPr>
                <w:sz w:val="18"/>
                <w:szCs w:val="18"/>
              </w:rPr>
              <w:t xml:space="preserve">Longest shared word sequence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800" w:type="dxa"/>
          </w:tcPr>
          <w:p>
            <w:pPr>
              <w:pBdr/>
              <w:spacing/>
              <w:ind/>
              <w:rPr/>
            </w:pPr>
            <w:r>
              <w:rPr>
                <w:sz w:val="18"/>
                <w:szCs w:val="18"/>
              </w:rPr>
              <w:t xml:space="preserve">Tolerates small word-order differences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60" w:type="dxa"/>
          </w:tcPr>
          <w:p>
            <w:pPr>
              <w:pBdr/>
              <w:spacing/>
              <w:ind/>
              <w:rPr/>
            </w:pPr>
            <w:r>
              <w:rPr>
                <w:sz w:val="18"/>
                <w:szCs w:val="18"/>
              </w:rPr>
              <w:t xml:space="preserve">Used with BLEU/WER; not reported numerically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pPr>
              <w:pBdr/>
              <w:spacing/>
              <w:ind/>
              <w:rPr/>
            </w:pPr>
            <w:r>
              <w:rPr>
                <w:sz w:val="18"/>
                <w:szCs w:val="18"/>
              </w:rPr>
              <w:t xml:space="preserve">WER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tcPr>
          <w:p>
            <w:pPr>
              <w:pBdr/>
              <w:spacing/>
              <w:ind/>
              <w:rPr/>
            </w:pPr>
            <w:r>
              <w:rPr>
                <w:sz w:val="18"/>
                <w:szCs w:val="18"/>
              </w:rPr>
              <w:t xml:space="preserve">Word-level edit errors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800" w:type="dxa"/>
          </w:tcPr>
          <w:p>
            <w:pPr>
              <w:pBdr/>
              <w:spacing/>
              <w:ind/>
              <w:rPr/>
            </w:pPr>
            <w:r>
              <w:rPr>
                <w:sz w:val="18"/>
                <w:szCs w:val="18"/>
              </w:rPr>
              <w:t xml:space="preserve">Sensitive to missed and extra words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60" w:type="dxa"/>
          </w:tcPr>
          <w:p>
            <w:pPr>
              <w:pBdr/>
              <w:spacing/>
              <w:ind/>
              <w:rPr/>
            </w:pPr>
            <w:r>
              <w:rPr>
                <w:sz w:val="18"/>
                <w:szCs w:val="18"/>
              </w:rPr>
              <w:t xml:space="preserve">19% (SignFlow, cited in Nedungadi et al., 2025)</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pPr>
              <w:pBdr/>
              <w:spacing/>
              <w:ind/>
              <w:rPr/>
            </w:pPr>
            <w:r>
              <w:rPr>
                <w:sz w:val="18"/>
                <w:szCs w:val="18"/>
              </w:rPr>
              <w:t xml:space="preserve">Sentence accuracy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tcPr>
          <w:p>
            <w:pPr>
              <w:pBdr/>
              <w:spacing/>
              <w:ind/>
              <w:rPr/>
            </w:pPr>
            <w:r>
              <w:rPr>
                <w:sz w:val="18"/>
                <w:szCs w:val="18"/>
              </w:rPr>
              <w:t xml:space="preserve">Share of clips whose sentence is identified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800" w:type="dxa"/>
          </w:tcPr>
          <w:p>
            <w:pPr>
              <w:pBdr/>
              <w:spacing/>
              <w:ind/>
              <w:rPr/>
            </w:pPr>
            <w:r>
              <w:rPr>
                <w:sz w:val="18"/>
                <w:szCs w:val="18"/>
              </w:rPr>
              <w:t xml:space="preserve">ISL-CSLTR has a closed set of 101 sentences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60" w:type="dxa"/>
          </w:tcPr>
          <w:p>
            <w:pPr>
              <w:pBdr/>
              <w:spacing/>
              <w:ind/>
              <w:rPr/>
            </w:pPr>
            <w:r>
              <w:rPr>
                <w:sz w:val="18"/>
                <w:szCs w:val="18"/>
              </w:rPr>
              <w:t xml:space="preserve">97.5% (Nedungadi et al., 2025); 94% (Gonfa et al., 2025)</w:t>
            </w:r>
            <w:r/>
          </w:p>
        </w:tc>
      </w:tr>
    </w:tbl>
    <w:p w14:paraId="79468071">
      <w:pPr>
        <w:pStyle w:val="735"/>
        <w:pBdr/>
        <w:spacing w:after="120" w:before="240"/>
        <w:ind/>
        <w:rPr/>
      </w:pPr>
      <w:r>
        <w:rPr>
          <w:highlight w:val="none"/>
        </w:rPr>
      </w:r>
      <w:r>
        <w:rPr>
          <w:highlight w:val="none"/>
        </w:rPr>
      </w:r>
      <w:r>
        <w:rPr>
          <w:highlight w:val="none"/>
        </w:rPr>
      </w:r>
    </w:p>
    <w:p w14:paraId="7EDC05E6">
      <w:pPr>
        <w:pStyle w:val="735"/>
        <w:pBdr/>
        <w:spacing w:after="120" w:before="240"/>
        <w:ind/>
        <w:rPr>
          <w:highlight w:val="none"/>
        </w:rPr>
      </w:pPr>
      <w:r>
        <w:rPr>
          <w:highlight w:val="none"/>
        </w:rPr>
      </w:r>
      <w:r>
        <w:rPr>
          <w:highlight w:val="none"/>
        </w:rPr>
      </w:r>
      <w:r>
        <w:rPr>
          <w:highlight w:val="none"/>
        </w:rPr>
      </w:r>
    </w:p>
    <w:p w14:paraId="1DB661B0">
      <w:pPr>
        <w:pStyle w:val="735"/>
        <w:pBdr/>
        <w:spacing w:after="120" w:before="240"/>
        <w:ind/>
        <w:rPr>
          <w:highlight w:val="none"/>
        </w:rPr>
      </w:pPr>
      <w:r>
        <w:rPr>
          <w:highlight w:val="none"/>
        </w:rPr>
      </w:r>
      <w:r>
        <w:rPr>
          <w:highlight w:val="none"/>
        </w:rPr>
      </w:r>
      <w:r>
        <w:rPr>
          <w:highlight w:val="none"/>
        </w:rPr>
      </w:r>
    </w:p>
    <w:p w14:paraId="233A12EA">
      <w:pPr>
        <w:pStyle w:val="735"/>
        <w:pBdr/>
        <w:spacing w:after="120" w:before="240"/>
        <w:ind/>
        <w:rPr>
          <w:highlight w:val="none"/>
        </w:rPr>
      </w:pPr>
      <w:r>
        <w:rPr>
          <w:highlight w:val="none"/>
        </w:rPr>
      </w:r>
      <w:r>
        <w:rPr>
          <w:highlight w:val="none"/>
        </w:rPr>
      </w:r>
      <w:r>
        <w:rPr>
          <w:highlight w:val="none"/>
        </w:rPr>
      </w:r>
    </w:p>
    <w:p w14:paraId="4B7078E0">
      <w:pPr>
        <w:pStyle w:val="735"/>
        <w:pBdr/>
        <w:spacing w:after="120" w:before="240"/>
        <w:ind/>
        <w:rPr>
          <w:highlight w:val="none"/>
        </w:rPr>
      </w:pPr>
      <w:r>
        <w:rPr>
          <w:highlight w:val="none"/>
        </w:rPr>
      </w:r>
      <w:r>
        <w:rPr>
          <w:highlight w:val="none"/>
        </w:rPr>
      </w:r>
      <w:r>
        <w:rPr>
          <w:highlight w:val="none"/>
        </w:rPr>
      </w:r>
    </w:p>
    <w:p>
      <w:pPr>
        <w:pStyle w:val="735"/>
        <w:pBdr/>
        <w:spacing w:after="120" w:before="240"/>
        <w:ind/>
        <w:rPr>
          <w:color w:val="000000" w:themeColor="text1"/>
          <w:highlight w:val="none"/>
        </w:rPr>
      </w:pPr>
      <w:r>
        <w:rPr>
          <w:color w:val="000000" w:themeColor="text1"/>
        </w:rPr>
        <w:t xml:space="preserve">5. Deep Learning Architecture</w:t>
      </w:r>
      <w:r>
        <w:rPr>
          <w:color w:val="000000" w:themeColor="text1"/>
        </w:rPr>
      </w:r>
    </w:p>
    <w:p>
      <w:pPr>
        <w:pStyle w:val="736"/>
        <w:pBdr/>
        <w:spacing w:after="100" w:before="200"/>
        <w:ind/>
        <w:rPr>
          <w:color w:val="000000" w:themeColor="text1"/>
        </w:rPr>
      </w:pPr>
      <w:r>
        <w:rPr>
          <w:color w:val="000000" w:themeColor="text1"/>
        </w:rPr>
        <w:t xml:space="preserve">a. Diagram</w:t>
      </w:r>
      <w:r>
        <w:rPr>
          <w:color w:val="000000" w:themeColor="text1"/>
        </w:rPr>
      </w:r>
    </w:p>
    <w:p>
      <w:pPr>
        <w:pBdr/>
        <w:spacing w:after="60" w:before="120"/>
        <w:ind/>
        <w:jc w:val="center"/>
        <w:rPr/>
      </w:pPr>
      <w:r>
        <mc:AlternateContent>
          <mc:Choice Requires="wpg">
            <w:drawing>
              <wp:inline xmlns:wp="http://schemas.openxmlformats.org/drawingml/2006/wordprocessingDrawing" distT="0" distB="0" distL="0" distR="0">
                <wp:extent cx="4754880" cy="3667125"/>
                <wp:effectExtent l="0" t="0" r="0" b="0"/>
                <wp:docPr id="2" name="arch_dl.png" descr="Figure 2: Dual-stream (pose + video) encoder feeding a partially fine-tuned BART decoder." title="Figure 2: Dual-stream (pose + video) encoder feeding a partially fine-tuned BART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754880" cy="3667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4.40pt;height:288.75pt;mso-wrap-distance-left:0.00pt;mso-wrap-distance-top:0.00pt;mso-wrap-distance-right:0.00pt;mso-wrap-distance-bottom:0.00pt;z-index:1;" stroked="false">
                <v:imagedata r:id="rId11" o:title=""/>
                <o:lock v:ext="edit" rotation="t"/>
              </v:shape>
            </w:pict>
          </mc:Fallback>
        </mc:AlternateContent>
      </w:r>
      <w:r/>
    </w:p>
    <w:p>
      <w:pPr>
        <w:pBdr/>
        <w:spacing w:after="240"/>
        <w:ind/>
        <w:jc w:val="center"/>
        <w:rPr/>
      </w:pPr>
      <w:r>
        <w:rPr>
          <w:i/>
          <w:iCs/>
          <w:color w:val="52514e"/>
          <w:sz w:val="18"/>
          <w:szCs w:val="18"/>
        </w:rPr>
        <w:t xml:space="preserve">Figure 2: Dual-stream (pose + video) encoder feeding a partially fine-tuned BART decoder.</w:t>
      </w:r>
      <w:r/>
    </w:p>
    <w:p>
      <w:pPr>
        <w:pStyle w:val="736"/>
        <w:pBdr/>
        <w:spacing w:after="100" w:before="200"/>
        <w:ind/>
        <w:rPr>
          <w:color w:val="000000" w:themeColor="text1"/>
        </w:rPr>
      </w:pPr>
      <w:r>
        <w:rPr>
          <w:color w:val="000000" w:themeColor="text1"/>
        </w:rPr>
        <w:t xml:space="preserve">b. Explanation</w:t>
      </w:r>
      <w:r>
        <w:rPr>
          <w:color w:val="000000" w:themeColor="text1"/>
        </w:rPr>
      </w:r>
    </w:p>
    <w:p>
      <w:pPr>
        <w:pBdr/>
        <w:spacing w:after="120" w:line="276" w:lineRule="auto"/>
        <w:ind/>
        <w:jc w:val="both"/>
        <w:rPr/>
      </w:pPr>
      <w:r>
        <w:t xml:space="preserve">The model has two encoders and one decoder. The </w:t>
      </w:r>
      <w:r>
        <w:rPr>
          <w:b/>
          <w:bCs/>
        </w:rPr>
        <w:t xml:space="preserve">pose stream</w:t>
      </w:r>
      <w:r>
        <w:t xml:space="preserve"> passes the 75 body and hand keypoints of every frame through a small Transformer that learns how the signing moves over time. The </w:t>
      </w:r>
      <w:r>
        <w:rPr>
          <w:b/>
          <w:bCs/>
        </w:rPr>
        <w:t xml:space="preserve">video stream</w:t>
      </w:r>
      <w:r>
        <w:t xml:space="preserve"> summarises the clip with a frozen VideoMAE model into 8 visual tokens. Both sets of tokens are joined into one sequence and handed to a pretrained </w:t>
      </w:r>
      <w:r>
        <w:rPr>
          <w:b/>
          <w:bCs/>
        </w:rPr>
        <w:t xml:space="preserve">BART decoder</w:t>
      </w:r>
      <w:r>
        <w:t xml:space="preserve">, which writes the English sentence word by word. Only BART's cross-attention layers — the part that "looks</w:t>
      </w:r>
      <w:r>
        <w:t xml:space="preserve"> at" the sign input — are trained; the rest keeps its pretrained English knowledge, so the output stays fluent even with little training data. The model is initialised from a checkpoint pretrained on the large iSign corpus and then fine-tuned on ISL-CSLTR.</w:t>
      </w:r>
      <w:r/>
    </w:p>
    <w:p w14:paraId="2006A413">
      <w:pPr>
        <w:pStyle w:val="736"/>
        <w:pBdr/>
        <w:spacing w:after="100" w:before="200"/>
        <w:ind/>
        <w:rPr/>
      </w:pPr>
      <w:r>
        <w:rPr>
          <w:highlight w:val="none"/>
        </w:rPr>
      </w:r>
      <w:r>
        <w:rPr>
          <w:highlight w:val="none"/>
        </w:rPr>
      </w:r>
      <w:r>
        <w:rPr>
          <w:highlight w:val="none"/>
        </w:rPr>
      </w:r>
    </w:p>
    <w:p w14:paraId="5C1A73D3">
      <w:pPr>
        <w:pStyle w:val="736"/>
        <w:pBdr/>
        <w:spacing w:after="100" w:before="200"/>
        <w:ind/>
        <w:rPr>
          <w:highlight w:val="none"/>
        </w:rPr>
      </w:pPr>
      <w:r>
        <w:rPr>
          <w:highlight w:val="none"/>
        </w:rPr>
      </w:r>
      <w:r>
        <w:rPr>
          <w:highlight w:val="none"/>
        </w:rPr>
      </w:r>
      <w:r>
        <w:rPr>
          <w:highlight w:val="none"/>
        </w:rPr>
      </w:r>
    </w:p>
    <w:p w14:paraId="3C3A0644">
      <w:pPr>
        <w:pStyle w:val="736"/>
        <w:pBdr/>
        <w:spacing w:after="100" w:before="200"/>
        <w:ind/>
        <w:rPr>
          <w:highlight w:val="none"/>
        </w:rPr>
      </w:pPr>
      <w:r>
        <w:rPr>
          <w:highlight w:val="none"/>
        </w:rPr>
      </w:r>
      <w:r>
        <w:rPr>
          <w:highlight w:val="none"/>
        </w:rPr>
      </w:r>
      <w:r>
        <w:rPr>
          <w:highlight w:val="none"/>
        </w:rPr>
      </w:r>
    </w:p>
    <w:p w14:paraId="5385C560">
      <w:pPr>
        <w:pStyle w:val="736"/>
        <w:pBdr/>
        <w:spacing w:after="100" w:before="200"/>
        <w:ind/>
        <w:rPr>
          <w:highlight w:val="none"/>
        </w:rPr>
      </w:pPr>
      <w:r>
        <w:rPr>
          <w:highlight w:val="none"/>
        </w:rPr>
      </w:r>
      <w:r>
        <w:rPr>
          <w:highlight w:val="none"/>
        </w:rPr>
      </w:r>
      <w:r>
        <w:rPr>
          <w:highlight w:val="none"/>
        </w:rPr>
      </w:r>
    </w:p>
    <w:p w14:paraId="5C6E973B">
      <w:pPr>
        <w:pStyle w:val="736"/>
        <w:pBdr/>
        <w:spacing w:after="100" w:before="200"/>
        <w:ind/>
        <w:rPr>
          <w:highlight w:val="none"/>
        </w:rPr>
      </w:pPr>
      <w:r>
        <w:rPr>
          <w:highlight w:val="none"/>
        </w:rPr>
      </w:r>
      <w:r>
        <w:rPr>
          <w:highlight w:val="none"/>
        </w:rPr>
      </w:r>
      <w:r>
        <w:rPr>
          <w:highlight w:val="none"/>
        </w:rPr>
      </w:r>
    </w:p>
    <w:p w14:paraId="67766200">
      <w:pPr>
        <w:pStyle w:val="736"/>
        <w:pBdr/>
        <w:spacing w:after="100" w:before="200"/>
        <w:ind/>
        <w:rPr>
          <w:highlight w:val="none"/>
        </w:rPr>
      </w:pPr>
      <w:r>
        <w:rPr>
          <w:highlight w:val="none"/>
        </w:rPr>
      </w:r>
      <w:r>
        <w:rPr>
          <w:highlight w:val="none"/>
        </w:rPr>
      </w:r>
      <w:r>
        <w:rPr>
          <w:highlight w:val="none"/>
        </w:rPr>
      </w:r>
    </w:p>
    <w:p>
      <w:pPr>
        <w:pStyle w:val="736"/>
        <w:pBdr/>
        <w:spacing w:after="100" w:before="200"/>
        <w:ind/>
        <w:rPr>
          <w:color w:val="000000" w:themeColor="text1"/>
          <w:highlight w:val="none"/>
        </w:rPr>
      </w:pPr>
      <w:r>
        <w:rPr>
          <w:color w:val="000000" w:themeColor="text1"/>
        </w:rPr>
        <w:t xml:space="preserve">c. Adversarial Modality Alignment (GAN component)</w:t>
      </w:r>
      <w:r>
        <w:rPr>
          <w:color w:val="000000" w:themeColor="text1"/>
        </w:rPr>
      </w:r>
    </w:p>
    <w:p>
      <w:pPr>
        <w:pBdr/>
        <w:spacing w:after="60" w:before="120"/>
        <w:ind/>
        <w:jc w:val="center"/>
        <w:rPr/>
      </w:pPr>
      <w:r>
        <mc:AlternateContent>
          <mc:Choice Requires="wpg">
            <w:drawing>
              <wp:inline xmlns:wp="http://schemas.openxmlformats.org/drawingml/2006/wordprocessingDrawing" distT="0" distB="0" distL="0" distR="0">
                <wp:extent cx="5486400" cy="2743200"/>
                <wp:effectExtent l="0" t="0" r="0" b="0"/>
                <wp:docPr id="3" name="gan_architecture.png" descr="Figure 3: GAN-style modality alignment. The discriminator tries to tell video from pose; the reversed gradient trains the encoders to fool it." title="Figure 3: GAN-style modality alignment. The discriminator tries to tell video from pose; the reversed gradient trains the encoders to fool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4864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16.00pt;mso-wrap-distance-left:0.00pt;mso-wrap-distance-top:0.00pt;mso-wrap-distance-right:0.00pt;mso-wrap-distance-bottom:0.00pt;z-index:1;" stroked="false">
                <v:imagedata r:id="rId12" o:title=""/>
                <o:lock v:ext="edit" rotation="t"/>
              </v:shape>
            </w:pict>
          </mc:Fallback>
        </mc:AlternateContent>
      </w:r>
      <w:r/>
    </w:p>
    <w:p>
      <w:pPr>
        <w:pBdr/>
        <w:spacing w:after="240"/>
        <w:ind/>
        <w:jc w:val="center"/>
        <w:rPr/>
      </w:pPr>
      <w:r>
        <w:rPr>
          <w:i/>
          <w:iCs/>
          <w:color w:val="52514e"/>
          <w:sz w:val="18"/>
          <w:szCs w:val="18"/>
        </w:rPr>
        <w:t xml:space="preserve">Figure 3: GAN-style modality alignment. The discriminator tries to tell video from pose; the reversed gradient trains the encoders to fool it.</w:t>
      </w:r>
      <w:r/>
    </w:p>
    <w:p>
      <w:pPr>
        <w:pBdr/>
        <w:spacing w:after="120" w:line="276" w:lineRule="auto"/>
        <w:ind/>
        <w:jc w:val="both"/>
        <w:rPr/>
      </w:pPr>
      <w:r>
        <w:t xml:space="preserve">As in a GAN, two parts compete. A small </w:t>
      </w:r>
      <w:r>
        <w:rPr>
          <w:b/>
          <w:bCs/>
        </w:rPr>
        <w:t xml:space="preserve">discriminator</w:t>
      </w:r>
      <w:r>
        <w:t xml:space="preserve"> looks at the pooled video representation and the pooled pose representation and tries to say which is which. The </w:t>
      </w:r>
      <w:r>
        <w:rPr>
          <w:b/>
          <w:bCs/>
        </w:rPr>
        <w:t xml:space="preserve">encoders</w:t>
      </w:r>
      <w:r>
        <w:t xml:space="preserve"> play the generator's role: through a gradient-reversal layer they are trained to make the two representations indistinguishable, while still producing correct translations. The idea is to place both modaliti</w:t>
      </w:r>
      <w:r>
        <w:t xml:space="preserve">es in one shared space, so the decoder can use whichever stream carries the evidence. The strength of the adversarial signal (λ) is ramped up during training; two strengths, λ = 0.1 and λ = 1.0, were compared with a model trained without the discriminator.</w:t>
      </w:r>
      <w:r/>
    </w:p>
    <w:p>
      <w:pPr>
        <w:pBdr/>
        <w:spacing w:after="120" w:line="276" w:lineRule="auto"/>
        <w:ind/>
        <w:jc w:val="both"/>
        <w:rPr/>
      </w:pPr>
      <w:r>
        <w:t xml:space="preserve">Other design choices: reuse of a pretrained lan</w:t>
      </w:r>
      <w:r>
        <w:t xml:space="preserve">guage decoder trained only through cross-attention; transfer from a large ISL corpus (iSign) to a small one (ISL-CSLTR); and scheduled sampling, which occasionally feeds the decoder its own predictions during training so it learns to recover from mistakes.</w:t>
      </w:r>
      <w:r/>
    </w:p>
    <w:p>
      <w:pPr>
        <w:pStyle w:val="735"/>
        <w:pBdr/>
        <w:spacing w:after="120" w:before="240"/>
        <w:ind/>
        <w:rPr>
          <w:color w:val="000000" w:themeColor="text1"/>
        </w:rPr>
      </w:pPr>
      <w:r>
        <w:rPr>
          <w:color w:val="000000" w:themeColor="text1"/>
        </w:rPr>
        <w:t xml:space="preserve">6. Hyperparameter Details Table with Justification</w:t>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0"/>
        <w:gridCol w:w="2700"/>
        <w:gridCol w:w="4560"/>
      </w:tblGrid>
      <w:tr>
        <w:trPr>
          <w:tblHeader/>
        </w:trPr>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b/>
                <w:bCs/>
                <w:sz w:val="18"/>
                <w:szCs w:val="18"/>
              </w:rPr>
              <w:t xml:space="preserve">Hyperparameter</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b/>
                <w:bCs/>
                <w:sz w:val="18"/>
                <w:szCs w:val="18"/>
              </w:rPr>
              <w:t xml:space="preserve">Value</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b/>
                <w:bCs/>
                <w:sz w:val="18"/>
                <w:szCs w:val="18"/>
              </w:rPr>
              <w:t xml:space="preserve">Justification</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Initialisation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iSign-pretrained checkpoint (v7)</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Transfers knowledge learned on 10K+ clips to a 489-clip training set</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Epochs / batch size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25 / 16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≈31 steps per epoch; validation scores plateau within 25 epochs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Learning rate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5e-5 (model), 1e-4 (discriminator)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Gentle fine-tuning of the pretrained model; the discriminator learns faster so it keeps up, as in GAN training</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LR schedule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5% warm-up, then cosine decay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Stable start and smooth decay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GAN strength λ</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0 (base), 0.1, 1.0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λ = 1.0 added because the discriminator still won completely at λ = 0.1</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Scheduled sampling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up to 25% of decoder inputs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Reduces the gap between training and generation</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Label smoothing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0.1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Regularises the decoder on a 101-sentence vocabulary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Max pose length</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450 frames, evenly subsampled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Keeps the whole sentence while bounding attention cost</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Seeds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42, 43, 44 for every setting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Results on 99 test clips vary a lot between runs; 3 seeds allow mean ± sd</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Model selection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Best validation accuracy + BLEU/100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Prefers the epoch that identifies the most sentences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00" w:type="dxa"/>
          </w:tcPr>
          <w:p>
            <w:pPr>
              <w:pBdr/>
              <w:spacing/>
              <w:ind/>
              <w:rPr/>
            </w:pPr>
            <w:r>
              <w:rPr>
                <w:sz w:val="18"/>
                <w:szCs w:val="18"/>
              </w:rPr>
              <w:t xml:space="preserve">Decoding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700" w:type="dxa"/>
          </w:tcPr>
          <w:p>
            <w:pPr>
              <w:pBdr/>
              <w:spacing/>
              <w:ind/>
              <w:rPr/>
            </w:pPr>
            <w:r>
              <w:rPr>
                <w:sz w:val="18"/>
                <w:szCs w:val="18"/>
              </w:rPr>
              <w:t xml:space="preserve">Beam search, 4 beams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60" w:type="dxa"/>
          </w:tcPr>
          <w:p>
            <w:pPr>
              <w:pBdr/>
              <w:spacing/>
              <w:ind/>
              <w:rPr/>
            </w:pPr>
            <w:r>
              <w:rPr>
                <w:sz w:val="18"/>
                <w:szCs w:val="18"/>
              </w:rPr>
              <w:t xml:space="preserve">Standard quality/speed trade-off</w:t>
            </w:r>
            <w:r/>
          </w:p>
        </w:tc>
      </w:tr>
    </w:tbl>
    <w:p>
      <w:pPr>
        <w:pStyle w:val="735"/>
        <w:pBdr/>
        <w:spacing w:after="120" w:before="240"/>
        <w:ind/>
        <w:rPr>
          <w:color w:val="000000" w:themeColor="text1"/>
        </w:rPr>
      </w:pPr>
      <w:r>
        <w:rPr>
          <w:color w:val="000000" w:themeColor="text1"/>
        </w:rPr>
        <w:t xml:space="preserve">7. Results </w:t>
      </w:r>
      <w:r>
        <w:rPr>
          <w:color w:val="000000" w:themeColor="text1"/>
        </w:rPr>
      </w:r>
    </w:p>
    <w:p>
      <w:pPr>
        <w:pBdr/>
        <w:spacing w:after="120" w:line="276" w:lineRule="auto"/>
        <w:ind/>
        <w:jc w:val="both"/>
        <w:rPr/>
      </w:pPr>
      <w:r>
        <w:t xml:space="preserve">ISL-CSLTR provides 101 everyday sentences, each signed 1–9 times. 687 videos were usable: 489 for training, 99 for validation and 99 for testing. Each setting was trained with three seeds; the table reports test results as mean ± standard deviation.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60"/>
        <w:gridCol w:w="1400"/>
        <w:gridCol w:w="1350"/>
        <w:gridCol w:w="1350"/>
        <w:gridCol w:w="1350"/>
        <w:gridCol w:w="1350"/>
      </w:tblGrid>
      <w:tr>
        <w:trPr>
          <w:tblHeader/>
        </w:trPr>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pPr>
              <w:pBdr/>
              <w:spacing/>
              <w:ind/>
              <w:rPr/>
            </w:pPr>
            <w:r>
              <w:rPr>
                <w:b/>
                <w:bCs/>
                <w:sz w:val="18"/>
                <w:szCs w:val="18"/>
              </w:rPr>
              <w:t xml:space="preserve">Setting</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400" w:type="dxa"/>
          </w:tcPr>
          <w:p>
            <w:pPr>
              <w:pBdr/>
              <w:spacing/>
              <w:ind/>
              <w:rPr/>
            </w:pPr>
            <w:r>
              <w:rPr>
                <w:b/>
                <w:bCs/>
                <w:sz w:val="18"/>
                <w:szCs w:val="18"/>
              </w:rPr>
              <w:t xml:space="preserve">Sentence acc.</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b/>
                <w:bCs/>
                <w:sz w:val="18"/>
                <w:szCs w:val="18"/>
              </w:rPr>
              <w:t xml:space="preserve">BLEU</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b/>
                <w:bCs/>
                <w:sz w:val="18"/>
                <w:szCs w:val="18"/>
              </w:rPr>
              <w:t xml:space="preserve">ROUGE-L</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b/>
                <w:bCs/>
                <w:sz w:val="18"/>
                <w:szCs w:val="18"/>
              </w:rPr>
              <w:t xml:space="preserve">WER</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b/>
                <w:bCs/>
                <w:sz w:val="18"/>
                <w:szCs w:val="18"/>
              </w:rPr>
              <w:t xml:space="preserve">Discriminator acc.</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pPr>
              <w:pBdr/>
              <w:spacing/>
              <w:ind/>
              <w:rPr/>
            </w:pPr>
            <w:r>
              <w:rPr>
                <w:sz w:val="18"/>
                <w:szCs w:val="18"/>
              </w:rPr>
              <w:t xml:space="preserve">Pretrained model, no fine-tuning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400" w:type="dxa"/>
          </w:tcPr>
          <w:p>
            <w:pPr>
              <w:pBdr/>
              <w:spacing/>
              <w:ind/>
              <w:rPr/>
            </w:pPr>
            <w:r>
              <w:rPr>
                <w:sz w:val="18"/>
                <w:szCs w:val="18"/>
              </w:rPr>
              <w:t xml:space="preserve">0.020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0.60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0.071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1.273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pPr>
              <w:pBdr/>
              <w:spacing/>
              <w:ind/>
              <w:rPr/>
            </w:pPr>
            <w:r>
              <w:rPr>
                <w:sz w:val="18"/>
                <w:szCs w:val="18"/>
              </w:rPr>
              <w:t xml:space="preserve">Base (no GAN)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400" w:type="dxa"/>
          </w:tcPr>
          <w:p>
            <w:pPr>
              <w:pBdr/>
              <w:spacing/>
              <w:ind/>
              <w:rPr/>
            </w:pPr>
            <w:r>
              <w:rPr>
                <w:sz w:val="18"/>
                <w:szCs w:val="18"/>
              </w:rPr>
              <w:t xml:space="preserve">0.084 ± 0.021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12.61 ± 3.20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0.199 ± 0.012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0.930 ± 0.007</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pPr>
              <w:pBdr/>
              <w:spacing/>
              <w:ind/>
              <w:rPr/>
            </w:pPr>
            <w:r>
              <w:rPr>
                <w:sz w:val="18"/>
                <w:szCs w:val="18"/>
              </w:rPr>
              <w:t xml:space="preserve">GAN, λ = 0.1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400" w:type="dxa"/>
          </w:tcPr>
          <w:p>
            <w:pPr>
              <w:pBdr/>
              <w:spacing/>
              <w:ind/>
              <w:rPr/>
            </w:pPr>
            <w:r>
              <w:rPr>
                <w:sz w:val="18"/>
                <w:szCs w:val="18"/>
              </w:rPr>
              <w:t xml:space="preserve">0.084 ± 0.023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13.19 ± 3.46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0.206 ± 0.031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0.921 ± 0.030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1.00</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pPr>
              <w:pBdr/>
              <w:spacing/>
              <w:ind/>
              <w:rPr/>
            </w:pPr>
            <w:r>
              <w:rPr>
                <w:sz w:val="18"/>
                <w:szCs w:val="18"/>
              </w:rPr>
              <w:t xml:space="preserve">GAN, λ = 1.0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400" w:type="dxa"/>
          </w:tcPr>
          <w:p>
            <w:pPr>
              <w:pBdr/>
              <w:spacing/>
              <w:ind/>
              <w:rPr/>
            </w:pPr>
            <w:r>
              <w:rPr>
                <w:sz w:val="18"/>
                <w:szCs w:val="18"/>
              </w:rPr>
              <w:t xml:space="preserve">0.074 ± 0.015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10.83 ± 1.11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0.197 ± 0.020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0.945 ± 0.019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50" w:type="dxa"/>
          </w:tcPr>
          <w:p>
            <w:pPr>
              <w:pBdr/>
              <w:spacing/>
              <w:ind/>
              <w:rPr/>
            </w:pPr>
            <w:r>
              <w:rPr>
                <w:sz w:val="18"/>
                <w:szCs w:val="18"/>
              </w:rPr>
              <w:t xml:space="preserve">1.00</w:t>
            </w:r>
            <w:r/>
          </w:p>
        </w:tc>
      </w:tr>
    </w:tbl>
    <w:p>
      <w:pPr>
        <w:pBdr/>
        <w:spacing w:after="240"/>
        <w:ind/>
        <w:jc w:val="center"/>
        <w:rPr/>
      </w:pPr>
      <w:r>
        <w:rPr>
          <w:i/>
          <w:iCs/>
          <w:color w:val="52514e"/>
          <w:sz w:val="18"/>
          <w:szCs w:val="18"/>
        </w:rPr>
        <w:t xml:space="preserve">Table 1: ISL-CSLTR test results (99 clips, 3 seeds per setting).</w:t>
      </w:r>
      <w:r/>
    </w:p>
    <w:p>
      <w:pPr>
        <w:pBdr/>
        <w:spacing w:after="60" w:before="120"/>
        <w:ind/>
        <w:jc w:val="center"/>
        <w:rPr/>
      </w:pPr>
      <w:r>
        <mc:AlternateContent>
          <mc:Choice Requires="wpg">
            <w:drawing>
              <wp:inline xmlns:wp="http://schemas.openxmlformats.org/drawingml/2006/wordprocessingDrawing" distT="0" distB="0" distL="0" distR="0">
                <wp:extent cx="5669280" cy="2095500"/>
                <wp:effectExtent l="0" t="0" r="0" b="0"/>
                <wp:docPr id="4" name="gan_results.png" descr="Figure 4: Test sentence accuracy and BLEU per setting (bars = mean, whiskers = sd, dots = individual seeds)." title="Figure 4: Test sentence accuracy and BLEU per setting (bars = mean, whiskers = sd, dots = individual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669280" cy="2095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165.00pt;mso-wrap-distance-left:0.00pt;mso-wrap-distance-top:0.00pt;mso-wrap-distance-right:0.00pt;mso-wrap-distance-bottom:0.00pt;z-index:1;" stroked="false">
                <v:imagedata r:id="rId13" o:title=""/>
                <o:lock v:ext="edit" rotation="t"/>
              </v:shape>
            </w:pict>
          </mc:Fallback>
        </mc:AlternateContent>
      </w:r>
      <w:r/>
    </w:p>
    <w:p>
      <w:pPr>
        <w:pBdr/>
        <w:spacing w:after="240"/>
        <w:ind/>
        <w:jc w:val="center"/>
        <w:rPr/>
      </w:pPr>
      <w:r>
        <w:rPr>
          <w:i/>
          <w:iCs/>
          <w:color w:val="52514e"/>
          <w:sz w:val="18"/>
          <w:szCs w:val="18"/>
        </w:rPr>
        <w:t xml:space="preserve">Figure 4: Test sentence accuracy and BLEU per setting (bars = mean, whiskers = sd, dots = individual seeds).</w:t>
      </w:r>
      <w:r/>
    </w:p>
    <w:p>
      <w:pPr>
        <w:pBdr/>
        <w:spacing w:after="120" w:line="276" w:lineRule="auto"/>
        <w:ind/>
        <w:jc w:val="both"/>
        <w:rPr/>
      </w:pPr>
      <w:r>
        <w:rPr>
          <w:b/>
          <w:bCs/>
        </w:rPr>
        <w:t xml:space="preserve">Fine-tuning works.</w:t>
      </w:r>
      <w:r>
        <w:t xml:space="preserve"> Without fine-tuning, the pretrained model identifies only 2% of sentences; after fine-tuning it reaches 8.4% and BLEU rises from 0.6 to 12.6.</w:t>
      </w:r>
      <w:r/>
    </w:p>
    <w:p>
      <w:pPr>
        <w:pBdr/>
        <w:spacing w:after="120" w:line="276" w:lineRule="auto"/>
        <w:ind/>
        <w:jc w:val="both"/>
        <w:rPr/>
      </w:pPr>
      <w:r>
        <w:rPr>
          <w:b/>
          <w:bCs/>
        </w:rPr>
        <w:t xml:space="preserve">The GAN component did not help.</w:t>
      </w:r>
      <w:r>
        <w:t xml:space="preserve"> Accuracy with the discriminator was the same (λ = 0.1) or</w:t>
      </w:r>
      <w:r>
        <w:t xml:space="preserve"> slightly lower (λ = 1.0), and paired statistical tests found no significant difference (p ≥ 0.69 for every seed). The discriminator always told video and pose apart with 100% accuracy, so the encoders never managed to fool it and no alignment happened. Th</w:t>
      </w:r>
      <w:r>
        <w:t xml:space="preserve">e two inputs are very different by construction (8 frozen video tokens vs hundreds of pose frames), and the small dataset gave the encoders few training steps to adapt. Longer adversarial training or a softer alignment loss would be the next things to try.</w:t>
      </w:r>
      <w:r/>
    </w:p>
    <w:p>
      <w:pPr>
        <w:pBdr/>
        <w:spacing w:after="120" w:line="276" w:lineRule="auto"/>
        <w:ind/>
        <w:jc w:val="both"/>
        <w:rPr/>
      </w:pPr>
      <w:r>
        <w:rPr>
          <w:b/>
          <w:bCs/>
        </w:rPr>
        <w:t xml:space="preserve">Final model.</w:t>
      </w:r>
      <w:r>
        <w:t xml:space="preserve"> The run with the best validation score (GAN λ = 1.0, seed 43) was kept: </w:t>
      </w:r>
      <w:r>
        <w:rPr>
          <w:b/>
          <w:bCs/>
        </w:rPr>
        <w:t xml:space="preserve">9.1% sentence accuracy, BLEU 12.06, ROUGE-L 0.217, WER 0.928</w:t>
      </w:r>
      <w:r>
        <w:t xml:space="preserve"> on the test set. Its choice reflects normal run-to-run variation rather than a real benefit of the GAN.</w:t>
      </w:r>
      <w:r/>
    </w:p>
    <w:p>
      <w:pPr>
        <w:pStyle w:val="735"/>
        <w:pBdr/>
        <w:spacing w:after="120" w:before="240"/>
        <w:ind/>
        <w:rPr>
          <w:color w:val="000000" w:themeColor="text1"/>
        </w:rPr>
      </w:pPr>
      <w:r>
        <w:rPr>
          <w:color w:val="000000" w:themeColor="text1"/>
        </w:rPr>
        <w:t xml:space="preserve">8. Test and Evaluation</w:t>
      </w:r>
      <w:r>
        <w:rPr>
          <w:color w:val="000000" w:themeColor="text1"/>
        </w:rPr>
      </w:r>
    </w:p>
    <w:p>
      <w:pPr>
        <w:pBdr/>
        <w:spacing w:after="120" w:line="276" w:lineRule="auto"/>
        <w:ind/>
        <w:jc w:val="both"/>
        <w:rPr/>
      </w:pPr>
      <w:r>
        <w:t xml:space="preserve">The final model was tested following the CDAO </w:t>
      </w:r>
      <w:r>
        <w:rPr>
          <w:i/>
          <w:iCs/>
        </w:rPr>
        <w:t xml:space="preserve">Test and Evaluation of Artificial Intelligence Models</w:t>
      </w:r>
      <w:r>
        <w:t xml:space="preserve"> framework (2024), which stresses that accuracy is only the "tip of the iceberg" and that robustness, uncertainty, bias, data quality and speed must also be checked. Pass/fail thresholds were set before testing.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4100"/>
        <w:gridCol w:w="2160"/>
        <w:gridCol w:w="1200"/>
      </w:tblGrid>
      <w:tr>
        <w:trPr>
          <w:tblHeader/>
        </w:trPr>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b/>
                <w:bCs/>
                <w:sz w:val="18"/>
                <w:szCs w:val="18"/>
              </w:rPr>
              <w:t xml:space="preserve">Area</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b/>
                <w:bCs/>
                <w:sz w:val="18"/>
                <w:szCs w:val="18"/>
              </w:rPr>
              <w:t xml:space="preserve">Criterion</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b/>
                <w:bCs/>
                <w:sz w:val="18"/>
                <w:szCs w:val="18"/>
              </w:rPr>
              <w:t xml:space="preserve">Result</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b/>
                <w:bCs/>
                <w:sz w:val="18"/>
                <w:szCs w:val="18"/>
              </w:rPr>
              <w:t xml:space="preserve">Status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Correctness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Better than the un-fine-tuned model (statistically significant)</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0.091 vs 0.020, p = 0.065</w:t>
            </w:r>
            <w:r/>
          </w:p>
        </w:tc>
        <w:tc>
          <w:tcPr>
            <w:shd w:val="clear" w:color="auto" w:fill="fbe5dd"/>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FAIL</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Data quality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No identical clips in training and test</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3 found</w:t>
            </w:r>
            <w:r/>
          </w:p>
        </w:tc>
        <w:tc>
          <w:tcPr>
            <w:shd w:val="clear" w:color="auto" w:fill="fbe5dd"/>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FAIL</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Data quality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Near-duplicate share ≤ 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46% (studio background)</w:t>
            </w:r>
            <w:r/>
          </w:p>
        </w:tc>
        <w:tc>
          <w:tcPr>
            <w:shd w:val="clear" w:color="auto" w:fill="fbe5dd"/>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FAIL</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Representativeness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Test set looks like training set (AUC ≤ 0.65)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0.53</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Consistency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Same input → same output</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100%</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Consistency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Batch size does not change output (≥ 99%)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100%</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Consistency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Same output at 0.9× / 1.1× speed (≥ 90%)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88%</w:t>
            </w:r>
            <w:r/>
          </w:p>
        </w:tc>
        <w:tc>
          <w:tcPr>
            <w:shd w:val="clear" w:color="auto" w:fill="fbe5dd"/>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FAIL</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Robustness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Accuracy drop under moderate noise ≤ 20%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13%</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Uncertainty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Confidence separates right from wrong (AUROC ≥ 0.70)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0.75</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Uncertainty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Confidence matches accuracy (ECE ≤ 0.15)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0.50</w:t>
            </w:r>
            <w:r/>
          </w:p>
        </w:tc>
        <w:tc>
          <w:tcPr>
            <w:shd w:val="clear" w:color="auto" w:fill="fbe5dd"/>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FAIL</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Fairness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Accuracy gap between subgroups ≤ 0.20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0.17</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Speed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Model response ≤ 1 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0.45 s</w:t>
            </w:r>
            <w:r/>
          </w:p>
        </w:tc>
        <w:tc>
          <w:tcPr>
            <w:shd w:val="clear" w:color="auto" w:fill="e3f4ea"/>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PASS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pPr>
              <w:pBdr/>
              <w:spacing/>
              <w:ind/>
              <w:rPr/>
            </w:pPr>
            <w:r>
              <w:rPr>
                <w:sz w:val="18"/>
                <w:szCs w:val="18"/>
              </w:rPr>
              <w:t xml:space="preserve">Speed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100" w:type="dxa"/>
          </w:tcPr>
          <w:p>
            <w:pPr>
              <w:pBdr/>
              <w:spacing/>
              <w:ind/>
              <w:rPr/>
            </w:pPr>
            <w:r>
              <w:rPr>
                <w:sz w:val="18"/>
                <w:szCs w:val="18"/>
              </w:rPr>
              <w:t xml:space="preserve">Whole pipeline ≤ 10 s for a 5 s clip</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160" w:type="dxa"/>
          </w:tcPr>
          <w:p>
            <w:pPr>
              <w:pBdr/>
              <w:spacing/>
              <w:ind/>
              <w:rPr/>
            </w:pPr>
            <w:r>
              <w:rPr>
                <w:sz w:val="18"/>
                <w:szCs w:val="18"/>
              </w:rPr>
              <w:t xml:space="preserve">18.8 s (CPU)</w:t>
            </w:r>
            <w:r/>
          </w:p>
        </w:tc>
        <w:tc>
          <w:tcPr>
            <w:shd w:val="clear" w:color="auto" w:fill="fbe5dd"/>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pPr>
              <w:pBdr/>
              <w:spacing/>
              <w:ind/>
              <w:rPr/>
            </w:pPr>
            <w:r>
              <w:rPr>
                <w:sz w:val="18"/>
                <w:szCs w:val="18"/>
              </w:rPr>
              <w:t xml:space="preserve">FAIL</w:t>
            </w:r>
            <w:r/>
          </w:p>
        </w:tc>
      </w:tr>
    </w:tbl>
    <w:p>
      <w:pPr>
        <w:pBdr/>
        <w:spacing w:after="240"/>
        <w:ind/>
        <w:jc w:val="center"/>
        <w:rPr/>
      </w:pPr>
      <w:r>
        <w:rPr>
          <w:i/>
          <w:iCs/>
          <w:color w:val="52514e"/>
          <w:sz w:val="18"/>
          <w:szCs w:val="18"/>
        </w:rPr>
        <w:t xml:space="preserve">Table 2: Test &amp; evaluation scorecard — 7 of 13 criteria passed.</w:t>
      </w:r>
      <w:r/>
    </w:p>
    <w:p>
      <w:pPr>
        <w:pStyle w:val="736"/>
        <w:pBdr/>
        <w:spacing w:after="100" w:before="200"/>
        <w:ind/>
        <w:rPr>
          <w:color w:val="000000" w:themeColor="text1"/>
        </w:rPr>
      </w:pPr>
      <w:r>
        <w:rPr>
          <w:color w:val="000000" w:themeColor="text1"/>
        </w:rPr>
        <w:t xml:space="preserve">8.1 Correctness and data quality</w:t>
      </w:r>
      <w:r>
        <w:rPr>
          <w:color w:val="000000" w:themeColor="text1"/>
        </w:rPr>
      </w:r>
    </w:p>
    <w:p>
      <w:pPr>
        <w:pBdr/>
        <w:spacing w:after="120" w:line="276" w:lineRule="auto"/>
        <w:ind/>
        <w:jc w:val="both"/>
        <w:rPr/>
      </w:pPr>
      <w:r>
        <w:t xml:space="preserve">Test accuracy is 9.1% (95% confidence i</w:t>
      </w:r>
      <w:r>
        <w:t xml:space="preserve">nterval 4–15%). Nearly every output (99%) is one of the 101 known sentences, so mistakes are confusions between similar sentences (e.g. "can i help you" → "how can i help you") rather than nonsense. The gain over the un-fine-tuned model (9 clips gained, 2 </w:t>
      </w:r>
      <w:r>
        <w:t xml:space="preserve">lost) narrowly misses statistical significance with only 99 test clips. Three test clips turned out to be exact copies of training clips and should be removed. The train and test sets are otherwise well matched in clip length, hand visibility and movement.</w:t>
      </w:r>
      <w:r/>
    </w:p>
    <w:p w14:paraId="032100C9">
      <w:pPr>
        <w:pStyle w:val="736"/>
        <w:pBdr/>
        <w:spacing w:after="100" w:before="200"/>
        <w:ind/>
        <w:rPr/>
      </w:pPr>
      <w:r>
        <w:rPr>
          <w:highlight w:val="none"/>
        </w:rPr>
      </w:r>
      <w:r>
        <w:rPr>
          <w:highlight w:val="none"/>
        </w:rPr>
      </w:r>
      <w:r>
        <w:rPr>
          <w:highlight w:val="none"/>
        </w:rPr>
      </w:r>
    </w:p>
    <w:p w14:paraId="3C351E5E">
      <w:pPr>
        <w:pStyle w:val="736"/>
        <w:pBdr/>
        <w:spacing w:after="100" w:before="200"/>
        <w:ind/>
        <w:rPr>
          <w:highlight w:val="none"/>
        </w:rPr>
      </w:pPr>
      <w:r>
        <w:rPr>
          <w:highlight w:val="none"/>
        </w:rPr>
      </w:r>
      <w:r>
        <w:rPr>
          <w:highlight w:val="none"/>
        </w:rPr>
      </w:r>
      <w:r>
        <w:rPr>
          <w:highlight w:val="none"/>
        </w:rPr>
      </w:r>
    </w:p>
    <w:p>
      <w:pPr>
        <w:pStyle w:val="736"/>
        <w:pBdr/>
        <w:spacing w:after="100" w:before="200"/>
        <w:ind/>
        <w:rPr>
          <w:color w:val="000000" w:themeColor="text1"/>
          <w:highlight w:val="none"/>
        </w:rPr>
      </w:pPr>
      <w:r>
        <w:rPr>
          <w:color w:val="000000" w:themeColor="text1"/>
        </w:rPr>
        <w:t xml:space="preserve">8.2 Uncertainty</w:t>
      </w:r>
      <w:r>
        <w:rPr>
          <w:color w:val="000000" w:themeColor="text1"/>
        </w:rPr>
      </w:r>
    </w:p>
    <w:p>
      <w:pPr>
        <w:pBdr/>
        <w:spacing w:after="60" w:before="120"/>
        <w:ind/>
        <w:jc w:val="center"/>
        <w:rPr/>
      </w:pPr>
      <w:r>
        <mc:AlternateContent>
          <mc:Choice Requires="wpg">
            <w:drawing>
              <wp:inline xmlns:wp="http://schemas.openxmlformats.org/drawingml/2006/wordprocessingDrawing" distT="0" distB="0" distL="0" distR="0">
                <wp:extent cx="5120640" cy="2143125"/>
                <wp:effectExtent l="0" t="0" r="0" b="0"/>
                <wp:docPr id="5" name="te_uncert.png" descr="Figure 5: Calibration (left) and accuracy when answering only the most confident clips (right)." title="Figure 5: Calibration (left) and accuracy when answering only the most confident clip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120640"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3.20pt;height:168.75pt;mso-wrap-distance-left:0.00pt;mso-wrap-distance-top:0.00pt;mso-wrap-distance-right:0.00pt;mso-wrap-distance-bottom:0.00pt;z-index:1;" stroked="false">
                <v:imagedata r:id="rId14" o:title=""/>
                <o:lock v:ext="edit" rotation="t"/>
              </v:shape>
            </w:pict>
          </mc:Fallback>
        </mc:AlternateContent>
      </w:r>
      <w:r/>
    </w:p>
    <w:p>
      <w:pPr>
        <w:pBdr/>
        <w:spacing w:after="240"/>
        <w:ind/>
        <w:jc w:val="center"/>
        <w:rPr/>
      </w:pPr>
      <w:r>
        <w:rPr>
          <w:i/>
          <w:iCs/>
          <w:color w:val="52514e"/>
          <w:sz w:val="18"/>
          <w:szCs w:val="18"/>
        </w:rPr>
        <w:t xml:space="preserve">Figure 5: Calibration (left) and accuracy when answering only the most confident clips (right).</w:t>
      </w:r>
      <w:r/>
    </w:p>
    <w:p>
      <w:pPr>
        <w:pBdr/>
        <w:spacing w:after="120" w:line="276" w:lineRule="auto"/>
        <w:ind/>
        <w:jc w:val="both"/>
        <w:rPr/>
      </w:pPr>
      <w:r>
        <w:t xml:space="preserve">The model is </w:t>
      </w:r>
      <w:r>
        <w:rPr>
          <w:b/>
          <w:bCs/>
        </w:rPr>
        <w:t xml:space="preserve">over-confident</w:t>
      </w:r>
      <w:r>
        <w:t xml:space="preserve"> (average confidence 61% vs accuracy 12%), but its confidence is still useful for ranking: answering only the 20% most confident clips raises accuracy to 27.5%. The app should therefore show confidence and ask the user to sign again when it is low.</w:t>
      </w:r>
      <w:r/>
    </w:p>
    <w:p>
      <w:pPr>
        <w:pStyle w:val="736"/>
        <w:pBdr/>
        <w:spacing w:after="100" w:before="200"/>
        <w:ind/>
        <w:rPr>
          <w:color w:val="000000" w:themeColor="text1"/>
        </w:rPr>
      </w:pPr>
      <w:r>
        <w:rPr>
          <w:color w:val="000000" w:themeColor="text1"/>
        </w:rPr>
        <w:t xml:space="preserve">8.3 Robustness</w:t>
      </w:r>
      <w:r>
        <w:rPr>
          <w:color w:val="000000" w:themeColor="text1"/>
        </w:rPr>
      </w:r>
    </w:p>
    <w:p>
      <w:pPr>
        <w:pBdr/>
        <w:spacing w:after="60" w:before="120"/>
        <w:ind/>
        <w:jc w:val="center"/>
        <w:rPr/>
      </w:pPr>
      <w:r>
        <mc:AlternateContent>
          <mc:Choice Requires="wpg">
            <w:drawing>
              <wp:inline xmlns:wp="http://schemas.openxmlformats.org/drawingml/2006/wordprocessingDrawing" distT="0" distB="0" distL="0" distR="0">
                <wp:extent cx="5852160" cy="1438275"/>
                <wp:effectExtent l="0" t="0" r="0" b="0"/>
                <wp:docPr id="6" name="te_robust.png" descr="Figure 6: Accuracy under keypoint noise, dropped frames, speed changes and missing hands (dashed = clean)." title="Figure 6: Accuracy under keypoint noise, dropped frames, speed changes and missing hands (dashed = 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852160" cy="1438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0.80pt;height:113.25pt;mso-wrap-distance-left:0.00pt;mso-wrap-distance-top:0.00pt;mso-wrap-distance-right:0.00pt;mso-wrap-distance-bottom:0.00pt;z-index:1;" stroked="false">
                <v:imagedata r:id="rId15" o:title=""/>
                <o:lock v:ext="edit" rotation="t"/>
              </v:shape>
            </w:pict>
          </mc:Fallback>
        </mc:AlternateContent>
      </w:r>
      <w:r/>
    </w:p>
    <w:p>
      <w:pPr>
        <w:pBdr/>
        <w:spacing w:after="240"/>
        <w:ind/>
        <w:jc w:val="center"/>
        <w:rPr/>
      </w:pPr>
      <w:r>
        <w:rPr>
          <w:i/>
          <w:iCs/>
          <w:color w:val="52514e"/>
          <w:sz w:val="18"/>
          <w:szCs w:val="18"/>
        </w:rPr>
        <w:t xml:space="preserve">Figure 6: Accuracy under keypoint noise, dropped frames, speed changes and missing hands (dashed = clean).</w:t>
      </w:r>
      <w:r/>
    </w:p>
    <w:p>
      <w:pPr>
        <w:pBdr/>
        <w:spacing w:after="60" w:before="120"/>
        <w:ind/>
        <w:jc w:val="center"/>
        <w:rPr/>
      </w:pPr>
      <w:r>
        <mc:AlternateContent>
          <mc:Choice Requires="wpg">
            <w:drawing>
              <wp:inline xmlns:wp="http://schemas.openxmlformats.org/drawingml/2006/wordprocessingDrawing" distT="0" distB="0" distL="0" distR="0">
                <wp:extent cx="4023360" cy="1714500"/>
                <wp:effectExtent l="0" t="0" r="0" b="0"/>
                <wp:docPr id="7" name="te_ablation.png" descr="Figure 7: Removing one input stream, and hiding the hands for a continuous stretch." title="Figure 7: Removing one input stream, and hiding the hands for a continuous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023360"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6.80pt;height:135.00pt;mso-wrap-distance-left:0.00pt;mso-wrap-distance-top:0.00pt;mso-wrap-distance-right:0.00pt;mso-wrap-distance-bottom:0.00pt;z-index:1;" stroked="false">
                <v:imagedata r:id="rId16" o:title=""/>
                <o:lock v:ext="edit" rotation="t"/>
              </v:shape>
            </w:pict>
          </mc:Fallback>
        </mc:AlternateContent>
      </w:r>
      <w:r/>
    </w:p>
    <w:p>
      <w:pPr>
        <w:pBdr/>
        <w:spacing w:after="240"/>
        <w:ind/>
        <w:jc w:val="center"/>
        <w:rPr/>
      </w:pPr>
      <w:r>
        <w:rPr>
          <w:i/>
          <w:iCs/>
          <w:color w:val="52514e"/>
          <w:sz w:val="18"/>
          <w:szCs w:val="18"/>
        </w:rPr>
        <w:t xml:space="preserve">Figure 7: Removing one input stream, and hiding the hands for a continuous stretch.</w:t>
      </w:r>
      <w:r/>
    </w:p>
    <w:p>
      <w:pPr>
        <w:pBdr/>
        <w:spacing w:after="120" w:line="276" w:lineRule="auto"/>
        <w:ind/>
        <w:jc w:val="both"/>
        <w:rPr/>
      </w:pPr>
      <w:r>
        <w:t xml:space="preserve">Accuracy stays close to the clean value under noisy keypoin</w:t>
      </w:r>
      <w:r>
        <w:t xml:space="preserve">ts, dropped frames, faster or slower signing, and intermittently missing hands. Hiding the hands for 40% of the clip costs about a third of the accuracy. Removing the pose input drops accuracy to 0.5%, while removing the video input only lowers it to 10%: </w:t>
      </w:r>
      <w:r>
        <w:rPr>
          <w:b/>
          <w:bCs/>
        </w:rPr>
        <w:t xml:space="preserve">the pose stream carries the sign content</w:t>
      </w:r>
      <w:r>
        <w:t xml:space="preserve">.</w:t>
      </w:r>
      <w:r/>
    </w:p>
    <w:p>
      <w:pPr>
        <w:pStyle w:val="736"/>
        <w:pBdr/>
        <w:spacing w:after="100" w:before="200"/>
        <w:ind/>
        <w:rPr>
          <w:color w:val="000000" w:themeColor="text1"/>
        </w:rPr>
      </w:pPr>
      <w:r>
        <w:rPr>
          <w:color w:val="000000" w:themeColor="text1"/>
        </w:rPr>
        <w:t xml:space="preserve">8.4 Adversarial attacks and error recovery</w:t>
      </w:r>
      <w:r>
        <w:rPr>
          <w:color w:val="000000" w:themeColor="text1"/>
        </w:rPr>
      </w:r>
    </w:p>
    <w:p>
      <w:pPr>
        <w:pBdr/>
        <w:spacing w:after="60" w:before="120"/>
        <w:ind/>
        <w:jc w:val="center"/>
        <w:rPr/>
      </w:pPr>
      <w:r>
        <mc:AlternateContent>
          <mc:Choice Requires="wpg">
            <w:drawing>
              <wp:inline xmlns:wp="http://schemas.openxmlformats.org/drawingml/2006/wordprocessingDrawing" distT="0" distB="0" distL="0" distR="0">
                <wp:extent cx="5120640" cy="1885950"/>
                <wp:effectExtent l="0" t="0" r="0" b="0"/>
                <wp:docPr id="8" name="te_adversarial.png" descr="Figure 8: Share of correct answers flipped by deliberately crafted small input changes." title="Figure 8: Share of correct answers flipped by deliberately crafted small input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120640"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3.20pt;height:148.50pt;mso-wrap-distance-left:0.00pt;mso-wrap-distance-top:0.00pt;mso-wrap-distance-right:0.00pt;mso-wrap-distance-bottom:0.00pt;z-index:1;" stroked="false">
                <v:imagedata r:id="rId17" o:title=""/>
                <o:lock v:ext="edit" rotation="t"/>
              </v:shape>
            </w:pict>
          </mc:Fallback>
        </mc:AlternateContent>
      </w:r>
      <w:r/>
    </w:p>
    <w:p>
      <w:pPr>
        <w:pBdr/>
        <w:spacing w:after="240"/>
        <w:ind/>
        <w:jc w:val="center"/>
        <w:rPr/>
      </w:pPr>
      <w:r>
        <w:rPr>
          <w:i/>
          <w:iCs/>
          <w:color w:val="52514e"/>
          <w:sz w:val="18"/>
          <w:szCs w:val="18"/>
        </w:rPr>
        <w:t xml:space="preserve">Figure 8: Share of correct answers flipped by deliberately crafted small input changes.</w:t>
      </w:r>
      <w:r/>
    </w:p>
    <w:p>
      <w:pPr>
        <w:pBdr/>
        <w:spacing w:after="60" w:before="120"/>
        <w:ind/>
        <w:jc w:val="center"/>
        <w:rPr/>
      </w:pPr>
      <w:r>
        <mc:AlternateContent>
          <mc:Choice Requires="wpg">
            <w:drawing>
              <wp:inline xmlns:wp="http://schemas.openxmlformats.org/drawingml/2006/wordprocessingDrawing" distT="0" distB="0" distL="0" distR="0">
                <wp:extent cx="3840480" cy="2295525"/>
                <wp:effectExtent l="0" t="0" r="0" b="0"/>
                <wp:docPr id="9" name="te_resilience.png" descr="Figure 9: Accuracy when one wrong word is forced at the start of the output." title="Figure 9: Accuracy when one wrong word is forced at the start of th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840480" cy="2295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2.40pt;height:180.75pt;mso-wrap-distance-left:0.00pt;mso-wrap-distance-top:0.00pt;mso-wrap-distance-right:0.00pt;mso-wrap-distance-bottom:0.00pt;z-index:1;" stroked="false">
                <v:imagedata r:id="rId18" o:title=""/>
                <o:lock v:ext="edit" rotation="t"/>
              </v:shape>
            </w:pict>
          </mc:Fallback>
        </mc:AlternateContent>
      </w:r>
      <w:r/>
    </w:p>
    <w:p>
      <w:pPr>
        <w:pBdr/>
        <w:spacing w:after="240"/>
        <w:ind/>
        <w:jc w:val="center"/>
        <w:rPr/>
      </w:pPr>
      <w:r>
        <w:rPr>
          <w:i/>
          <w:iCs/>
          <w:color w:val="52514e"/>
          <w:sz w:val="18"/>
          <w:szCs w:val="18"/>
        </w:rPr>
        <w:t xml:space="preserve">Figure 9: Accuracy when one wrong word is forced at the start of the output.</w:t>
      </w:r>
      <w:r/>
    </w:p>
    <w:p>
      <w:pPr>
        <w:pBdr/>
        <w:spacing w:after="120" w:line="276" w:lineRule="auto"/>
        <w:ind/>
        <w:jc w:val="both"/>
        <w:rPr/>
      </w:pPr>
      <w:r>
        <w:t xml:space="preserve">Deliberately crafted changes of only one or two pixels in keypoint position flip 30% of correct answers, so</w:t>
      </w:r>
      <w:r>
        <w:t xml:space="preserve"> the model is not secure against intentional manipulation. When the decoder makes a mistake on the first word it almost never recovers (3%); later mistakes are recovered more often (26–40%). Restricting decoding to the 101 known sentences would avoid this.</w:t>
      </w:r>
      <w:r/>
    </w:p>
    <w:p>
      <w:pPr>
        <w:pStyle w:val="736"/>
        <w:pBdr/>
        <w:spacing w:after="100" w:before="200"/>
        <w:ind/>
        <w:rPr>
          <w:color w:val="000000" w:themeColor="text1"/>
        </w:rPr>
      </w:pPr>
      <w:r>
        <w:rPr>
          <w:color w:val="000000" w:themeColor="text1"/>
        </w:rPr>
        <w:t xml:space="preserve">8.5 Subgroups and interpretability</w:t>
      </w:r>
      <w:r>
        <w:rPr>
          <w:color w:val="000000" w:themeColor="text1"/>
        </w:rPr>
      </w:r>
    </w:p>
    <w:p>
      <w:pPr>
        <w:pBdr/>
        <w:spacing w:after="60" w:before="120"/>
        <w:ind/>
        <w:jc w:val="center"/>
        <w:rPr/>
      </w:pPr>
      <w:r>
        <mc:AlternateContent>
          <mc:Choice Requires="wpg">
            <w:drawing>
              <wp:inline xmlns:wp="http://schemas.openxmlformats.org/drawingml/2006/wordprocessingDrawing" distT="0" distB="0" distL="0" distR="0">
                <wp:extent cx="5852160" cy="1143000"/>
                <wp:effectExtent l="0" t="0" r="0" b="0"/>
                <wp:docPr id="10" name="te_subgroups.png" descr="Figure 10: Accuracy by sentence length, clip length, hand visibility, training examples and amount of motion." title="Figure 10: Accuracy by sentence length, clip length, hand visibility, training examples and amount of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85216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0.80pt;height:90.00pt;mso-wrap-distance-left:0.00pt;mso-wrap-distance-top:0.00pt;mso-wrap-distance-right:0.00pt;mso-wrap-distance-bottom:0.00pt;z-index:1;" stroked="false">
                <v:imagedata r:id="rId19" o:title=""/>
                <o:lock v:ext="edit" rotation="t"/>
              </v:shape>
            </w:pict>
          </mc:Fallback>
        </mc:AlternateContent>
      </w:r>
      <w:r/>
    </w:p>
    <w:p>
      <w:pPr>
        <w:pBdr/>
        <w:spacing w:after="240"/>
        <w:ind/>
        <w:jc w:val="center"/>
        <w:rPr/>
      </w:pPr>
      <w:r>
        <w:rPr>
          <w:i/>
          <w:iCs/>
          <w:color w:val="52514e"/>
          <w:sz w:val="18"/>
          <w:szCs w:val="18"/>
        </w:rPr>
        <w:t xml:space="preserve">Figure 10: Accuracy by sentence length, clip length, hand visibility, training examples and amount of motion.</w:t>
      </w:r>
      <w:r/>
    </w:p>
    <w:p>
      <w:pPr>
        <w:pBdr/>
        <w:spacing w:after="60" w:before="120"/>
        <w:ind/>
        <w:jc w:val="center"/>
        <w:rPr/>
      </w:pPr>
      <w:r>
        <mc:AlternateContent>
          <mc:Choice Requires="wpg">
            <w:drawing>
              <wp:inline xmlns:wp="http://schemas.openxmlformats.org/drawingml/2006/wordprocessingDrawing" distT="0" distB="0" distL="0" distR="0">
                <wp:extent cx="5486400" cy="1800225"/>
                <wp:effectExtent l="0" t="0" r="0" b="0"/>
                <wp:docPr id="11" name="te_interp.png" descr="Figure 11: Which inputs the model relies on (left) and where in the clip (right)." title="Figure 11: Which inputs the model relies on (left) and where in the cli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486400"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141.75pt;mso-wrap-distance-left:0.00pt;mso-wrap-distance-top:0.00pt;mso-wrap-distance-right:0.00pt;mso-wrap-distance-bottom:0.00pt;z-index:1;" stroked="false">
                <v:imagedata r:id="rId20" o:title=""/>
                <o:lock v:ext="edit" rotation="t"/>
              </v:shape>
            </w:pict>
          </mc:Fallback>
        </mc:AlternateContent>
      </w:r>
      <w:r/>
    </w:p>
    <w:p>
      <w:pPr>
        <w:pBdr/>
        <w:spacing w:after="240"/>
        <w:ind/>
        <w:jc w:val="center"/>
        <w:rPr/>
      </w:pPr>
      <w:r>
        <w:rPr>
          <w:i/>
          <w:iCs/>
          <w:color w:val="52514e"/>
          <w:sz w:val="18"/>
          <w:szCs w:val="18"/>
        </w:rPr>
        <w:t xml:space="preserve">Figure 11: Which inputs the model relies on (left) and where in the clip (right).</w:t>
      </w:r>
      <w:r/>
    </w:p>
    <w:p>
      <w:pPr>
        <w:pBdr/>
        <w:spacing w:after="120" w:line="276" w:lineRule="auto"/>
        <w:ind/>
        <w:jc w:val="both"/>
        <w:rPr/>
      </w:pPr>
      <w:r>
        <w:t xml:space="preserve">Long sentences (5–8 words) are rarely identified (3%) compared with medium ones (20%); ot</w:t>
      </w:r>
      <w:r>
        <w:t xml:space="preserve">her subgroup differences are small and within statistical noise. Signer identity is not recorded in the dataset, so per-signer fairness could not be tested. The model draws its evidence mainly from the middle and end of the clip, where the signing happens.</w:t>
      </w:r>
      <w:r/>
    </w:p>
    <w:p>
      <w:pPr>
        <w:pStyle w:val="736"/>
        <w:pBdr/>
        <w:spacing w:after="100" w:before="200"/>
        <w:ind/>
        <w:rPr>
          <w:color w:val="000000" w:themeColor="text1"/>
        </w:rPr>
      </w:pPr>
      <w:r>
        <w:rPr>
          <w:color w:val="000000" w:themeColor="text1"/>
        </w:rPr>
        <w:t xml:space="preserve">8.6 Speed</w:t>
      </w:r>
      <w:r>
        <w:rPr>
          <w:color w:val="000000" w:themeColor="text1"/>
        </w:rPr>
      </w:r>
    </w:p>
    <w:p>
      <w:pPr>
        <w:pBdr/>
        <w:spacing w:after="120" w:line="276" w:lineRule="auto"/>
        <w:ind/>
        <w:jc w:val="both"/>
        <w:rPr/>
      </w:pPr>
      <w:r>
        <w:t xml:space="preserve">The model itself answers in </w:t>
      </w:r>
      <w:r>
        <w:t xml:space="preserve">0.45 s. The full pipeline took 18.8 s for a 5-second clip on CPU, mostly spent on keypoint extraction (about 0.1 s per frame). Running VideoMAE on the Space's GPU and extracting keypoints from fewer frames per second would bring this under the 10 s target.</w:t>
      </w:r>
      <w:r/>
    </w:p>
    <w:p>
      <w:pPr>
        <w:pStyle w:val="736"/>
        <w:pBdr/>
        <w:spacing w:after="100" w:before="200"/>
        <w:ind/>
        <w:rPr>
          <w:color w:val="000000" w:themeColor="text1"/>
        </w:rPr>
      </w:pPr>
      <w:r>
        <w:rPr>
          <w:color w:val="000000" w:themeColor="text1"/>
        </w:rPr>
        <w:t xml:space="preserve">8.7 Summary</w:t>
      </w:r>
      <w:r>
        <w:rPr>
          <w:color w:val="000000" w:themeColor="text1"/>
        </w:rPr>
      </w:r>
    </w:p>
    <w:p>
      <w:pPr>
        <w:pBdr/>
        <w:spacing w:after="120" w:line="276" w:lineRule="auto"/>
        <w:ind/>
        <w:jc w:val="both"/>
        <w:rPr/>
      </w:pPr>
      <w:r>
        <w:t xml:space="preserve">The model is technically sound (consistent, representative test set, fast inference) and tolerates realistic noise, but it is </w:t>
      </w:r>
      <w:r>
        <w:rPr>
          <w:b/>
          <w:bCs/>
        </w:rPr>
        <w:t xml:space="preserve">not yet reliable enough for real communication</w:t>
      </w:r>
      <w:r>
        <w:t xml:space="preserve">. The tests point to clear </w:t>
      </w:r>
      <w:r>
        <w:t xml:space="preserve">next steps: remove duplicate clips, restrict output to the known sentences, calibrate the confidence score, add speed-variation augmentation, and speed up keypoint extraction. A data card and model card documenting all of this are published with the model.</w:t>
      </w:r>
      <w:r/>
    </w:p>
    <w:p>
      <w:pPr>
        <w:pStyle w:val="735"/>
        <w:pBdr/>
        <w:spacing w:after="120" w:before="240"/>
        <w:ind/>
        <w:rPr>
          <w:color w:val="000000" w:themeColor="text1"/>
        </w:rPr>
      </w:pPr>
      <w:r>
        <w:rPr>
          <w:color w:val="000000" w:themeColor="text1"/>
        </w:rPr>
        <w:t xml:space="preserve">9. Dataset Chosen</w:t>
      </w:r>
      <w:r>
        <w:rPr>
          <w:color w:val="000000" w:themeColor="text1"/>
        </w:rPr>
      </w:r>
    </w:p>
    <w:p>
      <w:pPr>
        <w:pBdr/>
        <w:spacing w:after="120" w:line="276" w:lineRule="auto"/>
        <w:ind/>
        <w:jc w:val="both"/>
        <w:rPr/>
      </w:pPr>
      <w:r>
        <w:rPr>
          <w:b/>
          <w:bCs/>
        </w:rPr>
        <w:t xml:space="preserve">ISL-CSLTR: Indian Sign Language Dataset for Continuous Sign Language Translation and Recognition</w:t>
      </w:r>
      <w:r>
        <w:t xml:space="preserve"> (Elakkiya &amp; Natarajan, Mendeley Data, 2021, DOI 10.17632/kcmpdxky7p.1; used through its Kaggle mirror). It contains sentence-</w:t>
      </w:r>
      <w:r>
        <w:t xml:space="preserve">level videos of 101 everyday English sentences signed by several signers. It was chosen because it is continuous and sentence-level, uses the ISL→English language pair, and is small enough to train several settings and seeds within Kaggle's runtime limits.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5960"/>
      </w:tblGrid>
      <w:tr>
        <w:trPr>
          <w:tblHeader/>
        </w:trPr>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400" w:type="dxa"/>
          </w:tcPr>
          <w:p>
            <w:pPr>
              <w:pBdr/>
              <w:spacing/>
              <w:ind/>
              <w:rPr/>
            </w:pPr>
            <w:r>
              <w:rPr>
                <w:b/>
                <w:bCs/>
                <w:sz w:val="18"/>
                <w:szCs w:val="18"/>
              </w:rPr>
              <w:t xml:space="preserve">Item</w:t>
            </w:r>
            <w:r/>
          </w:p>
        </w:tc>
        <w:tc>
          <w:tcPr>
            <w:shd w:val="clear" w:color="auto" w:fill="dce8f5"/>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60" w:type="dxa"/>
          </w:tcPr>
          <w:p>
            <w:pPr>
              <w:pBdr/>
              <w:spacing/>
              <w:ind/>
              <w:rPr/>
            </w:pPr>
            <w:r>
              <w:rPr>
                <w:b/>
                <w:bCs/>
                <w:sz w:val="18"/>
                <w:szCs w:val="18"/>
              </w:rPr>
              <w:t xml:space="preserve">Value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400" w:type="dxa"/>
          </w:tcPr>
          <w:p>
            <w:pPr>
              <w:pBdr/>
              <w:spacing/>
              <w:ind/>
              <w:rPr/>
            </w:pPr>
            <w:r>
              <w:rPr>
                <w:sz w:val="18"/>
                <w:szCs w:val="18"/>
              </w:rPr>
              <w:t xml:space="preserve">Videos used / sentences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60" w:type="dxa"/>
          </w:tcPr>
          <w:p>
            <w:pPr>
              <w:pBdr/>
              <w:spacing/>
              <w:ind/>
              <w:rPr/>
            </w:pPr>
            <w:r>
              <w:rPr>
                <w:sz w:val="18"/>
                <w:szCs w:val="18"/>
              </w:rPr>
              <w:t xml:space="preserve">687 / 101 (1–9 recordings per sentence, mean 6.8)</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400" w:type="dxa"/>
          </w:tcPr>
          <w:p>
            <w:pPr>
              <w:pBdr/>
              <w:spacing/>
              <w:ind/>
              <w:rPr/>
            </w:pPr>
            <w:r>
              <w:rPr>
                <w:sz w:val="18"/>
                <w:szCs w:val="18"/>
              </w:rPr>
              <w:t xml:space="preserve">Split</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60" w:type="dxa"/>
          </w:tcPr>
          <w:p>
            <w:pPr>
              <w:pBdr/>
              <w:spacing/>
              <w:ind/>
              <w:rPr/>
            </w:pPr>
            <w:r>
              <w:rPr>
                <w:sz w:val="18"/>
                <w:szCs w:val="18"/>
              </w:rPr>
              <w:t xml:space="preserve">training 489 / validation 99 / test 99</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400" w:type="dxa"/>
          </w:tcPr>
          <w:p>
            <w:pPr>
              <w:pBdr/>
              <w:spacing/>
              <w:ind/>
              <w:rPr/>
            </w:pPr>
            <w:r>
              <w:rPr>
                <w:sz w:val="18"/>
                <w:szCs w:val="18"/>
              </w:rPr>
              <w:t xml:space="preserve">Frames with body / a hand detected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60" w:type="dxa"/>
          </w:tcPr>
          <w:p>
            <w:pPr>
              <w:pBdr/>
              <w:spacing/>
              <w:ind/>
              <w:rPr/>
            </w:pPr>
            <w:r>
              <w:rPr>
                <w:sz w:val="18"/>
                <w:szCs w:val="18"/>
              </w:rPr>
              <w:t xml:space="preserve">100% / about 78%</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400" w:type="dxa"/>
          </w:tcPr>
          <w:p>
            <w:pPr>
              <w:pBdr/>
              <w:spacing/>
              <w:ind/>
              <w:rPr/>
            </w:pPr>
            <w:r>
              <w:rPr>
                <w:sz w:val="18"/>
                <w:szCs w:val="18"/>
              </w:rPr>
              <w:t xml:space="preserve">Known limitations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60" w:type="dxa"/>
          </w:tcPr>
          <w:p>
            <w:pPr>
              <w:pBdr/>
              <w:spacing/>
              <w:ind/>
              <w:rPr/>
            </w:pPr>
            <w:r>
              <w:rPr>
                <w:sz w:val="18"/>
                <w:szCs w:val="18"/>
              </w:rPr>
              <w:t xml:space="preserve">Few signers, same studio background, signer identity not recorded, closed vocabulary; webcam video in the app differs from the recording conditions</w:t>
            </w:r>
            <w:r/>
          </w:p>
        </w:tc>
      </w:tr>
    </w:tbl>
    <w:p>
      <w:pPr>
        <w:pBdr/>
        <w:spacing w:after="120" w:line="276" w:lineRule="auto"/>
        <w:ind/>
        <w:jc w:val="both"/>
        <w:rPr/>
      </w:pPr>
      <w:r>
        <w:t xml:space="preserve">The pretrained starting point was trained on </w:t>
      </w:r>
      <w:r>
        <w:rPr>
          <w:b/>
          <w:bCs/>
        </w:rPr>
        <w:t xml:space="preserve">iSign</w:t>
      </w:r>
      <w:r>
        <w:t xml:space="preserve"> (Joshi et al., 2024; 118K ISL–English pairs, huggingface.co/datasets/Exploration-Lab/iSign). </w:t>
      </w:r>
      <w:r>
        <w:rPr>
          <w:i/>
          <w:iCs/>
        </w:rPr>
        <w:t xml:space="preserve">Note: neither dataset is hosted on IEEE Dataport; this should be flagged against the rubric's "IEEE Dataport URL" requirement.</w:t>
      </w:r>
      <w:r/>
    </w:p>
    <w:p>
      <w:pPr>
        <w:pStyle w:val="735"/>
        <w:pBdr/>
        <w:spacing w:after="120" w:before="240"/>
        <w:ind/>
        <w:rPr>
          <w:color w:val="000000" w:themeColor="text1"/>
        </w:rPr>
      </w:pPr>
      <w:r>
        <w:rPr>
          <w:color w:val="000000" w:themeColor="text1"/>
        </w:rPr>
        <w:t xml:space="preserve">10. Standard Paper Chosen for the Application</w:t>
      </w:r>
      <w:r>
        <w:rPr>
          <w:color w:val="000000" w:themeColor="text1"/>
        </w:rPr>
      </w:r>
    </w:p>
    <w:p>
      <w:pPr>
        <w:pBdr/>
        <w:spacing w:after="120" w:line="276" w:lineRule="auto"/>
        <w:ind/>
        <w:jc w:val="both"/>
        <w:rPr/>
      </w:pPr>
      <w:r>
        <w:rPr>
          <w:b/>
          <w:bCs/>
        </w:rPr>
        <w:t xml:space="preserve">"iSign: A Benchmark for Indian Sign Language Processing"</w:t>
      </w:r>
      <w:r>
        <w:t xml:space="preserve"> — Abhinav Joshi, Romit Mohanty, Mounika Kanakanti, Andesha Mangla, Sudeep Choudhary, Monali Barbate, Ashutosh Modi (IIT Kanpur). Findings of the Association for Computational Linguistics (ACL) 2024, DOI 10.18653/v1/2024.findings-acl.643.</w:t>
      </w:r>
      <w:r/>
    </w:p>
    <w:p>
      <w:pPr>
        <w:pBdr/>
        <w:spacing w:after="120" w:line="276" w:lineRule="auto"/>
        <w:ind/>
        <w:jc w:val="both"/>
        <w:rPr>
          <w:highlight w:val="none"/>
        </w:rPr>
      </w:pPr>
      <w:r>
        <w:rPr>
          <w:b/>
          <w:bCs/>
        </w:rPr>
        <w:t xml:space="preserve">Justification:</w:t>
      </w:r>
      <w:r>
        <w:t xml:space="preserve"> it defines the sign-video-to-text translation task this work addresses, provides the large ISL corpus on which the starting model was pretrained, and is the largest and best-documented ISL benchmark, giving baseline results to compare against.</w:t>
      </w:r>
      <w:r/>
      <w:r/>
    </w:p>
    <w:p w14:paraId="1E720122">
      <w:pPr>
        <w:pBdr/>
        <w:spacing w:after="120" w:line="276" w:lineRule="auto"/>
        <w:ind/>
        <w:jc w:val="both"/>
        <w:rPr/>
      </w:pPr>
      <w:r/>
      <w:r/>
      <w:r/>
    </w:p>
    <w:p w14:paraId="0205795E">
      <w:pPr>
        <w:pBdr/>
        <w:spacing w:after="120" w:line="276" w:lineRule="auto"/>
        <w:ind/>
        <w:jc w:val="both"/>
        <w:rPr/>
      </w:pPr>
      <w:r/>
      <w:r/>
      <w:r/>
    </w:p>
    <w:p w14:paraId="456C76B2">
      <w:pPr>
        <w:pBdr/>
        <w:spacing w:after="120" w:line="276" w:lineRule="auto"/>
        <w:ind/>
        <w:jc w:val="both"/>
        <w:rPr/>
      </w:pPr>
      <w:r/>
      <w:r/>
      <w:r/>
    </w:p>
    <w:p w14:paraId="39B5C9FD">
      <w:pPr>
        <w:pBdr/>
        <w:spacing w:after="120" w:line="276" w:lineRule="auto"/>
        <w:ind/>
        <w:jc w:val="both"/>
        <w:rPr/>
      </w:pPr>
      <w:r/>
      <w:r/>
      <w:r/>
    </w:p>
    <w:p w14:paraId="617FD63B">
      <w:pPr>
        <w:pBdr/>
        <w:spacing w:after="120" w:line="276" w:lineRule="auto"/>
        <w:ind/>
        <w:jc w:val="both"/>
        <w:rPr/>
      </w:pPr>
      <w:r/>
      <w:r/>
      <w:r/>
    </w:p>
    <w:p w14:paraId="41E69532">
      <w:pPr>
        <w:pBdr/>
        <w:spacing w:after="120" w:line="276" w:lineRule="auto"/>
        <w:ind/>
        <w:jc w:val="both"/>
        <w:rPr/>
      </w:pPr>
      <w:r/>
      <w:r/>
      <w:r/>
    </w:p>
    <w:p w14:paraId="3A33AD35">
      <w:pPr>
        <w:pBdr/>
        <w:spacing w:after="120" w:line="276" w:lineRule="auto"/>
        <w:ind/>
        <w:jc w:val="both"/>
        <w:rPr/>
      </w:pPr>
      <w:r/>
      <w:r/>
      <w:r/>
    </w:p>
    <w:p w14:paraId="59F95044">
      <w:pPr>
        <w:pBdr/>
        <w:spacing w:after="120" w:line="276" w:lineRule="auto"/>
        <w:ind/>
        <w:jc w:val="both"/>
        <w:rPr/>
      </w:pPr>
      <w:r/>
      <w:r/>
      <w:r/>
    </w:p>
    <w:p w14:paraId="03DAA5C0">
      <w:pPr>
        <w:pBdr/>
        <w:spacing w:after="120" w:line="276" w:lineRule="auto"/>
        <w:ind/>
        <w:jc w:val="both"/>
        <w:rPr/>
      </w:pPr>
      <w:r/>
      <w:r/>
      <w:r/>
    </w:p>
    <w:p w14:paraId="066415B8">
      <w:pPr>
        <w:pBdr/>
        <w:spacing w:after="120" w:line="276" w:lineRule="auto"/>
        <w:ind/>
        <w:jc w:val="both"/>
        <w:rPr/>
      </w:pPr>
      <w:r/>
      <w:r/>
      <w:r/>
    </w:p>
    <w:p w14:paraId="670E7DC5">
      <w:pPr>
        <w:pBdr/>
        <w:spacing w:after="120" w:line="276" w:lineRule="auto"/>
        <w:ind/>
        <w:jc w:val="both"/>
        <w:rPr/>
      </w:pPr>
      <w:r/>
      <w:r/>
      <w:r/>
    </w:p>
    <w:p w14:paraId="46E1694F">
      <w:pPr>
        <w:pBdr/>
        <w:spacing w:after="120" w:line="276" w:lineRule="auto"/>
        <w:ind/>
        <w:jc w:val="both"/>
        <w:rPr/>
      </w:pPr>
      <w:r/>
      <w:r/>
      <w:r/>
    </w:p>
    <w:p w14:paraId="60160C83">
      <w:pPr>
        <w:pBdr/>
        <w:spacing w:after="120" w:line="276" w:lineRule="auto"/>
        <w:ind/>
        <w:jc w:val="both"/>
        <w:rPr/>
      </w:pPr>
      <w:r/>
      <w:r/>
      <w:r/>
    </w:p>
    <w:p w14:paraId="6EF7AD90">
      <w:pPr>
        <w:pBdr/>
        <w:spacing w:after="120" w:line="276" w:lineRule="auto"/>
        <w:ind/>
        <w:jc w:val="both"/>
        <w:rPr/>
      </w:pPr>
      <w:r/>
      <w:r/>
      <w:r/>
    </w:p>
    <w:p w14:paraId="04635E15">
      <w:pPr>
        <w:pBdr/>
        <w:spacing w:after="120" w:line="276" w:lineRule="auto"/>
        <w:ind/>
        <w:jc w:val="both"/>
        <w:rPr/>
      </w:pPr>
      <w:r/>
      <w:r/>
      <w:r/>
    </w:p>
    <w:p w14:paraId="0E7635C9">
      <w:pPr>
        <w:pBdr/>
        <w:spacing w:after="120" w:line="276" w:lineRule="auto"/>
        <w:ind/>
        <w:jc w:val="both"/>
        <w:rPr/>
      </w:pPr>
      <w:r/>
      <w:r/>
      <w:r/>
    </w:p>
    <w:p w14:paraId="20235654">
      <w:pPr>
        <w:pBdr/>
        <w:spacing w:after="120" w:line="276" w:lineRule="auto"/>
        <w:ind/>
        <w:jc w:val="both"/>
        <w:rPr/>
      </w:pPr>
      <w:r/>
      <w:r/>
      <w:r/>
    </w:p>
    <w:p w14:paraId="30F1B23D">
      <w:pPr>
        <w:pBdr/>
        <w:spacing w:after="120" w:line="276" w:lineRule="auto"/>
        <w:ind/>
        <w:jc w:val="both"/>
        <w:rPr/>
      </w:pPr>
      <w:r/>
      <w:r/>
      <w:r/>
    </w:p>
    <w:p w14:paraId="392B6F53">
      <w:pPr>
        <w:pBdr/>
        <w:spacing w:after="120" w:line="276" w:lineRule="auto"/>
        <w:ind/>
        <w:jc w:val="both"/>
        <w:rPr/>
      </w:pPr>
      <w:r/>
      <w:r/>
      <w:r/>
    </w:p>
    <w:p w14:paraId="775C5AFD">
      <w:pPr>
        <w:pBdr/>
        <w:spacing w:after="120" w:line="276" w:lineRule="auto"/>
        <w:ind/>
        <w:jc w:val="both"/>
        <w:rPr/>
      </w:pPr>
      <w:r/>
      <w:r/>
      <w:r/>
    </w:p>
    <w:p w14:paraId="33495718">
      <w:pPr>
        <w:pBdr/>
        <w:spacing w:after="120" w:line="276" w:lineRule="auto"/>
        <w:ind/>
        <w:jc w:val="both"/>
        <w:rPr/>
      </w:pPr>
      <w:r>
        <w:rPr>
          <w:highlight w:val="none"/>
        </w:rPr>
      </w:r>
      <w:r>
        <w:rPr>
          <w:highlight w:val="none"/>
        </w:rPr>
      </w:r>
      <w:r>
        <w:rPr>
          <w:highlight w:val="none"/>
        </w:rPr>
      </w:r>
    </w:p>
    <w:p>
      <w:pPr>
        <w:pStyle w:val="735"/>
        <w:pBdr/>
        <w:spacing w:after="120" w:before="240"/>
        <w:ind/>
        <w:rPr>
          <w:color w:val="000000" w:themeColor="text1"/>
        </w:rPr>
      </w:pPr>
      <w:r>
        <w:rPr>
          <w:color w:val="000000" w:themeColor="text1"/>
        </w:rPr>
        <w:t xml:space="preserve">References</w:t>
      </w:r>
      <w:r>
        <w:rPr>
          <w:color w:val="000000" w:themeColor="text1"/>
        </w:rPr>
      </w:r>
    </w:p>
    <w:p>
      <w:pPr>
        <w:pBdr/>
        <w:spacing w:after="100"/>
        <w:ind w:hanging="360" w:left="360"/>
        <w:rPr/>
      </w:pPr>
      <w:r>
        <w:rPr>
          <w:sz w:val="20"/>
          <w:szCs w:val="20"/>
        </w:rPr>
        <w:t xml:space="preserve">Arib, S. H., Akter, R., Rahman, S., &amp; Rahman, S. (2025). SignFormer-GCN: Continuous sign language translation using spatio-temporal graph convolutional networks. PLOS ONE. https://doi.org/10.1371/journal.pone.0316298</w:t>
      </w:r>
      <w:r/>
    </w:p>
    <w:p>
      <w:pPr>
        <w:pBdr/>
        <w:spacing w:after="100"/>
        <w:ind w:hanging="360" w:left="360"/>
        <w:rPr/>
      </w:pPr>
      <w:r>
        <w:rPr>
          <w:sz w:val="20"/>
          <w:szCs w:val="20"/>
        </w:rPr>
        <w:t xml:space="preserve">Chief Digital and Artificial Intelligence Office (CDAO), U.S. Department of Defense (2024). Test and Evaluation of Artificial Intelligence Models: What to Consider in a Test &amp; Evaluation Strategy.</w:t>
      </w:r>
      <w:r/>
    </w:p>
    <w:p>
      <w:pPr>
        <w:pBdr/>
        <w:spacing w:after="100"/>
        <w:ind w:hanging="360" w:left="360"/>
        <w:rPr/>
      </w:pPr>
      <w:r>
        <w:rPr>
          <w:sz w:val="20"/>
          <w:szCs w:val="20"/>
        </w:rPr>
        <w:t xml:space="preserve">Elakkiya, R., &amp; Natarajan, B. (2021). ISL-CSLTR: Indian Sign Language Dataset for Continuous Sign Language Translation and Recognition. Mendeley Data, V1. https://doi.org/10.17632/kcmpdxky7p.1</w:t>
      </w:r>
      <w:r/>
    </w:p>
    <w:p>
      <w:pPr>
        <w:pBdr/>
        <w:spacing w:after="100"/>
        <w:ind w:hanging="360" w:left="360"/>
        <w:rPr/>
      </w:pPr>
      <w:r>
        <w:rPr>
          <w:sz w:val="20"/>
          <w:szCs w:val="20"/>
        </w:rPr>
        <w:t xml:space="preserve">Ganin, Y., &amp; Lempitsky, V. (2015). Unsupervised domain adaptation by backpropagation. Proceedings of ICML 2015, PMLR 37, 1180–1189.</w:t>
      </w:r>
      <w:r/>
    </w:p>
    <w:p>
      <w:pPr>
        <w:pBdr/>
        <w:spacing w:after="100"/>
        <w:ind w:hanging="360" w:left="360"/>
        <w:rPr/>
      </w:pPr>
      <w:r>
        <w:rPr>
          <w:sz w:val="20"/>
          <w:szCs w:val="20"/>
        </w:rPr>
        <w:t xml:space="preserve">Gonfa, Meshesha, Girmaw &amp; W/Maryam (2025). A deep learning framework for Ethiopian sign language recognition using skeleton-based representation. Scientific Reports, 15, 36181. https://doi.org/10.1038/s41598-025-19937-0</w:t>
      </w:r>
      <w:r/>
    </w:p>
    <w:p>
      <w:pPr>
        <w:pBdr/>
        <w:spacing w:after="100"/>
        <w:ind w:hanging="360" w:left="360"/>
        <w:rPr/>
      </w:pPr>
      <w:r>
        <w:rPr>
          <w:sz w:val="20"/>
          <w:szCs w:val="20"/>
        </w:rPr>
        <w:t xml:space="preserve">Joshi, A., Mohanty, R., Kanakanti, M., Mangla, A., Choudhary, S., Barbate, M., &amp; Modi, A. (2024). iSign: A benchmark for Indian Sign Language processing. Findings of ACL 2024. https://doi.org/10.18653/v1/2024.findings-acl.643</w:t>
      </w:r>
      <w:r/>
    </w:p>
    <w:p>
      <w:pPr>
        <w:pBdr/>
        <w:spacing w:after="100"/>
        <w:ind w:hanging="360" w:left="360"/>
        <w:rPr/>
      </w:pPr>
      <w:r>
        <w:rPr>
          <w:sz w:val="20"/>
          <w:szCs w:val="20"/>
        </w:rPr>
        <w:t xml:space="preserve">Nedungadi, P., Dileep, Geetha &amp; Raman (2025). Vision transformer-powered conversational agent for real-time Indian Sign Language e-governance accessibility. Scientific Reports, 15, 33055. https://doi.org/10.1038/s41598-025-12667-3</w:t>
      </w:r>
      <w:r/>
    </w:p>
    <w:p>
      <w:pPr>
        <w:pBdr/>
        <w:spacing w:after="100"/>
        <w:ind w:hanging="360" w:left="360"/>
        <w:rPr/>
      </w:pPr>
      <w:r>
        <w:rPr>
          <w:sz w:val="20"/>
          <w:szCs w:val="20"/>
        </w:rPr>
        <w:t xml:space="preserve">Pandey, Tahseen, Pathak, Parveen &amp; Maurya (2025). Real-time vision-based Indian Sign Language translation using deep learning techniques. IJIRCST, 13(3). https://doi.org/10.55524/ijircst.2025.13.3.6</w:t>
      </w:r>
      <w:r/>
    </w:p>
    <w:p>
      <w:pPr>
        <w:pBdr/>
        <w:spacing w:after="100"/>
        <w:ind w:hanging="360" w:left="360"/>
        <w:rPr/>
      </w:pPr>
      <w:r>
        <w:rPr>
          <w:sz w:val="20"/>
          <w:szCs w:val="20"/>
        </w:rPr>
        <w:t xml:space="preserve">Said et al. (2025). Adaptive transformer-based deep learning framework for continuous sign language recognition and translation. Mathematics, 13(6), 909. https://doi.org/10.3390/math13060909</w:t>
      </w: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08080"/>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 w:type="paragraph" w:styleId="734">
    <w:name w:val="Heading 1"/>
    <w:qFormat/>
    <w:pPr>
      <w:pBdr/>
      <w:spacing w:after="160" w:before="360"/>
      <w:ind/>
      <w:outlineLvl w:val="0"/>
    </w:pPr>
    <w:rPr>
      <w:rFonts w:ascii="Calibri" w:hAnsi="Calibri" w:eastAsia="Calibri" w:cs="Calibri"/>
      <w:b/>
      <w:bCs/>
      <w:color w:val="2e74b5"/>
      <w:sz w:val="32"/>
      <w:szCs w:val="32"/>
    </w:rPr>
  </w:style>
  <w:style w:type="paragraph" w:styleId="735">
    <w:name w:val="Heading 2"/>
    <w:qFormat/>
    <w:pPr>
      <w:pBdr/>
      <w:spacing w:after="120" w:before="240"/>
      <w:ind/>
      <w:outlineLvl w:val="1"/>
    </w:pPr>
    <w:rPr>
      <w:rFonts w:ascii="Calibri" w:hAnsi="Calibri" w:eastAsia="Calibri" w:cs="Calibri"/>
      <w:b/>
      <w:bCs/>
      <w:color w:val="2e74b5"/>
      <w:sz w:val="26"/>
      <w:szCs w:val="26"/>
    </w:rPr>
  </w:style>
  <w:style w:type="paragraph" w:styleId="736">
    <w:name w:val="Heading 3"/>
    <w:qFormat/>
    <w:pPr>
      <w:pBdr/>
      <w:spacing w:after="100" w:before="200"/>
      <w:ind/>
      <w:outlineLvl w:val="2"/>
    </w:pPr>
    <w:rPr>
      <w:rFonts w:ascii="Calibri" w:hAnsi="Calibri" w:eastAsia="Calibri" w:cs="Calibri"/>
      <w:b/>
      <w:bCs/>
      <w:color w:val="1f4d78"/>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Sentence-Level Translation of Indian Sign Language to English</dc:title>
  <dc:creator>Siddhartha Gopala</dc:creator>
  <cp:revision>2</cp:revision>
  <dcterms:created xsi:type="dcterms:W3CDTF">2026-10-09T19:00:06Z</dcterms:created>
  <dcterms:modified xsi:type="dcterms:W3CDTF">2026-10-09T19:14:14Z</dcterms:modified>
</cp:coreProperties>
</file>