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Executive Summary: Bank Customer Churn Risk Intelligence</w:t>
      </w:r>
    </w:p>
    <w:p>
      <w:pPr>
        <w:jc w:val="center"/>
      </w:pPr>
      <w:r>
        <w:rPr>
          <w:i/>
        </w:rPr>
        <w:t>For government and public-sector stakeholders</w:t>
      </w:r>
    </w:p>
    <w:p>
      <w:pPr>
        <w:pStyle w:val="Heading1"/>
      </w:pPr>
      <w:r>
        <w:t>Purpose</w:t>
      </w:r>
    </w:p>
    <w:p>
      <w:r>
        <w:t>This project presents an analytical prototype for early identification of bank customers who may churn. The purpose is to demonstrate how predictive modeling can support more targeted and measurable customer-retention strategies while preserving the need for governance, fairness, transparency and human oversight.</w:t>
      </w:r>
    </w:p>
    <w:p>
      <w:pPr>
        <w:pStyle w:val="Heading1"/>
      </w:pPr>
      <w:r>
        <w:t>Key results</w:t>
      </w:r>
    </w:p>
    <w:p>
      <w:pPr>
        <w:pStyle w:val="ListBullet"/>
      </w:pPr>
      <w:r>
        <w:t>10,000 customer records analyzed; observed churn rate: 20.37%.</w:t>
      </w:r>
    </w:p>
    <w:p>
      <w:pPr>
        <w:pStyle w:val="ListBullet"/>
      </w:pPr>
      <w:r>
        <w:t>Five models evaluated using a stratified 80/20 holdout sample.</w:t>
      </w:r>
    </w:p>
    <w:p>
      <w:pPr>
        <w:pStyle w:val="ListBullet"/>
      </w:pPr>
      <w:r>
        <w:t>Champion model: Gradient Boosting; ROC-AUC = 0.869.</w:t>
      </w:r>
    </w:p>
    <w:p>
      <w:pPr>
        <w:pStyle w:val="ListBullet"/>
      </w:pPr>
      <w:r>
        <w:t>XGBoost achieved the highest accuracy at 87.1%.</w:t>
      </w:r>
    </w:p>
    <w:p>
      <w:pPr>
        <w:pStyle w:val="ListBullet"/>
      </w:pPr>
      <w:r>
        <w:t>Top predictive signals include age, number of products, activity status, balance and geography.</w:t>
      </w:r>
    </w:p>
    <w:p>
      <w:pPr>
        <w:pStyle w:val="ListBullet"/>
      </w:pPr>
      <w:r>
        <w:t>Dashboard provides customer probability scores, risk bands, portfolio analytics, explainability and what-if analysis.</w:t>
      </w:r>
    </w:p>
    <w:p>
      <w:pPr>
        <w:pStyle w:val="Heading1"/>
      </w:pPr>
      <w:r>
        <w:t>Public-policy relevance</w:t>
      </w:r>
    </w:p>
    <w:p>
      <w:r>
        <w:t>A risk-scoring approach can help institutions move from broad, reactive retention programs toward targeted customer engagement. At a policy and supervisory level, such systems illustrate the importance of model governance: institutions should be able to document data provenance, validation methodology, threshold selection, model performance, subgroup outcomes, customer-impact controls and monitoring processes.</w:t>
      </w:r>
    </w:p>
    <w:p>
      <w:pPr>
        <w:pStyle w:val="Heading1"/>
      </w:pPr>
      <w:r>
        <w:t>Recommended governance principles</w:t>
      </w:r>
    </w:p>
    <w:p>
      <w:pPr>
        <w:pStyle w:val="ListBullet"/>
      </w:pPr>
      <w:r>
        <w:t>Human oversight for consequential customer actions.</w:t>
      </w:r>
    </w:p>
    <w:p>
      <w:pPr>
        <w:pStyle w:val="ListBullet"/>
      </w:pPr>
      <w:r>
        <w:t>Transparent documentation of model inputs, assumptions and limitations.</w:t>
      </w:r>
    </w:p>
    <w:p>
      <w:pPr>
        <w:pStyle w:val="ListBullet"/>
      </w:pPr>
      <w:r>
        <w:t>Fairness and subgroup performance testing before deployment.</w:t>
      </w:r>
    </w:p>
    <w:p>
      <w:pPr>
        <w:pStyle w:val="ListBullet"/>
      </w:pPr>
      <w:r>
        <w:t>Periodic validation and monitoring for model drift and probability calibration.</w:t>
      </w:r>
    </w:p>
    <w:p>
      <w:pPr>
        <w:pStyle w:val="ListBullet"/>
      </w:pPr>
      <w:r>
        <w:t>Clear separation between predictive risk and causal claims.</w:t>
      </w:r>
    </w:p>
    <w:p>
      <w:pPr>
        <w:pStyle w:val="ListBullet"/>
      </w:pPr>
      <w:r>
        <w:t>Use of customer value and intervention cost alongside churn probability.</w:t>
      </w:r>
    </w:p>
    <w:p>
      <w:pPr>
        <w:pStyle w:val="ListBullet"/>
      </w:pPr>
      <w:r>
        <w:t>Audit trails for score generation, interventions and outcomes.</w:t>
      </w:r>
    </w:p>
    <w:p>
      <w:pPr>
        <w:pStyle w:val="Heading1"/>
      </w:pPr>
      <w:r>
        <w:t>Recommended next steps</w:t>
      </w:r>
    </w:p>
    <w:p>
      <w:pPr>
        <w:pStyle w:val="ListBullet"/>
      </w:pPr>
      <w:r>
        <w:t>Validate the model on time-separated historical bank data.</w:t>
      </w:r>
    </w:p>
    <w:p>
      <w:pPr>
        <w:pStyle w:val="ListBullet"/>
      </w:pPr>
      <w:r>
        <w:t>Add transaction frequency, service interactions, complaints, digital engagement and product-level history where legally and operationally appropriate.</w:t>
      </w:r>
    </w:p>
    <w:p>
      <w:pPr>
        <w:pStyle w:val="ListBullet"/>
      </w:pPr>
      <w:r>
        <w:t>Calibrate probabilities and optimize intervention thresholds against retention economics.</w:t>
      </w:r>
    </w:p>
    <w:p>
      <w:pPr>
        <w:pStyle w:val="ListBullet"/>
      </w:pPr>
      <w:r>
        <w:t>Run fairness and stability assessments across relevant customer groups.</w:t>
      </w:r>
    </w:p>
    <w:p>
      <w:pPr>
        <w:pStyle w:val="ListBullet"/>
      </w:pPr>
      <w:r>
        <w:t>Pilot the dashboard with relationship managers before any automated intervention.</w:t>
      </w:r>
    </w:p>
    <w:p>
      <w:pPr>
        <w:pStyle w:val="ListBullet"/>
      </w:pPr>
      <w:r>
        <w:t>Measure uplift: compare retention outcomes for targeted interventions against an appropriate control group.</w:t>
      </w:r>
    </w:p>
    <w:p>
      <w:pPr>
        <w:pStyle w:val="Heading1"/>
      </w:pPr>
      <w:r>
        <w:t>Important caveat</w:t>
      </w:r>
    </w:p>
    <w:p>
      <w:r>
        <w:t>The supplied dataset and resulting model are suitable for an educational/project prototype, not for direct regulatory, lending, pricing or adverse-action decisions. A production banking system would require institution-specific validation, legal and compliance review, security controls, privacy safeguards, model-risk governance and ongoing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