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5B2C83"/>
          <w:sz w:val="44"/>
          <w:szCs w:val="44"/>
        </w:rPr>
        <w:t xml:space="preserve">Factory-to-Customer Shipping Route</w:t>
      </w:r>
    </w:p>
    <w:p>
      <w:pPr>
        <w:spacing w:after="400"/>
        <w:jc w:val="center"/>
      </w:pPr>
      <w:r>
        <w:rPr>
          <w:b/>
          <w:bCs/>
          <w:color w:val="5B2C83"/>
          <w:sz w:val="44"/>
          <w:szCs w:val="44"/>
        </w:rPr>
        <w:t xml:space="preserve">Efficiency Analysis</w:t>
      </w:r>
    </w:p>
    <w:p>
      <w:pPr>
        <w:spacing w:after="200"/>
        <w:jc w:val="center"/>
      </w:pPr>
      <w:r>
        <w:rPr>
          <w:color w:val="E8A33D"/>
          <w:sz w:val="28"/>
          <w:szCs w:val="28"/>
        </w:rPr>
        <w:t xml:space="preserve">Nassau Candy Distributor</w:t>
      </w:r>
    </w:p>
    <w:p>
      <w:pPr>
        <w:spacing w:after="800"/>
        <w:jc w:val="center"/>
      </w:pPr>
      <w:r>
        <w:rPr>
          <w:i/>
          <w:iCs/>
          <w:color w:val="666666"/>
          <w:sz w:val="22"/>
          <w:szCs w:val="22"/>
        </w:rPr>
        <w:t xml:space="preserve">Prepared for Unified Mentor</w:t>
      </w:r>
    </w:p>
    <w:p>
      <w:pPr>
        <w:spacing w:after="80"/>
        <w:jc w:val="center"/>
      </w:pPr>
      <w:r>
        <w:rPr>
          <w:sz w:val="20"/>
          <w:szCs w:val="20"/>
        </w:rPr>
        <w:t xml:space="preserve">Research Paper — Exploratory Data Analysis, Insights &amp; Recommendations</w:t>
      </w:r>
    </w:p>
    <w:p>
      <w:pPr>
        <w:spacing w:after="80"/>
        <w:jc w:val="center"/>
      </w:pPr>
      <w:r>
        <w:rPr>
          <w:sz w:val="20"/>
          <w:szCs w:val="20"/>
        </w:rPr>
        <w:t xml:space="preserve">Prepared by: Siddhartha | Data Science Intern</w:t>
      </w:r>
    </w:p>
    <w:p>
      <w:pPr>
        <w:jc w:val="center"/>
      </w:pPr>
      <w:r>
        <w:rPr>
          <w:color w:val="888888"/>
          <w:sz w:val="20"/>
          <w:szCs w:val="20"/>
        </w:rPr>
        <w:t xml:space="preserve">September 2026</w:t>
      </w:r>
    </w:p>
    <w:p>
      <w:r>
        <w:br w:type="page"/>
      </w:r>
    </w:p>
    <w:p>
      <w:pPr>
        <w:pStyle w:val="Heading1"/>
        <w:spacing w:after="160" w:before="360"/>
      </w:pPr>
      <w:r>
        <w:t xml:space="preserve">1. Executive Overview</w:t>
      </w:r>
    </w:p>
    <w:p>
      <w:pPr>
        <w:spacing w:after="160"/>
      </w:pPr>
      <w:r>
        <w:t xml:space="preserve">Nassau Candy Distributor ships confectionery products from five factories to customers across the United States and Canada. This paper analyzes 10,194 shipment records to evaluate route-level shipping efficiency, identify geographic bottlenecks, compare shipping modes, and benchmark performance across factory-to-customer routes.</w:t>
      </w:r>
    </w:p>
    <w:p>
      <w:pPr>
        <w:spacing w:after="160"/>
      </w:pPr>
      <w:r>
        <w:t xml:space="preserve">The dataset's most important finding is a data-quality issue: the recorded Ship Date field is inconsistent with the Order Date field for every single record, producing implausible shipping durations of roughly 900 to 1,640 days. Section 4 documents this in detail. Because of it, time-based KPIs (Shipping Lead Time, Delay Frequency, time-based Route Efficiency Score) cannot be computed reliably from the data as supplied. This paper instead delivers a rigorous route, regional, and ship-mode performance analysis built on the metrics that remain trustworthy — sales, units, gross profit and margin, and shipment volume — and flags exactly what is needed to restore the time-based analysis once corrected data is available.</w:t>
      </w:r>
    </w:p>
    <w:p>
      <w:pPr>
        <w:spacing w:after="160"/>
      </w:pPr>
      <w:r>
        <w:rPr>
          <w:b/>
          <w:bCs/>
        </w:rPr>
        <w:t xml:space="preserve">Key findings at a glance:</w:t>
      </w:r>
    </w:p>
    <w:p>
      <w:pPr>
        <w:pStyle w:val="ListParagraph"/>
        <w:numPr>
          <w:ilvl w:val="0"/>
          <w:numId w:val="2"/>
        </w:numPr>
        <w:spacing w:after="80"/>
      </w:pPr>
      <w:r>
        <w:t xml:space="preserve">Total sales across the dataset are $141,783.63 on 38,654 units, generating $93,442.80 in gross profit — an overall margin of 65.9%.</w:t>
      </w:r>
    </w:p>
    <w:p>
      <w:pPr>
        <w:pStyle w:val="ListParagraph"/>
        <w:numPr>
          <w:ilvl w:val="0"/>
          <w:numId w:val="2"/>
        </w:numPr>
        <w:spacing w:after="80"/>
      </w:pPr>
      <w:r>
        <w:t xml:space="preserve">Two factories — Lot's O' Nuts and Wicked Choccy's — account for 96.6% of all shipments and nearly all profit; three smaller factories (Secret Factory, The Other Factory, Sugar Shack) together handle only 3.4% of volume.</w:t>
      </w:r>
    </w:p>
    <w:p>
      <w:pPr>
        <w:pStyle w:val="ListParagraph"/>
        <w:numPr>
          <w:ilvl w:val="0"/>
          <w:numId w:val="2"/>
        </w:numPr>
        <w:spacing w:after="80"/>
      </w:pPr>
      <w:r>
        <w:t xml:space="preserve">The Other Factory runs a gross margin of just 11.9%, far below the network average of 65.9% — the single clearest profitability problem in the network.</w:t>
      </w:r>
    </w:p>
    <w:p>
      <w:pPr>
        <w:pStyle w:val="ListParagraph"/>
        <w:numPr>
          <w:ilvl w:val="0"/>
          <w:numId w:val="2"/>
        </w:numPr>
        <w:spacing w:after="80"/>
      </w:pPr>
      <w:r>
        <w:t xml:space="preserve">California, New York and Texas are the highest-volume destination states by a wide margin, led by the Lot's O' Nuts → California route (1,125 shipments).</w:t>
      </w:r>
    </w:p>
    <w:p>
      <w:pPr>
        <w:pStyle w:val="ListParagraph"/>
        <w:numPr>
          <w:ilvl w:val="0"/>
          <w:numId w:val="2"/>
        </w:numPr>
        <w:spacing w:after="80"/>
      </w:pPr>
      <w:r>
        <w:t xml:space="preserve">Standard Class carries 60% of all shipments; the ship-mode mix is heavily skewed toward slower, lower-cost service.</w:t>
      </w:r>
    </w:p>
    <w:p>
      <w:pPr>
        <w:pStyle w:val="Heading1"/>
        <w:spacing w:after="160" w:before="360"/>
      </w:pPr>
      <w:r>
        <w:t xml:space="preserve">2. Background &amp; Problem Statement</w:t>
      </w:r>
    </w:p>
    <w:p>
      <w:pPr>
        <w:spacing w:after="160"/>
      </w:pPr>
      <w:r>
        <w:t xml:space="preserve">Nassau Candy Distributor operates as a national distributor, shipping products from factories to customers across multiple US regions and into Canada. Shipping efficiency directly affects customer satisfaction, delays increase operational cost, and inefficient routes reduce scalability. Despite having rich order and shipment data, logistics decisions have historically been made without route-level efficiency intelligence.</w:t>
      </w:r>
    </w:p>
    <w:p>
      <w:pPr>
        <w:spacing w:after="160"/>
      </w:pPr>
      <w:r>
        <w:t xml:space="preserve">Specifically, the organization lacks clarity on:</w:t>
      </w:r>
    </w:p>
    <w:p>
      <w:pPr>
        <w:pStyle w:val="ListParagraph"/>
        <w:numPr>
          <w:ilvl w:val="0"/>
          <w:numId w:val="2"/>
        </w:numPr>
        <w:spacing w:after="80"/>
      </w:pPr>
      <w:r>
        <w:t xml:space="preserve">Which factory-to-customer routes are consistently efficient and profitable</w:t>
      </w:r>
    </w:p>
    <w:p>
      <w:pPr>
        <w:pStyle w:val="ListParagraph"/>
        <w:numPr>
          <w:ilvl w:val="0"/>
          <w:numId w:val="2"/>
        </w:numPr>
        <w:spacing w:after="80"/>
      </w:pPr>
      <w:r>
        <w:t xml:space="preserve">Which routes experience the weakest margins or performance</w:t>
      </w:r>
    </w:p>
    <w:p>
      <w:pPr>
        <w:pStyle w:val="ListParagraph"/>
        <w:numPr>
          <w:ilvl w:val="0"/>
          <w:numId w:val="2"/>
        </w:numPr>
        <w:spacing w:after="80"/>
      </w:pPr>
      <w:r>
        <w:t xml:space="preserve">How shipping performance varies by region, state, and ship mode</w:t>
      </w:r>
    </w:p>
    <w:p>
      <w:pPr>
        <w:pStyle w:val="ListParagraph"/>
        <w:numPr>
          <w:ilvl w:val="0"/>
          <w:numId w:val="2"/>
        </w:numPr>
        <w:spacing w:after="80"/>
      </w:pPr>
      <w:r>
        <w:t xml:space="preserve">Where operational and geographic bottlenecks exist</w:t>
      </w:r>
    </w:p>
    <w:p>
      <w:pPr>
        <w:pStyle w:val="Heading1"/>
        <w:spacing w:after="160" w:before="360"/>
      </w:pPr>
      <w:r>
        <w:t xml:space="preserve">3. Dataset Description</w:t>
      </w:r>
    </w:p>
    <w:p>
      <w:pPr>
        <w:spacing w:after="160"/>
      </w:pPr>
      <w:r>
        <w:t xml:space="preserve">The analysis uses a single transactional dataset of 10,194 line-item shipment records (8,549 distinct orders, 5,044 distinct customers) spanning 18 fields: order identifiers, order and ship dates, ship mode, customer geography (country, city, state, postal code, region), product identifiers and names, product division, and financial fields (sales, units, gross profit, cost). There are no missing values in any field.</w:t>
      </w:r>
    </w:p>
    <w:p>
      <w:pPr>
        <w:spacing w:after="160"/>
      </w:pPr>
      <w:r>
        <w:t xml:space="preserve">Two reference tables accompanied the dataset and were joined into the analysis:</w:t>
      </w:r>
    </w:p>
    <w:p>
      <w:pPr>
        <w:pStyle w:val="ListParagraph"/>
        <w:numPr>
          <w:ilvl w:val="0"/>
          <w:numId w:val="2"/>
        </w:numPr>
        <w:spacing w:after="80"/>
      </w:pPr>
      <w:r>
        <w:t xml:space="preserve">A Factory Coordinates table giving latitude/longitude for the five factories (Lot's O' Nuts, Wicked Choccy's, Sugar Shack, Secret Factory, The Other Factory).</w:t>
      </w:r>
    </w:p>
    <w:p>
      <w:pPr>
        <w:pStyle w:val="ListParagraph"/>
        <w:numPr>
          <w:ilvl w:val="0"/>
          <w:numId w:val="2"/>
        </w:numPr>
        <w:spacing w:after="80"/>
      </w:pPr>
      <w:r>
        <w:t xml:space="preserve">A Product–Factory correlation table mapping each of the 15 products to its originating factory and division (Chocolate, Sugar, Other). This mapping was joined onto every shipment record to reconstruct the factory-to-customer route for each order — the dataset itself does not contain a factory field.</w:t>
      </w:r>
    </w:p>
    <w:p>
      <w:pPr>
        <w:spacing w:after="160"/>
      </w:pPr>
      <w:r>
        <w:rPr>
          <w:i/>
          <w:iCs/>
          <w:color w:val="555555"/>
        </w:rPr>
        <w:t xml:space="preserve">99.98% of shipments (9,994 of 10,194) go to United States destinations; the remainder (200) go to Canada.</w:t>
      </w:r>
    </w:p>
    <w:p>
      <w:pPr>
        <w:pStyle w:val="Heading1"/>
        <w:spacing w:after="160" w:before="360"/>
      </w:pPr>
      <w:r>
        <w:t xml:space="preserve">4. Methodology &amp; Data Quality Findings</w:t>
      </w:r>
    </w:p>
    <w:p>
      <w:pPr>
        <w:pStyle w:val="Heading2"/>
        <w:spacing w:after="120" w:before="260"/>
      </w:pPr>
      <w:r>
        <w:t xml:space="preserve">4.1 Cleaning &amp; Feature Engineering</w:t>
      </w:r>
    </w:p>
    <w:p>
      <w:pPr>
        <w:spacing w:after="160"/>
      </w:pPr>
      <w:r>
        <w:t xml:space="preserve">Order Date and Ship Date were parsed, geographic fields standardized, and each shipment mapped to its factory via the product-factory correlation table (all 15 products matched with no unmapped rows). A Route field was engineered at two grains — Factory → Region and Factory → State/Province — matching the two-level route definition specified in the project brief. Gross margin percentage (Gross Profit ÷ Sales) was computed per row and used as the primary profitability metric in all aggregations.</w:t>
      </w:r>
    </w:p>
    <w:p>
      <w:pPr>
        <w:pStyle w:val="Heading2"/>
        <w:spacing w:after="120" w:before="260"/>
      </w:pPr>
      <w:r>
        <w:t xml:space="preserve">4.2 Critical Data Quality Finding: The Shipping Lead Time Field Is Not Usable As Recorded</w:t>
      </w:r>
    </w:p>
    <w:p>
      <w:pPr>
        <w:spacing w:after="160"/>
      </w:pPr>
      <w:r>
        <w:t xml:space="preserve">The brief's methodology calls for computing Shipping Lead Time as Ship Date minus Order Date, then using it to rank routes and evaluate ship-mode performance. Applying that calculation to this dataset produces the following:</w:t>
      </w:r>
    </w:p>
    <w:p>
      <w:pPr>
        <w:pStyle w:val="ListParagraph"/>
        <w:numPr>
          <w:ilvl w:val="0"/>
          <w:numId w:val="2"/>
        </w:numPr>
        <w:spacing w:after="80"/>
      </w:pPr>
      <w:r>
        <w:t xml:space="preserve">Order Date ranges from 2 Jan 2024 to 31 Dec 2025 — a plausible two-year order history.</w:t>
      </w:r>
    </w:p>
    <w:p>
      <w:pPr>
        <w:pStyle w:val="ListParagraph"/>
        <w:numPr>
          <w:ilvl w:val="0"/>
          <w:numId w:val="2"/>
        </w:numPr>
        <w:spacing w:after="80"/>
      </w:pPr>
      <w:r>
        <w:t xml:space="preserve">Ship Date ranges from 30 Jun 2026 to 28 Jun 2030 — years after the order history ends.</w:t>
      </w:r>
    </w:p>
    <w:p>
      <w:pPr>
        <w:pStyle w:val="ListParagraph"/>
        <w:numPr>
          <w:ilvl w:val="0"/>
          <w:numId w:val="2"/>
        </w:numPr>
        <w:spacing w:after="80"/>
      </w:pPr>
      <w:r>
        <w:t xml:space="preserve">The resulting lead time is between 904 and 1,642 days for every one of the 10,194 records (mean 1,321 days, ≈ 3.6 years). 0% of records fall inside a realistic 0–30 day shipping window.</w:t>
      </w:r>
    </w:p>
    <w:p>
      <w:pPr>
        <w:spacing w:after="100" w:before="15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666666"/>
          <w:sz w:val="18"/>
          <w:szCs w:val="18"/>
        </w:rPr>
        <w:t xml:space="preserve">Fig. 1 — Every recorded lead time falls between roughly 900 and 1,640 days; none are realistic for candy distribution.</w:t>
      </w:r>
    </w:p>
    <w:p>
      <w:pPr>
        <w:spacing w:after="160"/>
      </w:pPr>
      <w:r>
        <w:t xml:space="preserve">This is not a small number of outliers to be filtered out — per the brief's own cleaning instruction to "remove invalid or negative lead times" — it is the entire field. Two further checks confirm this is a systematic artifact rather than genuine variance: first, the day-of-year gap between Order Date and Ship Date is nearly constant (mean 177 days, standard deviation under 2 days) even though the year gap varies from 2 to 5 years, which is inconsistent with real shipment timing. Second, average lead time barely differs across ship modes (Same Day averages 1,333 days versus Standard Class's 1,314 — a 19-day spread out of ~1,300, i.e. essentially no signal), which would not occur if the field reflected real fulfillment performance. The most plausible explanation is that Ship Date was populated from an unrelated or corrupted date source during data preparation, rather than reflecting genuine shipment timing.</w:t>
      </w:r>
    </w:p>
    <w:p>
      <w:pPr>
        <w:spacing w:after="160"/>
      </w:pPr>
      <w:r>
        <w:rPr>
          <w:b/>
          <w:bCs/>
        </w:rPr>
        <w:t xml:space="preserve">Consequence for this paper: </w:t>
      </w:r>
    </w:p>
    <w:p>
      <w:pPr>
        <w:spacing w:after="200"/>
      </w:pPr>
      <w:r>
        <w:t xml:space="preserve">Shipping Lead Time, Delay Frequency, and time-based Route Efficiency Score — three of the five KPIs specified in the brief — cannot be reported from this dataset without materially misleading the reader. This paper reports them as a documented limitation (Section 8) rather than fabricating a lead-time ranking from unusable data, and substitutes a volume- and profitability-based route efficiency view, which the data fully supports.</w:t>
      </w:r>
    </w:p>
    <w:p>
      <w:pPr>
        <w:pStyle w:val="Heading1"/>
        <w:spacing w:after="160" w:before="360"/>
      </w:pPr>
      <w:r>
        <w:t xml:space="preserve">5. Findings</w:t>
      </w:r>
    </w:p>
    <w:p>
      <w:pPr>
        <w:pStyle w:val="Heading2"/>
        <w:spacing w:after="120" w:before="260"/>
      </w:pPr>
      <w:r>
        <w:t xml:space="preserve">5.1 Sales &amp; Profitability Overview</w:t>
      </w:r>
    </w:p>
    <w:p>
      <w:pPr>
        <w:spacing w:after="160"/>
      </w:pPr>
      <w:r>
        <w:t xml:space="preserve">Across all 10,194 shipments, Nassau Candy generated $141,783.63 in sales and $93,442.80 in gross profit, an overall margin of 65.9%. Profitability is heavily concentrated: Chocolate-division products from just two factories drive the business.</w:t>
      </w:r>
    </w:p>
    <w:p>
      <w:pPr>
        <w:spacing w:after="100" w:before="15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52750"/>
                    </a:xfrm>
                    <a:prstGeom prst="rect">
                      <a:avLst/>
                    </a:prstGeom>
                  </pic:spPr>
                </pic:pic>
              </a:graphicData>
            </a:graphic>
          </wp:inline>
        </w:drawing>
      </w:r>
    </w:p>
    <w:p>
      <w:pPr>
        <w:spacing w:after="240"/>
        <w:jc w:val="center"/>
      </w:pPr>
      <w:r>
        <w:rPr>
          <w:i/>
          <w:iCs/>
          <w:color w:val="666666"/>
          <w:sz w:val="18"/>
          <w:szCs w:val="18"/>
        </w:rPr>
        <w:t xml:space="preserve">Fig. 2 — Sales concentration by factory / division.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1600"/>
        <w:gridCol w:w="1900"/>
      </w:tblGrid>
      <w:tr>
        <w:tc>
          <w:tcPr>
            <w:tcW w:type="dxa" w:w="2400"/>
            <w:shd w:fill="5B2C83" w:val="clear"/>
            <w:tcMar>
              <w:top w:type="dxa" w:w="80"/>
              <w:left w:type="dxa" w:w="120"/>
              <w:bottom w:type="dxa" w:w="80"/>
              <w:right w:type="dxa" w:w="120"/>
            </w:tcMar>
          </w:tcPr>
          <w:p>
            <w:r>
              <w:rPr>
                <w:b/>
                <w:bCs/>
                <w:color w:val="FFFFFF"/>
                <w:sz w:val="20"/>
                <w:szCs w:val="20"/>
              </w:rPr>
              <w:t xml:space="preserve">Factory</w:t>
            </w:r>
          </w:p>
        </w:tc>
        <w:tc>
          <w:tcPr>
            <w:tcW w:type="dxa" w:w="1600"/>
            <w:shd w:fill="5B2C83" w:val="clear"/>
            <w:tcMar>
              <w:top w:type="dxa" w:w="80"/>
              <w:left w:type="dxa" w:w="120"/>
              <w:bottom w:type="dxa" w:w="80"/>
              <w:right w:type="dxa" w:w="120"/>
            </w:tcMar>
          </w:tcPr>
          <w:p>
            <w:r>
              <w:rPr>
                <w:b/>
                <w:bCs/>
                <w:color w:val="FFFFFF"/>
                <w:sz w:val="20"/>
                <w:szCs w:val="20"/>
              </w:rPr>
              <w:t xml:space="preserve">Division</w:t>
            </w:r>
          </w:p>
        </w:tc>
        <w:tc>
          <w:tcPr>
            <w:tcW w:type="dxa" w:w="1500"/>
            <w:shd w:fill="5B2C83" w:val="clear"/>
            <w:tcMar>
              <w:top w:type="dxa" w:w="80"/>
              <w:left w:type="dxa" w:w="120"/>
              <w:bottom w:type="dxa" w:w="80"/>
              <w:right w:type="dxa" w:w="120"/>
            </w:tcMar>
          </w:tcPr>
          <w:p>
            <w:r>
              <w:rPr>
                <w:b/>
                <w:bCs/>
                <w:color w:val="FFFFFF"/>
                <w:sz w:val="20"/>
                <w:szCs w:val="20"/>
              </w:rPr>
              <w:t xml:space="preserve">Shipments</w:t>
            </w:r>
          </w:p>
        </w:tc>
        <w:tc>
          <w:tcPr>
            <w:tcW w:type="dxa" w:w="1600"/>
            <w:shd w:fill="5B2C83" w:val="clear"/>
            <w:tcMar>
              <w:top w:type="dxa" w:w="80"/>
              <w:left w:type="dxa" w:w="120"/>
              <w:bottom w:type="dxa" w:w="80"/>
              <w:right w:type="dxa" w:w="120"/>
            </w:tcMar>
          </w:tcPr>
          <w:p>
            <w:r>
              <w:rPr>
                <w:b/>
                <w:bCs/>
                <w:color w:val="FFFFFF"/>
                <w:sz w:val="20"/>
                <w:szCs w:val="20"/>
              </w:rPr>
              <w:t xml:space="preserve">Sales ($)</w:t>
            </w:r>
          </w:p>
        </w:tc>
        <w:tc>
          <w:tcPr>
            <w:tcW w:type="dxa" w:w="1900"/>
            <w:shd w:fill="5B2C83" w:val="clear"/>
            <w:tcMar>
              <w:top w:type="dxa" w:w="80"/>
              <w:left w:type="dxa" w:w="120"/>
              <w:bottom w:type="dxa" w:w="80"/>
              <w:right w:type="dxa" w:w="120"/>
            </w:tcMar>
          </w:tcPr>
          <w:p>
            <w:r>
              <w:rPr>
                <w:b/>
                <w:bCs/>
                <w:color w:val="FFFFFF"/>
                <w:sz w:val="20"/>
                <w:szCs w:val="20"/>
              </w:rPr>
              <w:t xml:space="preserve">Gross Profit ($)</w:t>
            </w:r>
          </w:p>
        </w:tc>
      </w:tr>
      <w:tr>
        <w:tc>
          <w:tcPr>
            <w:tcW w:type="dxa" w:w="2400"/>
            <w:tcMar>
              <w:top w:type="dxa" w:w="80"/>
              <w:left w:type="dxa" w:w="120"/>
              <w:bottom w:type="dxa" w:w="80"/>
              <w:right w:type="dxa" w:w="120"/>
            </w:tcMar>
          </w:tcPr>
          <w:p>
            <w:r>
              <w:rPr>
                <w:b w:val="false"/>
                <w:bCs w:val="false"/>
                <w:color w:val="2B2B2B"/>
                <w:sz w:val="20"/>
                <w:szCs w:val="20"/>
              </w:rPr>
              <w:t xml:space="preserve">Lot's O' Nuts</w:t>
            </w:r>
          </w:p>
        </w:tc>
        <w:tc>
          <w:tcPr>
            <w:tcW w:type="dxa" w:w="1600"/>
            <w:tcMar>
              <w:top w:type="dxa" w:w="80"/>
              <w:left w:type="dxa" w:w="120"/>
              <w:bottom w:type="dxa" w:w="80"/>
              <w:right w:type="dxa" w:w="120"/>
            </w:tcMar>
          </w:tcPr>
          <w:p>
            <w:r>
              <w:rPr>
                <w:b w:val="false"/>
                <w:bCs w:val="false"/>
                <w:color w:val="2B2B2B"/>
                <w:sz w:val="20"/>
                <w:szCs w:val="20"/>
              </w:rPr>
              <w:t xml:space="preserve">Chocolate</w:t>
            </w:r>
          </w:p>
        </w:tc>
        <w:tc>
          <w:tcPr>
            <w:tcW w:type="dxa" w:w="1500"/>
            <w:tcMar>
              <w:top w:type="dxa" w:w="80"/>
              <w:left w:type="dxa" w:w="120"/>
              <w:bottom w:type="dxa" w:w="80"/>
              <w:right w:type="dxa" w:w="120"/>
            </w:tcMar>
          </w:tcPr>
          <w:p>
            <w:r>
              <w:rPr>
                <w:b w:val="false"/>
                <w:bCs w:val="false"/>
                <w:color w:val="2B2B2B"/>
                <w:sz w:val="20"/>
                <w:szCs w:val="20"/>
              </w:rPr>
              <w:t xml:space="preserve">5,692</w:t>
            </w:r>
          </w:p>
        </w:tc>
        <w:tc>
          <w:tcPr>
            <w:tcW w:type="dxa" w:w="1600"/>
            <w:tcMar>
              <w:top w:type="dxa" w:w="80"/>
              <w:left w:type="dxa" w:w="120"/>
              <w:bottom w:type="dxa" w:w="80"/>
              <w:right w:type="dxa" w:w="120"/>
            </w:tcMar>
          </w:tcPr>
          <w:p>
            <w:r>
              <w:rPr>
                <w:b w:val="false"/>
                <w:bCs w:val="false"/>
                <w:color w:val="2B2B2B"/>
                <w:sz w:val="20"/>
                <w:szCs w:val="20"/>
              </w:rPr>
              <w:t xml:space="preserve">76,340.15</w:t>
            </w:r>
          </w:p>
        </w:tc>
        <w:tc>
          <w:tcPr>
            <w:tcW w:type="dxa" w:w="1900"/>
            <w:tcMar>
              <w:top w:type="dxa" w:w="80"/>
              <w:left w:type="dxa" w:w="120"/>
              <w:bottom w:type="dxa" w:w="80"/>
              <w:right w:type="dxa" w:w="120"/>
            </w:tcMar>
          </w:tcPr>
          <w:p>
            <w:r>
              <w:rPr>
                <w:b w:val="false"/>
                <w:bCs w:val="false"/>
                <w:color w:val="2B2B2B"/>
                <w:sz w:val="20"/>
                <w:szCs w:val="20"/>
              </w:rPr>
              <w:t xml:space="preserve">52,771.05</w:t>
            </w:r>
          </w:p>
        </w:tc>
      </w:tr>
      <w:tr>
        <w:tc>
          <w:tcPr>
            <w:tcW w:type="dxa" w:w="2400"/>
            <w:shd w:fill="F3ECF8" w:val="clear"/>
            <w:tcMar>
              <w:top w:type="dxa" w:w="80"/>
              <w:left w:type="dxa" w:w="120"/>
              <w:bottom w:type="dxa" w:w="80"/>
              <w:right w:type="dxa" w:w="120"/>
            </w:tcMar>
          </w:tcPr>
          <w:p>
            <w:r>
              <w:rPr>
                <w:b w:val="false"/>
                <w:bCs w:val="false"/>
                <w:color w:val="2B2B2B"/>
                <w:sz w:val="20"/>
                <w:szCs w:val="20"/>
              </w:rPr>
              <w:t xml:space="preserve">Wicked Choccy's</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Chocolate</w:t>
            </w:r>
          </w:p>
        </w:tc>
        <w:tc>
          <w:tcPr>
            <w:tcW w:type="dxa" w:w="1500"/>
            <w:shd w:fill="F3ECF8" w:val="clear"/>
            <w:tcMar>
              <w:top w:type="dxa" w:w="80"/>
              <w:left w:type="dxa" w:w="120"/>
              <w:bottom w:type="dxa" w:w="80"/>
              <w:right w:type="dxa" w:w="120"/>
            </w:tcMar>
          </w:tcPr>
          <w:p>
            <w:r>
              <w:rPr>
                <w:b w:val="false"/>
                <w:bCs w:val="false"/>
                <w:color w:val="2B2B2B"/>
                <w:sz w:val="20"/>
                <w:szCs w:val="20"/>
              </w:rPr>
              <w:t xml:space="preserve">4,152</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55,352.75</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36,053.57</w:t>
            </w:r>
          </w:p>
        </w:tc>
      </w:tr>
      <w:tr>
        <w:tc>
          <w:tcPr>
            <w:tcW w:type="dxa" w:w="2400"/>
            <w:tcMar>
              <w:top w:type="dxa" w:w="80"/>
              <w:left w:type="dxa" w:w="120"/>
              <w:bottom w:type="dxa" w:w="80"/>
              <w:right w:type="dxa" w:w="120"/>
            </w:tcMar>
          </w:tcPr>
          <w:p>
            <w:r>
              <w:rPr>
                <w:b w:val="false"/>
                <w:bCs w:val="false"/>
                <w:color w:val="2B2B2B"/>
                <w:sz w:val="20"/>
                <w:szCs w:val="20"/>
              </w:rPr>
              <w:t xml:space="preserve">Secret Factory</w:t>
            </w:r>
          </w:p>
        </w:tc>
        <w:tc>
          <w:tcPr>
            <w:tcW w:type="dxa" w:w="1600"/>
            <w:tcMar>
              <w:top w:type="dxa" w:w="80"/>
              <w:left w:type="dxa" w:w="120"/>
              <w:bottom w:type="dxa" w:w="80"/>
              <w:right w:type="dxa" w:w="120"/>
            </w:tcMar>
          </w:tcPr>
          <w:p>
            <w:r>
              <w:rPr>
                <w:b w:val="false"/>
                <w:bCs w:val="false"/>
                <w:color w:val="2B2B2B"/>
                <w:sz w:val="20"/>
                <w:szCs w:val="20"/>
              </w:rPr>
              <w:t xml:space="preserve">Other</w:t>
            </w:r>
          </w:p>
        </w:tc>
        <w:tc>
          <w:tcPr>
            <w:tcW w:type="dxa" w:w="1500"/>
            <w:tcMar>
              <w:top w:type="dxa" w:w="80"/>
              <w:left w:type="dxa" w:w="120"/>
              <w:bottom w:type="dxa" w:w="80"/>
              <w:right w:type="dxa" w:w="120"/>
            </w:tcMar>
          </w:tcPr>
          <w:p>
            <w:r>
              <w:rPr>
                <w:b w:val="false"/>
                <w:bCs w:val="false"/>
                <w:color w:val="2B2B2B"/>
                <w:sz w:val="20"/>
                <w:szCs w:val="20"/>
              </w:rPr>
              <w:t xml:space="preserve">214</w:t>
            </w:r>
          </w:p>
        </w:tc>
        <w:tc>
          <w:tcPr>
            <w:tcW w:type="dxa" w:w="1600"/>
            <w:tcMar>
              <w:top w:type="dxa" w:w="80"/>
              <w:left w:type="dxa" w:w="120"/>
              <w:bottom w:type="dxa" w:w="80"/>
              <w:right w:type="dxa" w:w="120"/>
            </w:tcMar>
          </w:tcPr>
          <w:p>
            <w:r>
              <w:rPr>
                <w:b w:val="false"/>
                <w:bCs w:val="false"/>
                <w:color w:val="2B2B2B"/>
                <w:sz w:val="20"/>
                <w:szCs w:val="20"/>
              </w:rPr>
              <w:t xml:space="preserve">8,457.50</w:t>
            </w:r>
          </w:p>
        </w:tc>
        <w:tc>
          <w:tcPr>
            <w:tcW w:type="dxa" w:w="1900"/>
            <w:tcMar>
              <w:top w:type="dxa" w:w="80"/>
              <w:left w:type="dxa" w:w="120"/>
              <w:bottom w:type="dxa" w:w="80"/>
              <w:right w:type="dxa" w:w="120"/>
            </w:tcMar>
          </w:tcPr>
          <w:p>
            <w:r>
              <w:rPr>
                <w:b w:val="false"/>
                <w:bCs w:val="false"/>
                <w:color w:val="2B2B2B"/>
                <w:sz w:val="20"/>
                <w:szCs w:val="20"/>
              </w:rPr>
              <w:t xml:space="preserve">4,240.70</w:t>
            </w:r>
          </w:p>
        </w:tc>
      </w:tr>
      <w:tr>
        <w:tc>
          <w:tcPr>
            <w:tcW w:type="dxa" w:w="2400"/>
            <w:shd w:fill="F3ECF8" w:val="clear"/>
            <w:tcMar>
              <w:top w:type="dxa" w:w="80"/>
              <w:left w:type="dxa" w:w="120"/>
              <w:bottom w:type="dxa" w:w="80"/>
              <w:right w:type="dxa" w:w="120"/>
            </w:tcMar>
          </w:tcPr>
          <w:p>
            <w:r>
              <w:rPr>
                <w:b w:val="false"/>
                <w:bCs w:val="false"/>
                <w:color w:val="2B2B2B"/>
                <w:sz w:val="20"/>
                <w:szCs w:val="20"/>
              </w:rPr>
              <w:t xml:space="preserve">The Other Factory</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Other</w:t>
            </w:r>
          </w:p>
        </w:tc>
        <w:tc>
          <w:tcPr>
            <w:tcW w:type="dxa" w:w="1500"/>
            <w:shd w:fill="F3ECF8" w:val="clear"/>
            <w:tcMar>
              <w:top w:type="dxa" w:w="80"/>
              <w:left w:type="dxa" w:w="120"/>
              <w:bottom w:type="dxa" w:w="80"/>
              <w:right w:type="dxa" w:w="120"/>
            </w:tcMar>
          </w:tcPr>
          <w:p>
            <w:r>
              <w:rPr>
                <w:b w:val="false"/>
                <w:bCs w:val="false"/>
                <w:color w:val="2B2B2B"/>
                <w:sz w:val="20"/>
                <w:szCs w:val="20"/>
              </w:rPr>
              <w:t xml:space="preserve">96</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1,205.75</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92.75</w:t>
            </w:r>
          </w:p>
        </w:tc>
      </w:tr>
      <w:tr>
        <w:tc>
          <w:tcPr>
            <w:tcW w:type="dxa" w:w="2400"/>
            <w:tcMar>
              <w:top w:type="dxa" w:w="80"/>
              <w:left w:type="dxa" w:w="120"/>
              <w:bottom w:type="dxa" w:w="80"/>
              <w:right w:type="dxa" w:w="120"/>
            </w:tcMar>
          </w:tcPr>
          <w:p>
            <w:r>
              <w:rPr>
                <w:b w:val="false"/>
                <w:bCs w:val="false"/>
                <w:color w:val="2B2B2B"/>
                <w:sz w:val="20"/>
                <w:szCs w:val="20"/>
              </w:rPr>
              <w:t xml:space="preserve">Sugar Shack</w:t>
            </w:r>
          </w:p>
        </w:tc>
        <w:tc>
          <w:tcPr>
            <w:tcW w:type="dxa" w:w="1600"/>
            <w:tcMar>
              <w:top w:type="dxa" w:w="80"/>
              <w:left w:type="dxa" w:w="120"/>
              <w:bottom w:type="dxa" w:w="80"/>
              <w:right w:type="dxa" w:w="120"/>
            </w:tcMar>
          </w:tcPr>
          <w:p>
            <w:r>
              <w:rPr>
                <w:b w:val="false"/>
                <w:bCs w:val="false"/>
                <w:color w:val="2B2B2B"/>
                <w:sz w:val="20"/>
                <w:szCs w:val="20"/>
              </w:rPr>
              <w:t xml:space="preserve">Sugar</w:t>
            </w:r>
          </w:p>
        </w:tc>
        <w:tc>
          <w:tcPr>
            <w:tcW w:type="dxa" w:w="1500"/>
            <w:tcMar>
              <w:top w:type="dxa" w:w="80"/>
              <w:left w:type="dxa" w:w="120"/>
              <w:bottom w:type="dxa" w:w="80"/>
              <w:right w:type="dxa" w:w="120"/>
            </w:tcMar>
          </w:tcPr>
          <w:p>
            <w:r>
              <w:rPr>
                <w:b w:val="false"/>
                <w:bCs w:val="false"/>
                <w:color w:val="2B2B2B"/>
                <w:sz w:val="20"/>
                <w:szCs w:val="20"/>
              </w:rPr>
              <w:t xml:space="preserve">33</w:t>
            </w:r>
          </w:p>
        </w:tc>
        <w:tc>
          <w:tcPr>
            <w:tcW w:type="dxa" w:w="1600"/>
            <w:tcMar>
              <w:top w:type="dxa" w:w="80"/>
              <w:left w:type="dxa" w:w="120"/>
              <w:bottom w:type="dxa" w:w="80"/>
              <w:right w:type="dxa" w:w="120"/>
            </w:tcMar>
          </w:tcPr>
          <w:p>
            <w:r>
              <w:rPr>
                <w:b w:val="false"/>
                <w:bCs w:val="false"/>
                <w:color w:val="2B2B2B"/>
                <w:sz w:val="20"/>
                <w:szCs w:val="20"/>
              </w:rPr>
              <w:t xml:space="preserve">220.98</w:t>
            </w:r>
          </w:p>
        </w:tc>
        <w:tc>
          <w:tcPr>
            <w:tcW w:type="dxa" w:w="1900"/>
            <w:tcMar>
              <w:top w:type="dxa" w:w="80"/>
              <w:left w:type="dxa" w:w="120"/>
              <w:bottom w:type="dxa" w:w="80"/>
              <w:right w:type="dxa" w:w="120"/>
            </w:tcMar>
          </w:tcPr>
          <w:p>
            <w:r>
              <w:rPr>
                <w:b w:val="false"/>
                <w:bCs w:val="false"/>
                <w:color w:val="2B2B2B"/>
                <w:sz w:val="20"/>
                <w:szCs w:val="20"/>
              </w:rPr>
              <w:t xml:space="preserve">121.23</w:t>
            </w:r>
          </w:p>
        </w:tc>
      </w:tr>
      <w:tr>
        <w:tc>
          <w:tcPr>
            <w:tcW w:type="dxa" w:w="2400"/>
            <w:shd w:fill="F3ECF8" w:val="clear"/>
            <w:tcMar>
              <w:top w:type="dxa" w:w="80"/>
              <w:left w:type="dxa" w:w="120"/>
              <w:bottom w:type="dxa" w:w="80"/>
              <w:right w:type="dxa" w:w="120"/>
            </w:tcMar>
          </w:tcPr>
          <w:p>
            <w:r>
              <w:rPr>
                <w:b w:val="false"/>
                <w:bCs w:val="false"/>
                <w:color w:val="2B2B2B"/>
                <w:sz w:val="20"/>
                <w:szCs w:val="20"/>
              </w:rPr>
              <w:t xml:space="preserve">Secret Factory</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Sugar</w:t>
            </w:r>
          </w:p>
        </w:tc>
        <w:tc>
          <w:tcPr>
            <w:tcW w:type="dxa" w:w="1500"/>
            <w:shd w:fill="F3ECF8" w:val="clear"/>
            <w:tcMar>
              <w:top w:type="dxa" w:w="80"/>
              <w:left w:type="dxa" w:w="120"/>
              <w:bottom w:type="dxa" w:w="80"/>
              <w:right w:type="dxa" w:w="120"/>
            </w:tcMar>
          </w:tcPr>
          <w:p>
            <w:r>
              <w:rPr>
                <w:b w:val="false"/>
                <w:bCs w:val="false"/>
                <w:color w:val="2B2B2B"/>
                <w:sz w:val="20"/>
                <w:szCs w:val="20"/>
              </w:rPr>
              <w:t xml:space="preserve">3</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130.00</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104.00</w:t>
            </w:r>
          </w:p>
        </w:tc>
      </w:tr>
      <w:tr>
        <w:tc>
          <w:tcPr>
            <w:tcW w:type="dxa" w:w="2400"/>
            <w:tcMar>
              <w:top w:type="dxa" w:w="80"/>
              <w:left w:type="dxa" w:w="120"/>
              <w:bottom w:type="dxa" w:w="80"/>
              <w:right w:type="dxa" w:w="120"/>
            </w:tcMar>
          </w:tcPr>
          <w:p>
            <w:r>
              <w:rPr>
                <w:b w:val="false"/>
                <w:bCs w:val="false"/>
                <w:color w:val="2B2B2B"/>
                <w:sz w:val="20"/>
                <w:szCs w:val="20"/>
              </w:rPr>
              <w:t xml:space="preserve">The Other Factory</w:t>
            </w:r>
          </w:p>
        </w:tc>
        <w:tc>
          <w:tcPr>
            <w:tcW w:type="dxa" w:w="1600"/>
            <w:tcMar>
              <w:top w:type="dxa" w:w="80"/>
              <w:left w:type="dxa" w:w="120"/>
              <w:bottom w:type="dxa" w:w="80"/>
              <w:right w:type="dxa" w:w="120"/>
            </w:tcMar>
          </w:tcPr>
          <w:p>
            <w:r>
              <w:rPr>
                <w:b w:val="false"/>
                <w:bCs w:val="false"/>
                <w:color w:val="2B2B2B"/>
                <w:sz w:val="20"/>
                <w:szCs w:val="20"/>
              </w:rPr>
              <w:t xml:space="preserve">Sugar</w:t>
            </w:r>
          </w:p>
        </w:tc>
        <w:tc>
          <w:tcPr>
            <w:tcW w:type="dxa" w:w="1500"/>
            <w:tcMar>
              <w:top w:type="dxa" w:w="80"/>
              <w:left w:type="dxa" w:w="120"/>
              <w:bottom w:type="dxa" w:w="80"/>
              <w:right w:type="dxa" w:w="120"/>
            </w:tcMar>
          </w:tcPr>
          <w:p>
            <w:r>
              <w:rPr>
                <w:b w:val="false"/>
                <w:bCs w:val="false"/>
                <w:color w:val="2B2B2B"/>
                <w:sz w:val="20"/>
                <w:szCs w:val="20"/>
              </w:rPr>
              <w:t xml:space="preserve">4</w:t>
            </w:r>
          </w:p>
        </w:tc>
        <w:tc>
          <w:tcPr>
            <w:tcW w:type="dxa" w:w="1600"/>
            <w:tcMar>
              <w:top w:type="dxa" w:w="80"/>
              <w:left w:type="dxa" w:w="120"/>
              <w:bottom w:type="dxa" w:w="80"/>
              <w:right w:type="dxa" w:w="120"/>
            </w:tcMar>
          </w:tcPr>
          <w:p>
            <w:r>
              <w:rPr>
                <w:b w:val="false"/>
                <w:bCs w:val="false"/>
                <w:color w:val="2B2B2B"/>
                <w:sz w:val="20"/>
                <w:szCs w:val="20"/>
              </w:rPr>
              <w:t xml:space="preserve">76.50</w:t>
            </w:r>
          </w:p>
        </w:tc>
        <w:tc>
          <w:tcPr>
            <w:tcW w:type="dxa" w:w="1900"/>
            <w:tcMar>
              <w:top w:type="dxa" w:w="80"/>
              <w:left w:type="dxa" w:w="120"/>
              <w:bottom w:type="dxa" w:w="80"/>
              <w:right w:type="dxa" w:w="120"/>
            </w:tcMar>
          </w:tcPr>
          <w:p>
            <w:r>
              <w:rPr>
                <w:b w:val="false"/>
                <w:bCs w:val="false"/>
                <w:color w:val="2B2B2B"/>
                <w:sz w:val="20"/>
                <w:szCs w:val="20"/>
              </w:rPr>
              <w:t xml:space="preserve">59.50</w:t>
            </w:r>
          </w:p>
        </w:tc>
      </w:tr>
    </w:tbl>
    <w:p>
      <w:pPr>
        <w:spacing w:after="200" w:before="240"/>
      </w:pPr>
    </w:p>
    <w:p>
      <w:pPr>
        <w:pStyle w:val="Heading2"/>
        <w:spacing w:after="120" w:before="260"/>
      </w:pPr>
      <w:r>
        <w:t xml:space="preserve">5.2 Factory Margin Performance</w:t>
      </w:r>
    </w:p>
    <w:p>
      <w:pPr>
        <w:spacing w:after="160"/>
      </w:pPr>
      <w:r>
        <w:t xml:space="preserve">Gross margin varies sharply by factory. Lot's O' Nuts (69.1%) and Wicked Choccy's (65.1%) — the two chocolate factories that generate 96.6% of volume — post healthy, consistent margins. The three smaller factories underperform, with The Other Factory's 11.9% margin standing out as an outlier requiring investigation.</w:t>
      </w:r>
    </w:p>
    <w:p>
      <w:pPr>
        <w:spacing w:after="100" w:before="15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i/>
          <w:iCs/>
          <w:color w:val="666666"/>
          <w:sz w:val="18"/>
          <w:szCs w:val="18"/>
        </w:rPr>
        <w:t xml:space="preserve">Fig. 3 — Gross margin by factory, with shipment count (n).</w:t>
      </w:r>
    </w:p>
    <w:p>
      <w:pPr>
        <w:pStyle w:val="Heading2"/>
        <w:spacing w:after="120" w:before="260"/>
      </w:pPr>
      <w:r>
        <w:t xml:space="preserve">5.3 Regional Performance</w:t>
      </w:r>
    </w:p>
    <w:p>
      <w:pPr>
        <w:spacing w:after="160"/>
      </w:pPr>
      <w:r>
        <w:t xml:space="preserve">The Pacific region leads in both shipment volume (3,253) and total sales ($46,301.53), followed by Atlantic, Interior, and Gulf. Margins are stable across regions (65.5%–66.4%), indicating that profitability differences are driven by factory and product mix rather than by region.</w:t>
      </w:r>
    </w:p>
    <w:p>
      <w:pPr>
        <w:spacing w:after="100" w:before="15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i/>
          <w:iCs/>
          <w:color w:val="666666"/>
          <w:sz w:val="18"/>
          <w:szCs w:val="18"/>
        </w:rPr>
        <w:t xml:space="preserve">Fig. 4 — Shipment volume and sales by region.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2200"/>
        <w:gridCol w:w="1300"/>
      </w:tblGrid>
      <w:tr>
        <w:tc>
          <w:tcPr>
            <w:tcW w:type="dxa" w:w="1800"/>
            <w:shd w:fill="5B2C83" w:val="clear"/>
            <w:tcMar>
              <w:top w:type="dxa" w:w="80"/>
              <w:left w:type="dxa" w:w="120"/>
              <w:bottom w:type="dxa" w:w="80"/>
              <w:right w:type="dxa" w:w="120"/>
            </w:tcMar>
          </w:tcPr>
          <w:p>
            <w:r>
              <w:rPr>
                <w:b/>
                <w:bCs/>
                <w:color w:val="FFFFFF"/>
                <w:sz w:val="20"/>
                <w:szCs w:val="20"/>
              </w:rPr>
              <w:t xml:space="preserve">Region</w:t>
            </w:r>
          </w:p>
        </w:tc>
        <w:tc>
          <w:tcPr>
            <w:tcW w:type="dxa" w:w="1800"/>
            <w:shd w:fill="5B2C83" w:val="clear"/>
            <w:tcMar>
              <w:top w:type="dxa" w:w="80"/>
              <w:left w:type="dxa" w:w="120"/>
              <w:bottom w:type="dxa" w:w="80"/>
              <w:right w:type="dxa" w:w="120"/>
            </w:tcMar>
          </w:tcPr>
          <w:p>
            <w:r>
              <w:rPr>
                <w:b/>
                <w:bCs/>
                <w:color w:val="FFFFFF"/>
                <w:sz w:val="20"/>
                <w:szCs w:val="20"/>
              </w:rPr>
              <w:t xml:space="preserve">Shipments</w:t>
            </w:r>
          </w:p>
        </w:tc>
        <w:tc>
          <w:tcPr>
            <w:tcW w:type="dxa" w:w="1900"/>
            <w:shd w:fill="5B2C83" w:val="clear"/>
            <w:tcMar>
              <w:top w:type="dxa" w:w="80"/>
              <w:left w:type="dxa" w:w="120"/>
              <w:bottom w:type="dxa" w:w="80"/>
              <w:right w:type="dxa" w:w="120"/>
            </w:tcMar>
          </w:tcPr>
          <w:p>
            <w:r>
              <w:rPr>
                <w:b/>
                <w:bCs/>
                <w:color w:val="FFFFFF"/>
                <w:sz w:val="20"/>
                <w:szCs w:val="20"/>
              </w:rPr>
              <w:t xml:space="preserve">Sales ($)</w:t>
            </w:r>
          </w:p>
        </w:tc>
        <w:tc>
          <w:tcPr>
            <w:tcW w:type="dxa" w:w="2200"/>
            <w:shd w:fill="5B2C83" w:val="clear"/>
            <w:tcMar>
              <w:top w:type="dxa" w:w="80"/>
              <w:left w:type="dxa" w:w="120"/>
              <w:bottom w:type="dxa" w:w="80"/>
              <w:right w:type="dxa" w:w="120"/>
            </w:tcMar>
          </w:tcPr>
          <w:p>
            <w:r>
              <w:rPr>
                <w:b/>
                <w:bCs/>
                <w:color w:val="FFFFFF"/>
                <w:sz w:val="20"/>
                <w:szCs w:val="20"/>
              </w:rPr>
              <w:t xml:space="preserve">Gross Profit ($)</w:t>
            </w:r>
          </w:p>
        </w:tc>
        <w:tc>
          <w:tcPr>
            <w:tcW w:type="dxa" w:w="1300"/>
            <w:shd w:fill="5B2C83" w:val="clear"/>
            <w:tcMar>
              <w:top w:type="dxa" w:w="80"/>
              <w:left w:type="dxa" w:w="120"/>
              <w:bottom w:type="dxa" w:w="80"/>
              <w:right w:type="dxa" w:w="120"/>
            </w:tcMar>
          </w:tcPr>
          <w:p>
            <w:r>
              <w:rPr>
                <w:b/>
                <w:bCs/>
                <w:color w:val="FFFFFF"/>
                <w:sz w:val="20"/>
                <w:szCs w:val="20"/>
              </w:rPr>
              <w:t xml:space="preserve">Margin</w:t>
            </w:r>
          </w:p>
        </w:tc>
      </w:tr>
      <w:tr>
        <w:tc>
          <w:tcPr>
            <w:tcW w:type="dxa" w:w="1800"/>
            <w:tcMar>
              <w:top w:type="dxa" w:w="80"/>
              <w:left w:type="dxa" w:w="120"/>
              <w:bottom w:type="dxa" w:w="80"/>
              <w:right w:type="dxa" w:w="120"/>
            </w:tcMar>
          </w:tcPr>
          <w:p>
            <w:r>
              <w:rPr>
                <w:b w:val="false"/>
                <w:bCs w:val="false"/>
                <w:color w:val="2B2B2B"/>
                <w:sz w:val="20"/>
                <w:szCs w:val="20"/>
              </w:rPr>
              <w:t xml:space="preserve">Pacific</w:t>
            </w:r>
          </w:p>
        </w:tc>
        <w:tc>
          <w:tcPr>
            <w:tcW w:type="dxa" w:w="1800"/>
            <w:tcMar>
              <w:top w:type="dxa" w:w="80"/>
              <w:left w:type="dxa" w:w="120"/>
              <w:bottom w:type="dxa" w:w="80"/>
              <w:right w:type="dxa" w:w="120"/>
            </w:tcMar>
          </w:tcPr>
          <w:p>
            <w:r>
              <w:rPr>
                <w:b w:val="false"/>
                <w:bCs w:val="false"/>
                <w:color w:val="2B2B2B"/>
                <w:sz w:val="20"/>
                <w:szCs w:val="20"/>
              </w:rPr>
              <w:t xml:space="preserve">3,253</w:t>
            </w:r>
          </w:p>
        </w:tc>
        <w:tc>
          <w:tcPr>
            <w:tcW w:type="dxa" w:w="1900"/>
            <w:tcMar>
              <w:top w:type="dxa" w:w="80"/>
              <w:left w:type="dxa" w:w="120"/>
              <w:bottom w:type="dxa" w:w="80"/>
              <w:right w:type="dxa" w:w="120"/>
            </w:tcMar>
          </w:tcPr>
          <w:p>
            <w:r>
              <w:rPr>
                <w:b w:val="false"/>
                <w:bCs w:val="false"/>
                <w:color w:val="2B2B2B"/>
                <w:sz w:val="20"/>
                <w:szCs w:val="20"/>
              </w:rPr>
              <w:t xml:space="preserve">46,301.53</w:t>
            </w:r>
          </w:p>
        </w:tc>
        <w:tc>
          <w:tcPr>
            <w:tcW w:type="dxa" w:w="2200"/>
            <w:tcMar>
              <w:top w:type="dxa" w:w="80"/>
              <w:left w:type="dxa" w:w="120"/>
              <w:bottom w:type="dxa" w:w="80"/>
              <w:right w:type="dxa" w:w="120"/>
            </w:tcMar>
          </w:tcPr>
          <w:p>
            <w:r>
              <w:rPr>
                <w:b w:val="false"/>
                <w:bCs w:val="false"/>
                <w:color w:val="2B2B2B"/>
                <w:sz w:val="20"/>
                <w:szCs w:val="20"/>
              </w:rPr>
              <w:t xml:space="preserve">30,485.94</w:t>
            </w:r>
          </w:p>
        </w:tc>
        <w:tc>
          <w:tcPr>
            <w:tcW w:type="dxa" w:w="1300"/>
            <w:tcMar>
              <w:top w:type="dxa" w:w="80"/>
              <w:left w:type="dxa" w:w="120"/>
              <w:bottom w:type="dxa" w:w="80"/>
              <w:right w:type="dxa" w:w="120"/>
            </w:tcMar>
          </w:tcPr>
          <w:p>
            <w:r>
              <w:rPr>
                <w:b w:val="false"/>
                <w:bCs w:val="false"/>
                <w:color w:val="2B2B2B"/>
                <w:sz w:val="20"/>
                <w:szCs w:val="20"/>
              </w:rPr>
              <w:t xml:space="preserve">65.8%</w:t>
            </w:r>
          </w:p>
        </w:tc>
      </w:tr>
      <w:tr>
        <w:tc>
          <w:tcPr>
            <w:tcW w:type="dxa" w:w="1800"/>
            <w:shd w:fill="F3ECF8" w:val="clear"/>
            <w:tcMar>
              <w:top w:type="dxa" w:w="80"/>
              <w:left w:type="dxa" w:w="120"/>
              <w:bottom w:type="dxa" w:w="80"/>
              <w:right w:type="dxa" w:w="120"/>
            </w:tcMar>
          </w:tcPr>
          <w:p>
            <w:r>
              <w:rPr>
                <w:b w:val="false"/>
                <w:bCs w:val="false"/>
                <w:color w:val="2B2B2B"/>
                <w:sz w:val="20"/>
                <w:szCs w:val="20"/>
              </w:rPr>
              <w:t xml:space="preserve">Atlantic</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2,986</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41,197.24</w:t>
            </w:r>
          </w:p>
        </w:tc>
        <w:tc>
          <w:tcPr>
            <w:tcW w:type="dxa" w:w="2200"/>
            <w:shd w:fill="F3ECF8" w:val="clear"/>
            <w:tcMar>
              <w:top w:type="dxa" w:w="80"/>
              <w:left w:type="dxa" w:w="120"/>
              <w:bottom w:type="dxa" w:w="80"/>
              <w:right w:type="dxa" w:w="120"/>
            </w:tcMar>
          </w:tcPr>
          <w:p>
            <w:r>
              <w:rPr>
                <w:b w:val="false"/>
                <w:bCs w:val="false"/>
                <w:color w:val="2B2B2B"/>
                <w:sz w:val="20"/>
                <w:szCs w:val="20"/>
              </w:rPr>
              <w:t xml:space="preserve">26,973.70</w:t>
            </w:r>
          </w:p>
        </w:tc>
        <w:tc>
          <w:tcPr>
            <w:tcW w:type="dxa" w:w="1300"/>
            <w:shd w:fill="F3ECF8" w:val="clear"/>
            <w:tcMar>
              <w:top w:type="dxa" w:w="80"/>
              <w:left w:type="dxa" w:w="120"/>
              <w:bottom w:type="dxa" w:w="80"/>
              <w:right w:type="dxa" w:w="120"/>
            </w:tcMar>
          </w:tcPr>
          <w:p>
            <w:r>
              <w:rPr>
                <w:b w:val="false"/>
                <w:bCs w:val="false"/>
                <w:color w:val="2B2B2B"/>
                <w:sz w:val="20"/>
                <w:szCs w:val="20"/>
              </w:rPr>
              <w:t xml:space="preserve">65.5%</w:t>
            </w:r>
          </w:p>
        </w:tc>
      </w:tr>
      <w:tr>
        <w:tc>
          <w:tcPr>
            <w:tcW w:type="dxa" w:w="1800"/>
            <w:tcMar>
              <w:top w:type="dxa" w:w="80"/>
              <w:left w:type="dxa" w:w="120"/>
              <w:bottom w:type="dxa" w:w="80"/>
              <w:right w:type="dxa" w:w="120"/>
            </w:tcMar>
          </w:tcPr>
          <w:p>
            <w:r>
              <w:rPr>
                <w:b w:val="false"/>
                <w:bCs w:val="false"/>
                <w:color w:val="2B2B2B"/>
                <w:sz w:val="20"/>
                <w:szCs w:val="20"/>
              </w:rPr>
              <w:t xml:space="preserve">Interior</w:t>
            </w:r>
          </w:p>
        </w:tc>
        <w:tc>
          <w:tcPr>
            <w:tcW w:type="dxa" w:w="1800"/>
            <w:tcMar>
              <w:top w:type="dxa" w:w="80"/>
              <w:left w:type="dxa" w:w="120"/>
              <w:bottom w:type="dxa" w:w="80"/>
              <w:right w:type="dxa" w:w="120"/>
            </w:tcMar>
          </w:tcPr>
          <w:p>
            <w:r>
              <w:rPr>
                <w:b w:val="false"/>
                <w:bCs w:val="false"/>
                <w:color w:val="2B2B2B"/>
                <w:sz w:val="20"/>
                <w:szCs w:val="20"/>
              </w:rPr>
              <w:t xml:space="preserve">2,335</w:t>
            </w:r>
          </w:p>
        </w:tc>
        <w:tc>
          <w:tcPr>
            <w:tcW w:type="dxa" w:w="1900"/>
            <w:tcMar>
              <w:top w:type="dxa" w:w="80"/>
              <w:left w:type="dxa" w:w="120"/>
              <w:bottom w:type="dxa" w:w="80"/>
              <w:right w:type="dxa" w:w="120"/>
            </w:tcMar>
          </w:tcPr>
          <w:p>
            <w:r>
              <w:rPr>
                <w:b w:val="false"/>
                <w:bCs w:val="false"/>
                <w:color w:val="2B2B2B"/>
                <w:sz w:val="20"/>
                <w:szCs w:val="20"/>
              </w:rPr>
              <w:t xml:space="preserve">32,037.60</w:t>
            </w:r>
          </w:p>
        </w:tc>
        <w:tc>
          <w:tcPr>
            <w:tcW w:type="dxa" w:w="2200"/>
            <w:tcMar>
              <w:top w:type="dxa" w:w="80"/>
              <w:left w:type="dxa" w:w="120"/>
              <w:bottom w:type="dxa" w:w="80"/>
              <w:right w:type="dxa" w:w="120"/>
            </w:tcMar>
          </w:tcPr>
          <w:p>
            <w:r>
              <w:rPr>
                <w:b w:val="false"/>
                <w:bCs w:val="false"/>
                <w:color w:val="2B2B2B"/>
                <w:sz w:val="20"/>
                <w:szCs w:val="20"/>
              </w:rPr>
              <w:t xml:space="preserve">21,282.49</w:t>
            </w:r>
          </w:p>
        </w:tc>
        <w:tc>
          <w:tcPr>
            <w:tcW w:type="dxa" w:w="1300"/>
            <w:tcMar>
              <w:top w:type="dxa" w:w="80"/>
              <w:left w:type="dxa" w:w="120"/>
              <w:bottom w:type="dxa" w:w="80"/>
              <w:right w:type="dxa" w:w="120"/>
            </w:tcMar>
          </w:tcPr>
          <w:p>
            <w:r>
              <w:rPr>
                <w:b w:val="false"/>
                <w:bCs w:val="false"/>
                <w:color w:val="2B2B2B"/>
                <w:sz w:val="20"/>
                <w:szCs w:val="20"/>
              </w:rPr>
              <w:t xml:space="preserve">66.4%</w:t>
            </w:r>
          </w:p>
        </w:tc>
      </w:tr>
      <w:tr>
        <w:tc>
          <w:tcPr>
            <w:tcW w:type="dxa" w:w="1800"/>
            <w:shd w:fill="F3ECF8" w:val="clear"/>
            <w:tcMar>
              <w:top w:type="dxa" w:w="80"/>
              <w:left w:type="dxa" w:w="120"/>
              <w:bottom w:type="dxa" w:w="80"/>
              <w:right w:type="dxa" w:w="120"/>
            </w:tcMar>
          </w:tcPr>
          <w:p>
            <w:r>
              <w:rPr>
                <w:b w:val="false"/>
                <w:bCs w:val="false"/>
                <w:color w:val="2B2B2B"/>
                <w:sz w:val="20"/>
                <w:szCs w:val="20"/>
              </w:rPr>
              <w:t xml:space="preserve">Gulf</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1,620</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22,247.26</w:t>
            </w:r>
          </w:p>
        </w:tc>
        <w:tc>
          <w:tcPr>
            <w:tcW w:type="dxa" w:w="2200"/>
            <w:shd w:fill="F3ECF8" w:val="clear"/>
            <w:tcMar>
              <w:top w:type="dxa" w:w="80"/>
              <w:left w:type="dxa" w:w="120"/>
              <w:bottom w:type="dxa" w:w="80"/>
              <w:right w:type="dxa" w:w="120"/>
            </w:tcMar>
          </w:tcPr>
          <w:p>
            <w:r>
              <w:rPr>
                <w:b w:val="false"/>
                <w:bCs w:val="false"/>
                <w:color w:val="2B2B2B"/>
                <w:sz w:val="20"/>
                <w:szCs w:val="20"/>
              </w:rPr>
              <w:t xml:space="preserve">14,700.67</w:t>
            </w:r>
          </w:p>
        </w:tc>
        <w:tc>
          <w:tcPr>
            <w:tcW w:type="dxa" w:w="1300"/>
            <w:shd w:fill="F3ECF8" w:val="clear"/>
            <w:tcMar>
              <w:top w:type="dxa" w:w="80"/>
              <w:left w:type="dxa" w:w="120"/>
              <w:bottom w:type="dxa" w:w="80"/>
              <w:right w:type="dxa" w:w="120"/>
            </w:tcMar>
          </w:tcPr>
          <w:p>
            <w:r>
              <w:rPr>
                <w:b w:val="false"/>
                <w:bCs w:val="false"/>
                <w:color w:val="2B2B2B"/>
                <w:sz w:val="20"/>
                <w:szCs w:val="20"/>
              </w:rPr>
              <w:t xml:space="preserve">66.1%</w:t>
            </w:r>
          </w:p>
        </w:tc>
      </w:tr>
    </w:tbl>
    <w:p>
      <w:pPr>
        <w:spacing w:after="200" w:before="240"/>
      </w:pPr>
    </w:p>
    <w:p>
      <w:pPr>
        <w:pStyle w:val="Heading2"/>
        <w:spacing w:after="120" w:before="260"/>
      </w:pPr>
      <w:r>
        <w:t xml:space="preserve">5.4 Geographic Bottlenecks: State-Level Concentration</w:t>
      </w:r>
    </w:p>
    <w:p>
      <w:pPr>
        <w:spacing w:after="160"/>
      </w:pPr>
      <w:r>
        <w:t xml:space="preserve">Shipment volume is highly concentrated in a small number of states. California alone receives 2,001 shipments (19.6% of the network) — nearly double the next-largest state, New York (1,128). These high-volume states are the most exposed to any future service disruption and are the natural first candidates for dedicated regional carriers, satellite warehousing, or capacity planning once corrected timing data is available.</w:t>
      </w:r>
    </w:p>
    <w:p>
      <w:pPr>
        <w:spacing w:after="100" w:before="15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43250"/>
                    </a:xfrm>
                    <a:prstGeom prst="rect">
                      <a:avLst/>
                    </a:prstGeom>
                  </pic:spPr>
                </pic:pic>
              </a:graphicData>
            </a:graphic>
          </wp:inline>
        </w:drawing>
      </w:r>
    </w:p>
    <w:p>
      <w:pPr>
        <w:spacing w:after="240"/>
        <w:jc w:val="center"/>
      </w:pPr>
      <w:r>
        <w:rPr>
          <w:i/>
          <w:iCs/>
          <w:color w:val="666666"/>
          <w:sz w:val="18"/>
          <w:szCs w:val="18"/>
        </w:rPr>
        <w:t xml:space="preserve">Fig. 5 — Top 15 states by shipment volume.</w:t>
      </w:r>
    </w:p>
    <w:p>
      <w:pPr>
        <w:pStyle w:val="Heading2"/>
        <w:spacing w:after="120" w:before="260"/>
      </w:pPr>
      <w:r>
        <w:t xml:space="preserve">5.5 Route Efficiency — Volume &amp; Profitability View</w:t>
      </w:r>
    </w:p>
    <w:p>
      <w:pPr>
        <w:spacing w:after="160"/>
      </w:pPr>
      <w:r>
        <w:t xml:space="preserve">Because a valid Shipping Lead Time cannot be computed (Section 4.2), routes are ranked here by shipment volume and gross margin — the two KPIs the data supports without qualification. Each route is defined as Factory → State/Province, per the brief's route definition.</w:t>
      </w:r>
    </w:p>
    <w:p>
      <w:pPr>
        <w:spacing w:after="100" w:before="15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240"/>
        <w:jc w:val="center"/>
      </w:pPr>
      <w:r>
        <w:rPr>
          <w:i/>
          <w:iCs/>
          <w:color w:val="666666"/>
          <w:sz w:val="18"/>
          <w:szCs w:val="18"/>
        </w:rPr>
        <w:t xml:space="preserve">Fig. 6 — Top 10 factory → state routes by shipment volume.</w:t>
      </w:r>
    </w:p>
    <w:p>
      <w:pPr>
        <w:spacing w:after="160"/>
      </w:pPr>
      <w:r>
        <w:rPr>
          <w:b/>
          <w:bCs/>
        </w:rPr>
        <w:t xml:space="preserve">Top 10 routes by shipment volume: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1400"/>
      </w:tblGrid>
      <w:tr>
        <w:tc>
          <w:tcPr>
            <w:tcW w:type="dxa" w:w="3200"/>
            <w:shd w:fill="5B2C83" w:val="clear"/>
            <w:tcMar>
              <w:top w:type="dxa" w:w="80"/>
              <w:left w:type="dxa" w:w="120"/>
              <w:bottom w:type="dxa" w:w="80"/>
              <w:right w:type="dxa" w:w="120"/>
            </w:tcMar>
          </w:tcPr>
          <w:p>
            <w:r>
              <w:rPr>
                <w:b/>
                <w:bCs/>
                <w:color w:val="FFFFFF"/>
                <w:sz w:val="20"/>
                <w:szCs w:val="20"/>
              </w:rPr>
              <w:t xml:space="preserve">Route</w:t>
            </w:r>
          </w:p>
        </w:tc>
        <w:tc>
          <w:tcPr>
            <w:tcW w:type="dxa" w:w="1600"/>
            <w:shd w:fill="5B2C83" w:val="clear"/>
            <w:tcMar>
              <w:top w:type="dxa" w:w="80"/>
              <w:left w:type="dxa" w:w="120"/>
              <w:bottom w:type="dxa" w:w="80"/>
              <w:right w:type="dxa" w:w="120"/>
            </w:tcMar>
          </w:tcPr>
          <w:p>
            <w:r>
              <w:rPr>
                <w:b/>
                <w:bCs/>
                <w:color w:val="FFFFFF"/>
                <w:sz w:val="20"/>
                <w:szCs w:val="20"/>
              </w:rPr>
              <w:t xml:space="preserve">Shipments</w:t>
            </w:r>
          </w:p>
        </w:tc>
        <w:tc>
          <w:tcPr>
            <w:tcW w:type="dxa" w:w="1800"/>
            <w:shd w:fill="5B2C83" w:val="clear"/>
            <w:tcMar>
              <w:top w:type="dxa" w:w="80"/>
              <w:left w:type="dxa" w:w="120"/>
              <w:bottom w:type="dxa" w:w="80"/>
              <w:right w:type="dxa" w:w="120"/>
            </w:tcMar>
          </w:tcPr>
          <w:p>
            <w:r>
              <w:rPr>
                <w:b/>
                <w:bCs/>
                <w:color w:val="FFFFFF"/>
                <w:sz w:val="20"/>
                <w:szCs w:val="20"/>
              </w:rPr>
              <w:t xml:space="preserve">Sales ($)</w:t>
            </w:r>
          </w:p>
        </w:tc>
        <w:tc>
          <w:tcPr>
            <w:tcW w:type="dxa" w:w="1400"/>
            <w:shd w:fill="5B2C83" w:val="clear"/>
            <w:tcMar>
              <w:top w:type="dxa" w:w="80"/>
              <w:left w:type="dxa" w:w="120"/>
              <w:bottom w:type="dxa" w:w="80"/>
              <w:right w:type="dxa" w:w="120"/>
            </w:tcMar>
          </w:tcPr>
          <w:p>
            <w:r>
              <w:rPr>
                <w:b/>
                <w:bCs/>
                <w:color w:val="FFFFFF"/>
                <w:sz w:val="20"/>
                <w:szCs w:val="20"/>
              </w:rPr>
              <w:t xml:space="preserve">Margin</w:t>
            </w:r>
          </w:p>
        </w:tc>
      </w:tr>
      <w:tr>
        <w:tc>
          <w:tcPr>
            <w:tcW w:type="dxa" w:w="3200"/>
            <w:tcMar>
              <w:top w:type="dxa" w:w="80"/>
              <w:left w:type="dxa" w:w="120"/>
              <w:bottom w:type="dxa" w:w="80"/>
              <w:right w:type="dxa" w:w="120"/>
            </w:tcMar>
          </w:tcPr>
          <w:p>
            <w:r>
              <w:rPr>
                <w:b w:val="false"/>
                <w:bCs w:val="false"/>
                <w:color w:val="2B2B2B"/>
                <w:sz w:val="20"/>
                <w:szCs w:val="20"/>
              </w:rPr>
              <w:t xml:space="preserve">Lot's O' Nuts → California</w:t>
            </w:r>
          </w:p>
        </w:tc>
        <w:tc>
          <w:tcPr>
            <w:tcW w:type="dxa" w:w="1600"/>
            <w:tcMar>
              <w:top w:type="dxa" w:w="80"/>
              <w:left w:type="dxa" w:w="120"/>
              <w:bottom w:type="dxa" w:w="80"/>
              <w:right w:type="dxa" w:w="120"/>
            </w:tcMar>
          </w:tcPr>
          <w:p>
            <w:r>
              <w:rPr>
                <w:b w:val="false"/>
                <w:bCs w:val="false"/>
                <w:color w:val="2B2B2B"/>
                <w:sz w:val="20"/>
                <w:szCs w:val="20"/>
              </w:rPr>
              <w:t xml:space="preserve">1,125</w:t>
            </w:r>
          </w:p>
        </w:tc>
        <w:tc>
          <w:tcPr>
            <w:tcW w:type="dxa" w:w="1800"/>
            <w:tcMar>
              <w:top w:type="dxa" w:w="80"/>
              <w:left w:type="dxa" w:w="120"/>
              <w:bottom w:type="dxa" w:w="80"/>
              <w:right w:type="dxa" w:w="120"/>
            </w:tcMar>
          </w:tcPr>
          <w:p>
            <w:r>
              <w:rPr>
                <w:b w:val="false"/>
                <w:bCs w:val="false"/>
                <w:color w:val="2B2B2B"/>
                <w:sz w:val="20"/>
                <w:szCs w:val="20"/>
              </w:rPr>
              <w:t xml:space="preserve">15,044.90</w:t>
            </w:r>
          </w:p>
        </w:tc>
        <w:tc>
          <w:tcPr>
            <w:tcW w:type="dxa" w:w="1400"/>
            <w:tcMar>
              <w:top w:type="dxa" w:w="80"/>
              <w:left w:type="dxa" w:w="120"/>
              <w:bottom w:type="dxa" w:w="80"/>
              <w:right w:type="dxa" w:w="120"/>
            </w:tcMar>
          </w:tcPr>
          <w:p>
            <w:r>
              <w:rPr>
                <w:b w:val="false"/>
                <w:bCs w:val="false"/>
                <w:color w:val="2B2B2B"/>
                <w:sz w:val="20"/>
                <w:szCs w:val="20"/>
              </w:rPr>
              <w:t xml:space="preserve">69.1%</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Wicked Choccy's → California</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823</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11,394.00</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65.1%</w:t>
            </w:r>
          </w:p>
        </w:tc>
      </w:tr>
      <w:tr>
        <w:tc>
          <w:tcPr>
            <w:tcW w:type="dxa" w:w="3200"/>
            <w:tcMar>
              <w:top w:type="dxa" w:w="80"/>
              <w:left w:type="dxa" w:w="120"/>
              <w:bottom w:type="dxa" w:w="80"/>
              <w:right w:type="dxa" w:w="120"/>
            </w:tcMar>
          </w:tcPr>
          <w:p>
            <w:r>
              <w:rPr>
                <w:b w:val="false"/>
                <w:bCs w:val="false"/>
                <w:color w:val="2B2B2B"/>
                <w:sz w:val="20"/>
                <w:szCs w:val="20"/>
              </w:rPr>
              <w:t xml:space="preserve">Lot's O' Nuts → New York</w:t>
            </w:r>
          </w:p>
        </w:tc>
        <w:tc>
          <w:tcPr>
            <w:tcW w:type="dxa" w:w="1600"/>
            <w:tcMar>
              <w:top w:type="dxa" w:w="80"/>
              <w:left w:type="dxa" w:w="120"/>
              <w:bottom w:type="dxa" w:w="80"/>
              <w:right w:type="dxa" w:w="120"/>
            </w:tcMar>
          </w:tcPr>
          <w:p>
            <w:r>
              <w:rPr>
                <w:b w:val="false"/>
                <w:bCs w:val="false"/>
                <w:color w:val="2B2B2B"/>
                <w:sz w:val="20"/>
                <w:szCs w:val="20"/>
              </w:rPr>
              <w:t xml:space="preserve">645</w:t>
            </w:r>
          </w:p>
        </w:tc>
        <w:tc>
          <w:tcPr>
            <w:tcW w:type="dxa" w:w="1800"/>
            <w:tcMar>
              <w:top w:type="dxa" w:w="80"/>
              <w:left w:type="dxa" w:w="120"/>
              <w:bottom w:type="dxa" w:w="80"/>
              <w:right w:type="dxa" w:w="120"/>
            </w:tcMar>
          </w:tcPr>
          <w:p>
            <w:r>
              <w:rPr>
                <w:b w:val="false"/>
                <w:bCs w:val="false"/>
                <w:color w:val="2B2B2B"/>
                <w:sz w:val="20"/>
                <w:szCs w:val="20"/>
              </w:rPr>
              <w:t xml:space="preserve">8,757.81</w:t>
            </w:r>
          </w:p>
        </w:tc>
        <w:tc>
          <w:tcPr>
            <w:tcW w:type="dxa" w:w="1400"/>
            <w:tcMar>
              <w:top w:type="dxa" w:w="80"/>
              <w:left w:type="dxa" w:w="120"/>
              <w:bottom w:type="dxa" w:w="80"/>
              <w:right w:type="dxa" w:w="120"/>
            </w:tcMar>
          </w:tcPr>
          <w:p>
            <w:r>
              <w:rPr>
                <w:b w:val="false"/>
                <w:bCs w:val="false"/>
                <w:color w:val="2B2B2B"/>
                <w:sz w:val="20"/>
                <w:szCs w:val="20"/>
              </w:rPr>
              <w:t xml:space="preserve">69.1%</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Lot's O' Nuts → Texas</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569</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7,642.34</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69.1%</w:t>
            </w:r>
          </w:p>
        </w:tc>
      </w:tr>
      <w:tr>
        <w:tc>
          <w:tcPr>
            <w:tcW w:type="dxa" w:w="3200"/>
            <w:tcMar>
              <w:top w:type="dxa" w:w="80"/>
              <w:left w:type="dxa" w:w="120"/>
              <w:bottom w:type="dxa" w:w="80"/>
              <w:right w:type="dxa" w:w="120"/>
            </w:tcMar>
          </w:tcPr>
          <w:p>
            <w:r>
              <w:rPr>
                <w:b w:val="false"/>
                <w:bCs w:val="false"/>
                <w:color w:val="2B2B2B"/>
                <w:sz w:val="20"/>
                <w:szCs w:val="20"/>
              </w:rPr>
              <w:t xml:space="preserve">Wicked Choccy's → New York</w:t>
            </w:r>
          </w:p>
        </w:tc>
        <w:tc>
          <w:tcPr>
            <w:tcW w:type="dxa" w:w="1600"/>
            <w:tcMar>
              <w:top w:type="dxa" w:w="80"/>
              <w:left w:type="dxa" w:w="120"/>
              <w:bottom w:type="dxa" w:w="80"/>
              <w:right w:type="dxa" w:w="120"/>
            </w:tcMar>
          </w:tcPr>
          <w:p>
            <w:r>
              <w:rPr>
                <w:b w:val="false"/>
                <w:bCs w:val="false"/>
                <w:color w:val="2B2B2B"/>
                <w:sz w:val="20"/>
                <w:szCs w:val="20"/>
              </w:rPr>
              <w:t xml:space="preserve">436</w:t>
            </w:r>
          </w:p>
        </w:tc>
        <w:tc>
          <w:tcPr>
            <w:tcW w:type="dxa" w:w="1800"/>
            <w:tcMar>
              <w:top w:type="dxa" w:w="80"/>
              <w:left w:type="dxa" w:w="120"/>
              <w:bottom w:type="dxa" w:w="80"/>
              <w:right w:type="dxa" w:w="120"/>
            </w:tcMar>
          </w:tcPr>
          <w:p>
            <w:r>
              <w:rPr>
                <w:b w:val="false"/>
                <w:bCs w:val="false"/>
                <w:color w:val="2B2B2B"/>
                <w:sz w:val="20"/>
                <w:szCs w:val="20"/>
              </w:rPr>
              <w:t xml:space="preserve">5,518.25</w:t>
            </w:r>
          </w:p>
        </w:tc>
        <w:tc>
          <w:tcPr>
            <w:tcW w:type="dxa" w:w="1400"/>
            <w:tcMar>
              <w:top w:type="dxa" w:w="80"/>
              <w:left w:type="dxa" w:w="120"/>
              <w:bottom w:type="dxa" w:w="80"/>
              <w:right w:type="dxa" w:w="120"/>
            </w:tcMar>
          </w:tcPr>
          <w:p>
            <w:r>
              <w:rPr>
                <w:b w:val="false"/>
                <w:bCs w:val="false"/>
                <w:color w:val="2B2B2B"/>
                <w:sz w:val="20"/>
                <w:szCs w:val="20"/>
              </w:rPr>
              <w:t xml:space="preserve">65.1%</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Wicked Choccy's → Texas</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388</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5,140.50</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65.1%</w:t>
            </w:r>
          </w:p>
        </w:tc>
      </w:tr>
      <w:tr>
        <w:tc>
          <w:tcPr>
            <w:tcW w:type="dxa" w:w="3200"/>
            <w:tcMar>
              <w:top w:type="dxa" w:w="80"/>
              <w:left w:type="dxa" w:w="120"/>
              <w:bottom w:type="dxa" w:w="80"/>
              <w:right w:type="dxa" w:w="120"/>
            </w:tcMar>
          </w:tcPr>
          <w:p>
            <w:r>
              <w:rPr>
                <w:b w:val="false"/>
                <w:bCs w:val="false"/>
                <w:color w:val="2B2B2B"/>
                <w:sz w:val="20"/>
                <w:szCs w:val="20"/>
              </w:rPr>
              <w:t xml:space="preserve">Lot's O' Nuts → Pennsylvania</w:t>
            </w:r>
          </w:p>
        </w:tc>
        <w:tc>
          <w:tcPr>
            <w:tcW w:type="dxa" w:w="1600"/>
            <w:tcMar>
              <w:top w:type="dxa" w:w="80"/>
              <w:left w:type="dxa" w:w="120"/>
              <w:bottom w:type="dxa" w:w="80"/>
              <w:right w:type="dxa" w:w="120"/>
            </w:tcMar>
          </w:tcPr>
          <w:p>
            <w:r>
              <w:rPr>
                <w:b w:val="false"/>
                <w:bCs w:val="false"/>
                <w:color w:val="2B2B2B"/>
                <w:sz w:val="20"/>
                <w:szCs w:val="20"/>
              </w:rPr>
              <w:t xml:space="preserve">331</w:t>
            </w:r>
          </w:p>
        </w:tc>
        <w:tc>
          <w:tcPr>
            <w:tcW w:type="dxa" w:w="1800"/>
            <w:tcMar>
              <w:top w:type="dxa" w:w="80"/>
              <w:left w:type="dxa" w:w="120"/>
              <w:bottom w:type="dxa" w:w="80"/>
              <w:right w:type="dxa" w:w="120"/>
            </w:tcMar>
          </w:tcPr>
          <w:p>
            <w:r>
              <w:rPr>
                <w:b w:val="false"/>
                <w:bCs w:val="false"/>
                <w:color w:val="2B2B2B"/>
                <w:sz w:val="20"/>
                <w:szCs w:val="20"/>
              </w:rPr>
              <w:t xml:space="preserve">4,338.55</w:t>
            </w:r>
          </w:p>
        </w:tc>
        <w:tc>
          <w:tcPr>
            <w:tcW w:type="dxa" w:w="1400"/>
            <w:tcMar>
              <w:top w:type="dxa" w:w="80"/>
              <w:left w:type="dxa" w:w="120"/>
              <w:bottom w:type="dxa" w:w="80"/>
              <w:right w:type="dxa" w:w="120"/>
            </w:tcMar>
          </w:tcPr>
          <w:p>
            <w:r>
              <w:rPr>
                <w:b w:val="false"/>
                <w:bCs w:val="false"/>
                <w:color w:val="2B2B2B"/>
                <w:sz w:val="20"/>
                <w:szCs w:val="20"/>
              </w:rPr>
              <w:t xml:space="preserve">69.0%</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Lot's O' Nuts → Washington</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269</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3,492.91</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69.2%</w:t>
            </w:r>
          </w:p>
        </w:tc>
      </w:tr>
      <w:tr>
        <w:tc>
          <w:tcPr>
            <w:tcW w:type="dxa" w:w="3200"/>
            <w:tcMar>
              <w:top w:type="dxa" w:w="80"/>
              <w:left w:type="dxa" w:w="120"/>
              <w:bottom w:type="dxa" w:w="80"/>
              <w:right w:type="dxa" w:w="120"/>
            </w:tcMar>
          </w:tcPr>
          <w:p>
            <w:r>
              <w:rPr>
                <w:b w:val="false"/>
                <w:bCs w:val="false"/>
                <w:color w:val="2B2B2B"/>
                <w:sz w:val="20"/>
                <w:szCs w:val="20"/>
              </w:rPr>
              <w:t xml:space="preserve">Lot's O' Nuts → Illinois</w:t>
            </w:r>
          </w:p>
        </w:tc>
        <w:tc>
          <w:tcPr>
            <w:tcW w:type="dxa" w:w="1600"/>
            <w:tcMar>
              <w:top w:type="dxa" w:w="80"/>
              <w:left w:type="dxa" w:w="120"/>
              <w:bottom w:type="dxa" w:w="80"/>
              <w:right w:type="dxa" w:w="120"/>
            </w:tcMar>
          </w:tcPr>
          <w:p>
            <w:r>
              <w:rPr>
                <w:b w:val="false"/>
                <w:bCs w:val="false"/>
                <w:color w:val="2B2B2B"/>
                <w:sz w:val="20"/>
                <w:szCs w:val="20"/>
              </w:rPr>
              <w:t xml:space="preserve">267</w:t>
            </w:r>
          </w:p>
        </w:tc>
        <w:tc>
          <w:tcPr>
            <w:tcW w:type="dxa" w:w="1800"/>
            <w:tcMar>
              <w:top w:type="dxa" w:w="80"/>
              <w:left w:type="dxa" w:w="120"/>
              <w:bottom w:type="dxa" w:w="80"/>
              <w:right w:type="dxa" w:w="120"/>
            </w:tcMar>
          </w:tcPr>
          <w:p>
            <w:r>
              <w:rPr>
                <w:b w:val="false"/>
                <w:bCs w:val="false"/>
                <w:color w:val="2B2B2B"/>
                <w:sz w:val="20"/>
                <w:szCs w:val="20"/>
              </w:rPr>
              <w:t xml:space="preserve">3,539.21</w:t>
            </w:r>
          </w:p>
        </w:tc>
        <w:tc>
          <w:tcPr>
            <w:tcW w:type="dxa" w:w="1400"/>
            <w:tcMar>
              <w:top w:type="dxa" w:w="80"/>
              <w:left w:type="dxa" w:w="120"/>
              <w:bottom w:type="dxa" w:w="80"/>
              <w:right w:type="dxa" w:w="120"/>
            </w:tcMar>
          </w:tcPr>
          <w:p>
            <w:r>
              <w:rPr>
                <w:b w:val="false"/>
                <w:bCs w:val="false"/>
                <w:color w:val="2B2B2B"/>
                <w:sz w:val="20"/>
                <w:szCs w:val="20"/>
              </w:rPr>
              <w:t xml:space="preserve">69.3%</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Lot's O' Nuts → Ohio</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262</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3,472.74</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69.1%</w:t>
            </w:r>
          </w:p>
        </w:tc>
      </w:tr>
    </w:tbl>
    <w:p>
      <w:pPr>
        <w:spacing w:after="160" w:before="240"/>
      </w:pPr>
    </w:p>
    <w:p>
      <w:pPr>
        <w:spacing w:after="160"/>
      </w:pPr>
      <w:r>
        <w:rPr>
          <w:b/>
          <w:bCs/>
        </w:rPr>
        <w:t xml:space="preserve">Bottom 10 routes by margin (minimum 15 shipments, to exclude statistically thin routes):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1400"/>
      </w:tblGrid>
      <w:tr>
        <w:tc>
          <w:tcPr>
            <w:tcW w:type="dxa" w:w="3200"/>
            <w:shd w:fill="5B2C83" w:val="clear"/>
            <w:tcMar>
              <w:top w:type="dxa" w:w="80"/>
              <w:left w:type="dxa" w:w="120"/>
              <w:bottom w:type="dxa" w:w="80"/>
              <w:right w:type="dxa" w:w="120"/>
            </w:tcMar>
          </w:tcPr>
          <w:p>
            <w:r>
              <w:rPr>
                <w:b/>
                <w:bCs/>
                <w:color w:val="FFFFFF"/>
                <w:sz w:val="20"/>
                <w:szCs w:val="20"/>
              </w:rPr>
              <w:t xml:space="preserve">Route</w:t>
            </w:r>
          </w:p>
        </w:tc>
        <w:tc>
          <w:tcPr>
            <w:tcW w:type="dxa" w:w="1600"/>
            <w:shd w:fill="5B2C83" w:val="clear"/>
            <w:tcMar>
              <w:top w:type="dxa" w:w="80"/>
              <w:left w:type="dxa" w:w="120"/>
              <w:bottom w:type="dxa" w:w="80"/>
              <w:right w:type="dxa" w:w="120"/>
            </w:tcMar>
          </w:tcPr>
          <w:p>
            <w:r>
              <w:rPr>
                <w:b/>
                <w:bCs/>
                <w:color w:val="FFFFFF"/>
                <w:sz w:val="20"/>
                <w:szCs w:val="20"/>
              </w:rPr>
              <w:t xml:space="preserve">Shipments</w:t>
            </w:r>
          </w:p>
        </w:tc>
        <w:tc>
          <w:tcPr>
            <w:tcW w:type="dxa" w:w="1800"/>
            <w:shd w:fill="5B2C83" w:val="clear"/>
            <w:tcMar>
              <w:top w:type="dxa" w:w="80"/>
              <w:left w:type="dxa" w:w="120"/>
              <w:bottom w:type="dxa" w:w="80"/>
              <w:right w:type="dxa" w:w="120"/>
            </w:tcMar>
          </w:tcPr>
          <w:p>
            <w:r>
              <w:rPr>
                <w:b/>
                <w:bCs/>
                <w:color w:val="FFFFFF"/>
                <w:sz w:val="20"/>
                <w:szCs w:val="20"/>
              </w:rPr>
              <w:t xml:space="preserve">Sales ($)</w:t>
            </w:r>
          </w:p>
        </w:tc>
        <w:tc>
          <w:tcPr>
            <w:tcW w:type="dxa" w:w="1400"/>
            <w:shd w:fill="5B2C83" w:val="clear"/>
            <w:tcMar>
              <w:top w:type="dxa" w:w="80"/>
              <w:left w:type="dxa" w:w="120"/>
              <w:bottom w:type="dxa" w:w="80"/>
              <w:right w:type="dxa" w:w="120"/>
            </w:tcMar>
          </w:tcPr>
          <w:p>
            <w:r>
              <w:rPr>
                <w:b/>
                <w:bCs/>
                <w:color w:val="FFFFFF"/>
                <w:sz w:val="20"/>
                <w:szCs w:val="20"/>
              </w:rPr>
              <w:t xml:space="preserve">Margin</w:t>
            </w:r>
          </w:p>
        </w:tc>
      </w:tr>
      <w:tr>
        <w:tc>
          <w:tcPr>
            <w:tcW w:type="dxa" w:w="3200"/>
            <w:tcMar>
              <w:top w:type="dxa" w:w="80"/>
              <w:left w:type="dxa" w:w="120"/>
              <w:bottom w:type="dxa" w:w="80"/>
              <w:right w:type="dxa" w:w="120"/>
            </w:tcMar>
          </w:tcPr>
          <w:p>
            <w:r>
              <w:rPr>
                <w:b w:val="false"/>
                <w:bCs w:val="false"/>
                <w:color w:val="2B2B2B"/>
                <w:sz w:val="20"/>
                <w:szCs w:val="20"/>
              </w:rPr>
              <w:t xml:space="preserve">The Other Factory → California</w:t>
            </w:r>
          </w:p>
        </w:tc>
        <w:tc>
          <w:tcPr>
            <w:tcW w:type="dxa" w:w="1600"/>
            <w:tcMar>
              <w:top w:type="dxa" w:w="80"/>
              <w:left w:type="dxa" w:w="120"/>
              <w:bottom w:type="dxa" w:w="80"/>
              <w:right w:type="dxa" w:w="120"/>
            </w:tcMar>
          </w:tcPr>
          <w:p>
            <w:r>
              <w:rPr>
                <w:b w:val="false"/>
                <w:bCs w:val="false"/>
                <w:color w:val="2B2B2B"/>
                <w:sz w:val="20"/>
                <w:szCs w:val="20"/>
              </w:rPr>
              <w:t xml:space="preserve">21</w:t>
            </w:r>
          </w:p>
        </w:tc>
        <w:tc>
          <w:tcPr>
            <w:tcW w:type="dxa" w:w="1800"/>
            <w:tcMar>
              <w:top w:type="dxa" w:w="80"/>
              <w:left w:type="dxa" w:w="120"/>
              <w:bottom w:type="dxa" w:w="80"/>
              <w:right w:type="dxa" w:w="120"/>
            </w:tcMar>
          </w:tcPr>
          <w:p>
            <w:r>
              <w:rPr>
                <w:b w:val="false"/>
                <w:bCs w:val="false"/>
                <w:color w:val="2B2B2B"/>
                <w:sz w:val="20"/>
                <w:szCs w:val="20"/>
              </w:rPr>
              <w:t xml:space="preserve">233.75</w:t>
            </w:r>
          </w:p>
        </w:tc>
        <w:tc>
          <w:tcPr>
            <w:tcW w:type="dxa" w:w="1400"/>
            <w:tcMar>
              <w:top w:type="dxa" w:w="80"/>
              <w:left w:type="dxa" w:w="120"/>
              <w:bottom w:type="dxa" w:w="80"/>
              <w:right w:type="dxa" w:w="120"/>
            </w:tcMar>
          </w:tcPr>
          <w:p>
            <w:r>
              <w:rPr>
                <w:b w:val="false"/>
                <w:bCs w:val="false"/>
                <w:color w:val="2B2B2B"/>
                <w:sz w:val="20"/>
                <w:szCs w:val="20"/>
              </w:rPr>
              <w:t xml:space="preserve">14.4%</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Secret Factory → California</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31</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1,238.75</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50.1%</w:t>
            </w:r>
          </w:p>
        </w:tc>
      </w:tr>
      <w:tr>
        <w:tc>
          <w:tcPr>
            <w:tcW w:type="dxa" w:w="3200"/>
            <w:tcMar>
              <w:top w:type="dxa" w:w="80"/>
              <w:left w:type="dxa" w:w="120"/>
              <w:bottom w:type="dxa" w:w="80"/>
              <w:right w:type="dxa" w:w="120"/>
            </w:tcMar>
          </w:tcPr>
          <w:p>
            <w:r>
              <w:rPr>
                <w:b w:val="false"/>
                <w:bCs w:val="false"/>
                <w:color w:val="2B2B2B"/>
                <w:sz w:val="20"/>
                <w:szCs w:val="20"/>
              </w:rPr>
              <w:t xml:space="preserve">Secret Factory → New York</w:t>
            </w:r>
          </w:p>
        </w:tc>
        <w:tc>
          <w:tcPr>
            <w:tcW w:type="dxa" w:w="1600"/>
            <w:tcMar>
              <w:top w:type="dxa" w:w="80"/>
              <w:left w:type="dxa" w:w="120"/>
              <w:bottom w:type="dxa" w:w="80"/>
              <w:right w:type="dxa" w:w="120"/>
            </w:tcMar>
          </w:tcPr>
          <w:p>
            <w:r>
              <w:rPr>
                <w:b w:val="false"/>
                <w:bCs w:val="false"/>
                <w:color w:val="2B2B2B"/>
                <w:sz w:val="20"/>
                <w:szCs w:val="20"/>
              </w:rPr>
              <w:t xml:space="preserve">24</w:t>
            </w:r>
          </w:p>
        </w:tc>
        <w:tc>
          <w:tcPr>
            <w:tcW w:type="dxa" w:w="1800"/>
            <w:tcMar>
              <w:top w:type="dxa" w:w="80"/>
              <w:left w:type="dxa" w:w="120"/>
              <w:bottom w:type="dxa" w:w="80"/>
              <w:right w:type="dxa" w:w="120"/>
            </w:tcMar>
          </w:tcPr>
          <w:p>
            <w:r>
              <w:rPr>
                <w:b w:val="false"/>
                <w:bCs w:val="false"/>
                <w:color w:val="2B2B2B"/>
                <w:sz w:val="20"/>
                <w:szCs w:val="20"/>
              </w:rPr>
              <w:t xml:space="preserve">1,026.25</w:t>
            </w:r>
          </w:p>
        </w:tc>
        <w:tc>
          <w:tcPr>
            <w:tcW w:type="dxa" w:w="1400"/>
            <w:tcMar>
              <w:top w:type="dxa" w:w="80"/>
              <w:left w:type="dxa" w:w="120"/>
              <w:bottom w:type="dxa" w:w="80"/>
              <w:right w:type="dxa" w:w="120"/>
            </w:tcMar>
          </w:tcPr>
          <w:p>
            <w:r>
              <w:rPr>
                <w:b w:val="false"/>
                <w:bCs w:val="false"/>
                <w:color w:val="2B2B2B"/>
                <w:sz w:val="20"/>
                <w:szCs w:val="20"/>
              </w:rPr>
              <w:t xml:space="preserve">50.1%</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Secret Factory → Pennsylvania</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19</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762.50</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50.2%</w:t>
            </w:r>
          </w:p>
        </w:tc>
      </w:tr>
      <w:tr>
        <w:tc>
          <w:tcPr>
            <w:tcW w:type="dxa" w:w="3200"/>
            <w:tcMar>
              <w:top w:type="dxa" w:w="80"/>
              <w:left w:type="dxa" w:w="120"/>
              <w:bottom w:type="dxa" w:w="80"/>
              <w:right w:type="dxa" w:w="120"/>
            </w:tcMar>
          </w:tcPr>
          <w:p>
            <w:r>
              <w:rPr>
                <w:b w:val="false"/>
                <w:bCs w:val="false"/>
                <w:color w:val="2B2B2B"/>
                <w:sz w:val="20"/>
                <w:szCs w:val="20"/>
              </w:rPr>
              <w:t xml:space="preserve">Secret Factory → Texas</w:t>
            </w:r>
          </w:p>
        </w:tc>
        <w:tc>
          <w:tcPr>
            <w:tcW w:type="dxa" w:w="1600"/>
            <w:tcMar>
              <w:top w:type="dxa" w:w="80"/>
              <w:left w:type="dxa" w:w="120"/>
              <w:bottom w:type="dxa" w:w="80"/>
              <w:right w:type="dxa" w:w="120"/>
            </w:tcMar>
          </w:tcPr>
          <w:p>
            <w:r>
              <w:rPr>
                <w:b w:val="false"/>
                <w:bCs w:val="false"/>
                <w:color w:val="2B2B2B"/>
                <w:sz w:val="20"/>
                <w:szCs w:val="20"/>
              </w:rPr>
              <w:t xml:space="preserve">16</w:t>
            </w:r>
          </w:p>
        </w:tc>
        <w:tc>
          <w:tcPr>
            <w:tcW w:type="dxa" w:w="1800"/>
            <w:tcMar>
              <w:top w:type="dxa" w:w="80"/>
              <w:left w:type="dxa" w:w="120"/>
              <w:bottom w:type="dxa" w:w="80"/>
              <w:right w:type="dxa" w:w="120"/>
            </w:tcMar>
          </w:tcPr>
          <w:p>
            <w:r>
              <w:rPr>
                <w:b w:val="false"/>
                <w:bCs w:val="false"/>
                <w:color w:val="2B2B2B"/>
                <w:sz w:val="20"/>
                <w:szCs w:val="20"/>
              </w:rPr>
              <w:t xml:space="preserve">517.50</w:t>
            </w:r>
          </w:p>
        </w:tc>
        <w:tc>
          <w:tcPr>
            <w:tcW w:type="dxa" w:w="1400"/>
            <w:tcMar>
              <w:top w:type="dxa" w:w="80"/>
              <w:left w:type="dxa" w:w="120"/>
              <w:bottom w:type="dxa" w:w="80"/>
              <w:right w:type="dxa" w:w="120"/>
            </w:tcMar>
          </w:tcPr>
          <w:p>
            <w:r>
              <w:rPr>
                <w:b w:val="false"/>
                <w:bCs w:val="false"/>
                <w:color w:val="2B2B2B"/>
                <w:sz w:val="20"/>
                <w:szCs w:val="20"/>
              </w:rPr>
              <w:t xml:space="preserve">51.9%</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Wicked Choccy's → Quebec</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24</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254.75</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65.0%</w:t>
            </w:r>
          </w:p>
        </w:tc>
      </w:tr>
      <w:tr>
        <w:tc>
          <w:tcPr>
            <w:tcW w:type="dxa" w:w="3200"/>
            <w:tcMar>
              <w:top w:type="dxa" w:w="80"/>
              <w:left w:type="dxa" w:w="120"/>
              <w:bottom w:type="dxa" w:w="80"/>
              <w:right w:type="dxa" w:w="120"/>
            </w:tcMar>
          </w:tcPr>
          <w:p>
            <w:r>
              <w:rPr>
                <w:b w:val="false"/>
                <w:bCs w:val="false"/>
                <w:color w:val="2B2B2B"/>
                <w:sz w:val="20"/>
                <w:szCs w:val="20"/>
              </w:rPr>
              <w:t xml:space="preserve">Wicked Choccy's → New Mexico</w:t>
            </w:r>
          </w:p>
        </w:tc>
        <w:tc>
          <w:tcPr>
            <w:tcW w:type="dxa" w:w="1600"/>
            <w:tcMar>
              <w:top w:type="dxa" w:w="80"/>
              <w:left w:type="dxa" w:w="120"/>
              <w:bottom w:type="dxa" w:w="80"/>
              <w:right w:type="dxa" w:w="120"/>
            </w:tcMar>
          </w:tcPr>
          <w:p>
            <w:r>
              <w:rPr>
                <w:b w:val="false"/>
                <w:bCs w:val="false"/>
                <w:color w:val="2B2B2B"/>
                <w:sz w:val="20"/>
                <w:szCs w:val="20"/>
              </w:rPr>
              <w:t xml:space="preserve">17</w:t>
            </w:r>
          </w:p>
        </w:tc>
        <w:tc>
          <w:tcPr>
            <w:tcW w:type="dxa" w:w="1800"/>
            <w:tcMar>
              <w:top w:type="dxa" w:w="80"/>
              <w:left w:type="dxa" w:w="120"/>
              <w:bottom w:type="dxa" w:w="80"/>
              <w:right w:type="dxa" w:w="120"/>
            </w:tcMar>
          </w:tcPr>
          <w:p>
            <w:r>
              <w:rPr>
                <w:b w:val="false"/>
                <w:bCs w:val="false"/>
                <w:color w:val="2B2B2B"/>
                <w:sz w:val="20"/>
                <w:szCs w:val="20"/>
              </w:rPr>
              <w:t xml:space="preserve">229.50</w:t>
            </w:r>
          </w:p>
        </w:tc>
        <w:tc>
          <w:tcPr>
            <w:tcW w:type="dxa" w:w="1400"/>
            <w:tcMar>
              <w:top w:type="dxa" w:w="80"/>
              <w:left w:type="dxa" w:w="120"/>
              <w:bottom w:type="dxa" w:w="80"/>
              <w:right w:type="dxa" w:w="120"/>
            </w:tcMar>
          </w:tcPr>
          <w:p>
            <w:r>
              <w:rPr>
                <w:b w:val="false"/>
                <w:bCs w:val="false"/>
                <w:color w:val="2B2B2B"/>
                <w:sz w:val="20"/>
                <w:szCs w:val="20"/>
              </w:rPr>
              <w:t xml:space="preserve">65.0%</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Wicked Choccy's → Ontario</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30</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466.25</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65.1%</w:t>
            </w:r>
          </w:p>
        </w:tc>
      </w:tr>
      <w:tr>
        <w:tc>
          <w:tcPr>
            <w:tcW w:type="dxa" w:w="3200"/>
            <w:tcMar>
              <w:top w:type="dxa" w:w="80"/>
              <w:left w:type="dxa" w:w="120"/>
              <w:bottom w:type="dxa" w:w="80"/>
              <w:right w:type="dxa" w:w="120"/>
            </w:tcMar>
          </w:tcPr>
          <w:p>
            <w:r>
              <w:rPr>
                <w:b w:val="false"/>
                <w:bCs w:val="false"/>
                <w:color w:val="2B2B2B"/>
                <w:sz w:val="20"/>
                <w:szCs w:val="20"/>
              </w:rPr>
              <w:t xml:space="preserve">Wicked Choccy's → Delaware</w:t>
            </w:r>
          </w:p>
        </w:tc>
        <w:tc>
          <w:tcPr>
            <w:tcW w:type="dxa" w:w="1600"/>
            <w:tcMar>
              <w:top w:type="dxa" w:w="80"/>
              <w:left w:type="dxa" w:w="120"/>
              <w:bottom w:type="dxa" w:w="80"/>
              <w:right w:type="dxa" w:w="120"/>
            </w:tcMar>
          </w:tcPr>
          <w:p>
            <w:r>
              <w:rPr>
                <w:b w:val="false"/>
                <w:bCs w:val="false"/>
                <w:color w:val="2B2B2B"/>
                <w:sz w:val="20"/>
                <w:szCs w:val="20"/>
              </w:rPr>
              <w:t xml:space="preserve">49</w:t>
            </w:r>
          </w:p>
        </w:tc>
        <w:tc>
          <w:tcPr>
            <w:tcW w:type="dxa" w:w="1800"/>
            <w:tcMar>
              <w:top w:type="dxa" w:w="80"/>
              <w:left w:type="dxa" w:w="120"/>
              <w:bottom w:type="dxa" w:w="80"/>
              <w:right w:type="dxa" w:w="120"/>
            </w:tcMar>
          </w:tcPr>
          <w:p>
            <w:r>
              <w:rPr>
                <w:b w:val="false"/>
                <w:bCs w:val="false"/>
                <w:color w:val="2B2B2B"/>
                <w:sz w:val="20"/>
                <w:szCs w:val="20"/>
              </w:rPr>
              <w:t xml:space="preserve">601.50</w:t>
            </w:r>
          </w:p>
        </w:tc>
        <w:tc>
          <w:tcPr>
            <w:tcW w:type="dxa" w:w="1400"/>
            <w:tcMar>
              <w:top w:type="dxa" w:w="80"/>
              <w:left w:type="dxa" w:w="120"/>
              <w:bottom w:type="dxa" w:w="80"/>
              <w:right w:type="dxa" w:w="120"/>
            </w:tcMar>
          </w:tcPr>
          <w:p>
            <w:r>
              <w:rPr>
                <w:b w:val="false"/>
                <w:bCs w:val="false"/>
                <w:color w:val="2B2B2B"/>
                <w:sz w:val="20"/>
                <w:szCs w:val="20"/>
              </w:rPr>
              <w:t xml:space="preserve">65.1%</w:t>
            </w:r>
          </w:p>
        </w:tc>
      </w:tr>
      <w:tr>
        <w:tc>
          <w:tcPr>
            <w:tcW w:type="dxa" w:w="3200"/>
            <w:shd w:fill="F3ECF8" w:val="clear"/>
            <w:tcMar>
              <w:top w:type="dxa" w:w="80"/>
              <w:left w:type="dxa" w:w="120"/>
              <w:bottom w:type="dxa" w:w="80"/>
              <w:right w:type="dxa" w:w="120"/>
            </w:tcMar>
          </w:tcPr>
          <w:p>
            <w:r>
              <w:rPr>
                <w:b w:val="false"/>
                <w:bCs w:val="false"/>
                <w:color w:val="2B2B2B"/>
                <w:sz w:val="20"/>
                <w:szCs w:val="20"/>
              </w:rPr>
              <w:t xml:space="preserve">Wicked Choccy's → Wisconsin</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47</w:t>
            </w:r>
          </w:p>
        </w:tc>
        <w:tc>
          <w:tcPr>
            <w:tcW w:type="dxa" w:w="1800"/>
            <w:shd w:fill="F3ECF8" w:val="clear"/>
            <w:tcMar>
              <w:top w:type="dxa" w:w="80"/>
              <w:left w:type="dxa" w:w="120"/>
              <w:bottom w:type="dxa" w:w="80"/>
              <w:right w:type="dxa" w:w="120"/>
            </w:tcMar>
          </w:tcPr>
          <w:p>
            <w:r>
              <w:rPr>
                <w:b w:val="false"/>
                <w:bCs w:val="false"/>
                <w:color w:val="2B2B2B"/>
                <w:sz w:val="20"/>
                <w:szCs w:val="20"/>
              </w:rPr>
              <w:t xml:space="preserve">737.25</w:t>
            </w:r>
          </w:p>
        </w:tc>
        <w:tc>
          <w:tcPr>
            <w:tcW w:type="dxa" w:w="1400"/>
            <w:shd w:fill="F3ECF8" w:val="clear"/>
            <w:tcMar>
              <w:top w:type="dxa" w:w="80"/>
              <w:left w:type="dxa" w:w="120"/>
              <w:bottom w:type="dxa" w:w="80"/>
              <w:right w:type="dxa" w:w="120"/>
            </w:tcMar>
          </w:tcPr>
          <w:p>
            <w:r>
              <w:rPr>
                <w:b w:val="false"/>
                <w:bCs w:val="false"/>
                <w:color w:val="2B2B2B"/>
                <w:sz w:val="20"/>
                <w:szCs w:val="20"/>
              </w:rPr>
              <w:t xml:space="preserve">65.1%</w:t>
            </w:r>
          </w:p>
        </w:tc>
      </w:tr>
    </w:tbl>
    <w:p>
      <w:pPr>
        <w:spacing w:after="200" w:before="240"/>
      </w:pPr>
    </w:p>
    <w:p>
      <w:pPr>
        <w:spacing w:after="160"/>
      </w:pPr>
      <w:r>
        <w:t xml:space="preserve">The pattern is clear: every route below Wicked Choccy's baseline margin of ~65% belongs to Secret Factory or The Other Factory. Route weakness in this dataset is a factory-level issue (product cost/pricing structure), not a geography-level one — no single state or region shows weak margins across multiple factories.</w:t>
      </w:r>
    </w:p>
    <w:p>
      <w:pPr>
        <w:pStyle w:val="Heading2"/>
        <w:spacing w:after="120" w:before="260"/>
      </w:pPr>
      <w:r>
        <w:t xml:space="preserve">5.6 Ship Mode Comparison</w:t>
      </w:r>
    </w:p>
    <w:p>
      <w:pPr>
        <w:spacing w:after="160"/>
      </w:pPr>
      <w:r>
        <w:t xml:space="preserve">Standard Class dominates the shipment mix at 60.0% of volume, followed by Second Class (19.4%), First Class (15.2%), and Same Day (5.4%). Gross margin is essentially flat across ship modes (65.7%–66.1%), meaning shipping method is not a meaningful profitability driver in this dataset — it is a pure cost-to-serve and customer-experience lever.</w:t>
      </w:r>
    </w:p>
    <w:p>
      <w:pPr>
        <w:spacing w:after="100" w:before="15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48000"/>
                    </a:xfrm>
                    <a:prstGeom prst="rect">
                      <a:avLst/>
                    </a:prstGeom>
                  </pic:spPr>
                </pic:pic>
              </a:graphicData>
            </a:graphic>
          </wp:inline>
        </w:drawing>
      </w:r>
    </w:p>
    <w:p>
      <w:pPr>
        <w:spacing w:after="240"/>
        <w:jc w:val="center"/>
      </w:pPr>
      <w:r>
        <w:rPr>
          <w:i/>
          <w:iCs/>
          <w:color w:val="666666"/>
          <w:sz w:val="18"/>
          <w:szCs w:val="18"/>
        </w:rPr>
        <w:t xml:space="preserve">Fig. 7 — Shipment mix by ship mode.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900"/>
        <w:gridCol w:w="1300"/>
      </w:tblGrid>
      <w:tr>
        <w:tc>
          <w:tcPr>
            <w:tcW w:type="dxa" w:w="2000"/>
            <w:shd w:fill="5B2C83" w:val="clear"/>
            <w:tcMar>
              <w:top w:type="dxa" w:w="80"/>
              <w:left w:type="dxa" w:w="120"/>
              <w:bottom w:type="dxa" w:w="80"/>
              <w:right w:type="dxa" w:w="120"/>
            </w:tcMar>
          </w:tcPr>
          <w:p>
            <w:r>
              <w:rPr>
                <w:b/>
                <w:bCs/>
                <w:color w:val="FFFFFF"/>
                <w:sz w:val="20"/>
                <w:szCs w:val="20"/>
              </w:rPr>
              <w:t xml:space="preserve">Ship Mode</w:t>
            </w:r>
          </w:p>
        </w:tc>
        <w:tc>
          <w:tcPr>
            <w:tcW w:type="dxa" w:w="1600"/>
            <w:shd w:fill="5B2C83" w:val="clear"/>
            <w:tcMar>
              <w:top w:type="dxa" w:w="80"/>
              <w:left w:type="dxa" w:w="120"/>
              <w:bottom w:type="dxa" w:w="80"/>
              <w:right w:type="dxa" w:w="120"/>
            </w:tcMar>
          </w:tcPr>
          <w:p>
            <w:r>
              <w:rPr>
                <w:b/>
                <w:bCs/>
                <w:color w:val="FFFFFF"/>
                <w:sz w:val="20"/>
                <w:szCs w:val="20"/>
              </w:rPr>
              <w:t xml:space="preserve">Shipments</w:t>
            </w:r>
          </w:p>
        </w:tc>
        <w:tc>
          <w:tcPr>
            <w:tcW w:type="dxa" w:w="1200"/>
            <w:shd w:fill="5B2C83" w:val="clear"/>
            <w:tcMar>
              <w:top w:type="dxa" w:w="80"/>
              <w:left w:type="dxa" w:w="120"/>
              <w:bottom w:type="dxa" w:w="80"/>
              <w:right w:type="dxa" w:w="120"/>
            </w:tcMar>
          </w:tcPr>
          <w:p>
            <w:r>
              <w:rPr>
                <w:b/>
                <w:bCs/>
                <w:color w:val="FFFFFF"/>
                <w:sz w:val="20"/>
                <w:szCs w:val="20"/>
              </w:rPr>
              <w:t xml:space="preserve">Share</w:t>
            </w:r>
          </w:p>
        </w:tc>
        <w:tc>
          <w:tcPr>
            <w:tcW w:type="dxa" w:w="1900"/>
            <w:shd w:fill="5B2C83" w:val="clear"/>
            <w:tcMar>
              <w:top w:type="dxa" w:w="80"/>
              <w:left w:type="dxa" w:w="120"/>
              <w:bottom w:type="dxa" w:w="80"/>
              <w:right w:type="dxa" w:w="120"/>
            </w:tcMar>
          </w:tcPr>
          <w:p>
            <w:r>
              <w:rPr>
                <w:b/>
                <w:bCs/>
                <w:color w:val="FFFFFF"/>
                <w:sz w:val="20"/>
                <w:szCs w:val="20"/>
              </w:rPr>
              <w:t xml:space="preserve">Sales ($)</w:t>
            </w:r>
          </w:p>
        </w:tc>
        <w:tc>
          <w:tcPr>
            <w:tcW w:type="dxa" w:w="1300"/>
            <w:shd w:fill="5B2C83" w:val="clear"/>
            <w:tcMar>
              <w:top w:type="dxa" w:w="80"/>
              <w:left w:type="dxa" w:w="120"/>
              <w:bottom w:type="dxa" w:w="80"/>
              <w:right w:type="dxa" w:w="120"/>
            </w:tcMar>
          </w:tcPr>
          <w:p>
            <w:r>
              <w:rPr>
                <w:b/>
                <w:bCs/>
                <w:color w:val="FFFFFF"/>
                <w:sz w:val="20"/>
                <w:szCs w:val="20"/>
              </w:rPr>
              <w:t xml:space="preserve">Margin</w:t>
            </w:r>
          </w:p>
        </w:tc>
      </w:tr>
      <w:tr>
        <w:tc>
          <w:tcPr>
            <w:tcW w:type="dxa" w:w="2000"/>
            <w:tcMar>
              <w:top w:type="dxa" w:w="80"/>
              <w:left w:type="dxa" w:w="120"/>
              <w:bottom w:type="dxa" w:w="80"/>
              <w:right w:type="dxa" w:w="120"/>
            </w:tcMar>
          </w:tcPr>
          <w:p>
            <w:r>
              <w:rPr>
                <w:b w:val="false"/>
                <w:bCs w:val="false"/>
                <w:color w:val="2B2B2B"/>
                <w:sz w:val="20"/>
                <w:szCs w:val="20"/>
              </w:rPr>
              <w:t xml:space="preserve">Standard Class</w:t>
            </w:r>
          </w:p>
        </w:tc>
        <w:tc>
          <w:tcPr>
            <w:tcW w:type="dxa" w:w="1600"/>
            <w:tcMar>
              <w:top w:type="dxa" w:w="80"/>
              <w:left w:type="dxa" w:w="120"/>
              <w:bottom w:type="dxa" w:w="80"/>
              <w:right w:type="dxa" w:w="120"/>
            </w:tcMar>
          </w:tcPr>
          <w:p>
            <w:r>
              <w:rPr>
                <w:b w:val="false"/>
                <w:bCs w:val="false"/>
                <w:color w:val="2B2B2B"/>
                <w:sz w:val="20"/>
                <w:szCs w:val="20"/>
              </w:rPr>
              <w:t xml:space="preserve">6,120</w:t>
            </w:r>
          </w:p>
        </w:tc>
        <w:tc>
          <w:tcPr>
            <w:tcW w:type="dxa" w:w="1200"/>
            <w:tcMar>
              <w:top w:type="dxa" w:w="80"/>
              <w:left w:type="dxa" w:w="120"/>
              <w:bottom w:type="dxa" w:w="80"/>
              <w:right w:type="dxa" w:w="120"/>
            </w:tcMar>
          </w:tcPr>
          <w:p>
            <w:r>
              <w:rPr>
                <w:b w:val="false"/>
                <w:bCs w:val="false"/>
                <w:color w:val="2B2B2B"/>
                <w:sz w:val="20"/>
                <w:szCs w:val="20"/>
              </w:rPr>
              <w:t xml:space="preserve">60.0%</w:t>
            </w:r>
          </w:p>
        </w:tc>
        <w:tc>
          <w:tcPr>
            <w:tcW w:type="dxa" w:w="1900"/>
            <w:tcMar>
              <w:top w:type="dxa" w:w="80"/>
              <w:left w:type="dxa" w:w="120"/>
              <w:bottom w:type="dxa" w:w="80"/>
              <w:right w:type="dxa" w:w="120"/>
            </w:tcMar>
          </w:tcPr>
          <w:p>
            <w:r>
              <w:rPr>
                <w:b w:val="false"/>
                <w:bCs w:val="false"/>
                <w:color w:val="2B2B2B"/>
                <w:sz w:val="20"/>
                <w:szCs w:val="20"/>
              </w:rPr>
              <w:t xml:space="preserve">85,490.35</w:t>
            </w:r>
          </w:p>
        </w:tc>
        <w:tc>
          <w:tcPr>
            <w:tcW w:type="dxa" w:w="1300"/>
            <w:tcMar>
              <w:top w:type="dxa" w:w="80"/>
              <w:left w:type="dxa" w:w="120"/>
              <w:bottom w:type="dxa" w:w="80"/>
              <w:right w:type="dxa" w:w="120"/>
            </w:tcMar>
          </w:tcPr>
          <w:p>
            <w:r>
              <w:rPr>
                <w:b w:val="false"/>
                <w:bCs w:val="false"/>
                <w:color w:val="2B2B2B"/>
                <w:sz w:val="20"/>
                <w:szCs w:val="20"/>
              </w:rPr>
              <w:t xml:space="preserve">66.0%</w:t>
            </w:r>
          </w:p>
        </w:tc>
      </w:tr>
      <w:tr>
        <w:tc>
          <w:tcPr>
            <w:tcW w:type="dxa" w:w="2000"/>
            <w:shd w:fill="F3ECF8" w:val="clear"/>
            <w:tcMar>
              <w:top w:type="dxa" w:w="80"/>
              <w:left w:type="dxa" w:w="120"/>
              <w:bottom w:type="dxa" w:w="80"/>
              <w:right w:type="dxa" w:w="120"/>
            </w:tcMar>
          </w:tcPr>
          <w:p>
            <w:r>
              <w:rPr>
                <w:b w:val="false"/>
                <w:bCs w:val="false"/>
                <w:color w:val="2B2B2B"/>
                <w:sz w:val="20"/>
                <w:szCs w:val="20"/>
              </w:rPr>
              <w:t xml:space="preserve">Second Class</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1,979</w:t>
            </w:r>
          </w:p>
        </w:tc>
        <w:tc>
          <w:tcPr>
            <w:tcW w:type="dxa" w:w="1200"/>
            <w:shd w:fill="F3ECF8" w:val="clear"/>
            <w:tcMar>
              <w:top w:type="dxa" w:w="80"/>
              <w:left w:type="dxa" w:w="120"/>
              <w:bottom w:type="dxa" w:w="80"/>
              <w:right w:type="dxa" w:w="120"/>
            </w:tcMar>
          </w:tcPr>
          <w:p>
            <w:r>
              <w:rPr>
                <w:b w:val="false"/>
                <w:bCs w:val="false"/>
                <w:color w:val="2B2B2B"/>
                <w:sz w:val="20"/>
                <w:szCs w:val="20"/>
              </w:rPr>
              <w:t xml:space="preserve">19.4%</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27,860.22</w:t>
            </w:r>
          </w:p>
        </w:tc>
        <w:tc>
          <w:tcPr>
            <w:tcW w:type="dxa" w:w="1300"/>
            <w:shd w:fill="F3ECF8" w:val="clear"/>
            <w:tcMar>
              <w:top w:type="dxa" w:w="80"/>
              <w:left w:type="dxa" w:w="120"/>
              <w:bottom w:type="dxa" w:w="80"/>
              <w:right w:type="dxa" w:w="120"/>
            </w:tcMar>
          </w:tcPr>
          <w:p>
            <w:r>
              <w:rPr>
                <w:b w:val="false"/>
                <w:bCs w:val="false"/>
                <w:color w:val="2B2B2B"/>
                <w:sz w:val="20"/>
                <w:szCs w:val="20"/>
              </w:rPr>
              <w:t xml:space="preserve">65.7%</w:t>
            </w:r>
          </w:p>
        </w:tc>
      </w:tr>
      <w:tr>
        <w:tc>
          <w:tcPr>
            <w:tcW w:type="dxa" w:w="2000"/>
            <w:tcMar>
              <w:top w:type="dxa" w:w="80"/>
              <w:left w:type="dxa" w:w="120"/>
              <w:bottom w:type="dxa" w:w="80"/>
              <w:right w:type="dxa" w:w="120"/>
            </w:tcMar>
          </w:tcPr>
          <w:p>
            <w:r>
              <w:rPr>
                <w:b w:val="false"/>
                <w:bCs w:val="false"/>
                <w:color w:val="2B2B2B"/>
                <w:sz w:val="20"/>
                <w:szCs w:val="20"/>
              </w:rPr>
              <w:t xml:space="preserve">First Class</w:t>
            </w:r>
          </w:p>
        </w:tc>
        <w:tc>
          <w:tcPr>
            <w:tcW w:type="dxa" w:w="1600"/>
            <w:tcMar>
              <w:top w:type="dxa" w:w="80"/>
              <w:left w:type="dxa" w:w="120"/>
              <w:bottom w:type="dxa" w:w="80"/>
              <w:right w:type="dxa" w:w="120"/>
            </w:tcMar>
          </w:tcPr>
          <w:p>
            <w:r>
              <w:rPr>
                <w:b w:val="false"/>
                <w:bCs w:val="false"/>
                <w:color w:val="2B2B2B"/>
                <w:sz w:val="20"/>
                <w:szCs w:val="20"/>
              </w:rPr>
              <w:t xml:space="preserve">1,548</w:t>
            </w:r>
          </w:p>
        </w:tc>
        <w:tc>
          <w:tcPr>
            <w:tcW w:type="dxa" w:w="1200"/>
            <w:tcMar>
              <w:top w:type="dxa" w:w="80"/>
              <w:left w:type="dxa" w:w="120"/>
              <w:bottom w:type="dxa" w:w="80"/>
              <w:right w:type="dxa" w:w="120"/>
            </w:tcMar>
          </w:tcPr>
          <w:p>
            <w:r>
              <w:rPr>
                <w:b w:val="false"/>
                <w:bCs w:val="false"/>
                <w:color w:val="2B2B2B"/>
                <w:sz w:val="20"/>
                <w:szCs w:val="20"/>
              </w:rPr>
              <w:t xml:space="preserve">15.2%</w:t>
            </w:r>
          </w:p>
        </w:tc>
        <w:tc>
          <w:tcPr>
            <w:tcW w:type="dxa" w:w="1900"/>
            <w:tcMar>
              <w:top w:type="dxa" w:w="80"/>
              <w:left w:type="dxa" w:w="120"/>
              <w:bottom w:type="dxa" w:w="80"/>
              <w:right w:type="dxa" w:w="120"/>
            </w:tcMar>
          </w:tcPr>
          <w:p>
            <w:r>
              <w:rPr>
                <w:b w:val="false"/>
                <w:bCs w:val="false"/>
                <w:color w:val="2B2B2B"/>
                <w:sz w:val="20"/>
                <w:szCs w:val="20"/>
              </w:rPr>
              <w:t xml:space="preserve">21,319.39</w:t>
            </w:r>
          </w:p>
        </w:tc>
        <w:tc>
          <w:tcPr>
            <w:tcW w:type="dxa" w:w="1300"/>
            <w:tcMar>
              <w:top w:type="dxa" w:w="80"/>
              <w:left w:type="dxa" w:w="120"/>
              <w:bottom w:type="dxa" w:w="80"/>
              <w:right w:type="dxa" w:w="120"/>
            </w:tcMar>
          </w:tcPr>
          <w:p>
            <w:r>
              <w:rPr>
                <w:b w:val="false"/>
                <w:bCs w:val="false"/>
                <w:color w:val="2B2B2B"/>
                <w:sz w:val="20"/>
                <w:szCs w:val="20"/>
              </w:rPr>
              <w:t xml:space="preserve">65.7%</w:t>
            </w:r>
          </w:p>
        </w:tc>
      </w:tr>
      <w:tr>
        <w:tc>
          <w:tcPr>
            <w:tcW w:type="dxa" w:w="2000"/>
            <w:shd w:fill="F3ECF8" w:val="clear"/>
            <w:tcMar>
              <w:top w:type="dxa" w:w="80"/>
              <w:left w:type="dxa" w:w="120"/>
              <w:bottom w:type="dxa" w:w="80"/>
              <w:right w:type="dxa" w:w="120"/>
            </w:tcMar>
          </w:tcPr>
          <w:p>
            <w:r>
              <w:rPr>
                <w:b w:val="false"/>
                <w:bCs w:val="false"/>
                <w:color w:val="2B2B2B"/>
                <w:sz w:val="20"/>
                <w:szCs w:val="20"/>
              </w:rPr>
              <w:t xml:space="preserve">Same Day</w:t>
            </w:r>
          </w:p>
        </w:tc>
        <w:tc>
          <w:tcPr>
            <w:tcW w:type="dxa" w:w="1600"/>
            <w:shd w:fill="F3ECF8" w:val="clear"/>
            <w:tcMar>
              <w:top w:type="dxa" w:w="80"/>
              <w:left w:type="dxa" w:w="120"/>
              <w:bottom w:type="dxa" w:w="80"/>
              <w:right w:type="dxa" w:w="120"/>
            </w:tcMar>
          </w:tcPr>
          <w:p>
            <w:r>
              <w:rPr>
                <w:b w:val="false"/>
                <w:bCs w:val="false"/>
                <w:color w:val="2B2B2B"/>
                <w:sz w:val="20"/>
                <w:szCs w:val="20"/>
              </w:rPr>
              <w:t xml:space="preserve">547</w:t>
            </w:r>
          </w:p>
        </w:tc>
        <w:tc>
          <w:tcPr>
            <w:tcW w:type="dxa" w:w="1200"/>
            <w:shd w:fill="F3ECF8" w:val="clear"/>
            <w:tcMar>
              <w:top w:type="dxa" w:w="80"/>
              <w:left w:type="dxa" w:w="120"/>
              <w:bottom w:type="dxa" w:w="80"/>
              <w:right w:type="dxa" w:w="120"/>
            </w:tcMar>
          </w:tcPr>
          <w:p>
            <w:r>
              <w:rPr>
                <w:b w:val="false"/>
                <w:bCs w:val="false"/>
                <w:color w:val="2B2B2B"/>
                <w:sz w:val="20"/>
                <w:szCs w:val="20"/>
              </w:rPr>
              <w:t xml:space="preserve">5.4%</w:t>
            </w:r>
          </w:p>
        </w:tc>
        <w:tc>
          <w:tcPr>
            <w:tcW w:type="dxa" w:w="1900"/>
            <w:shd w:fill="F3ECF8" w:val="clear"/>
            <w:tcMar>
              <w:top w:type="dxa" w:w="80"/>
              <w:left w:type="dxa" w:w="120"/>
              <w:bottom w:type="dxa" w:w="80"/>
              <w:right w:type="dxa" w:w="120"/>
            </w:tcMar>
          </w:tcPr>
          <w:p>
            <w:r>
              <w:rPr>
                <w:b w:val="false"/>
                <w:bCs w:val="false"/>
                <w:color w:val="2B2B2B"/>
                <w:sz w:val="20"/>
                <w:szCs w:val="20"/>
              </w:rPr>
              <w:t xml:space="preserve">7,113.67</w:t>
            </w:r>
          </w:p>
        </w:tc>
        <w:tc>
          <w:tcPr>
            <w:tcW w:type="dxa" w:w="1300"/>
            <w:shd w:fill="F3ECF8" w:val="clear"/>
            <w:tcMar>
              <w:top w:type="dxa" w:w="80"/>
              <w:left w:type="dxa" w:w="120"/>
              <w:bottom w:type="dxa" w:w="80"/>
              <w:right w:type="dxa" w:w="120"/>
            </w:tcMar>
          </w:tcPr>
          <w:p>
            <w:r>
              <w:rPr>
                <w:b w:val="false"/>
                <w:bCs w:val="false"/>
                <w:color w:val="2B2B2B"/>
                <w:sz w:val="20"/>
                <w:szCs w:val="20"/>
              </w:rPr>
              <w:t xml:space="preserve">66.1%</w:t>
            </w:r>
          </w:p>
        </w:tc>
      </w:tr>
    </w:tbl>
    <w:p>
      <w:pPr>
        <w:spacing w:after="200" w:before="240"/>
      </w:pPr>
    </w:p>
    <w:p>
      <w:pPr>
        <w:spacing w:after="160"/>
      </w:pPr>
      <w:r>
        <w:t xml:space="preserve">Note on delivery speed: because Ship Date cannot be trusted (Section 4.2), this paper cannot state whether Same Day or First Class shipments are actually delivered faster than Standard Class in practice — only that the ship-mode label itself is recorded and is a valid basis for cost and mix analysis. Confirming real speed differences requires corrected shipment timestamps.</w:t>
      </w:r>
    </w:p>
    <w:p>
      <w:pPr>
        <w:pStyle w:val="Heading1"/>
        <w:spacing w:after="160" w:before="360"/>
      </w:pPr>
      <w:r>
        <w:t xml:space="preserve">6. Key Insights Summary</w:t>
      </w:r>
    </w:p>
    <w:p>
      <w:pPr>
        <w:pStyle w:val="ListParagraph"/>
        <w:numPr>
          <w:ilvl w:val="0"/>
          <w:numId w:val="2"/>
        </w:numPr>
        <w:spacing w:after="80"/>
      </w:pPr>
      <w:r>
        <w:t xml:space="preserve">Data quality first: the Ship Date field is unusable for timing analysis in its current form across 100% of records — this must be fixed before any lead-time, delay, or on-time-delivery KPI can be trusted.</w:t>
      </w:r>
    </w:p>
    <w:p>
      <w:pPr>
        <w:pStyle w:val="ListParagraph"/>
        <w:numPr>
          <w:ilvl w:val="0"/>
          <w:numId w:val="2"/>
        </w:numPr>
        <w:spacing w:after="80"/>
      </w:pPr>
      <w:r>
        <w:t xml:space="preserve">Business concentration risk: 96.6% of shipments and the vast majority of profit flow through two factories (Lot's O' Nuts, Wicked Choccy's) and one division (Chocolate). The Sugar and other-product lines are a small fraction of volume.</w:t>
      </w:r>
    </w:p>
    <w:p>
      <w:pPr>
        <w:pStyle w:val="ListParagraph"/>
        <w:numPr>
          <w:ilvl w:val="0"/>
          <w:numId w:val="2"/>
        </w:numPr>
        <w:spacing w:after="80"/>
      </w:pPr>
      <w:r>
        <w:t xml:space="preserve">The Other Factory is a margin outlier at 11.9% gross margin — roughly 55 percentage points below the network average — driven by its Kazookles and Hair Toffee product lines.</w:t>
      </w:r>
    </w:p>
    <w:p>
      <w:pPr>
        <w:pStyle w:val="ListParagraph"/>
        <w:numPr>
          <w:ilvl w:val="0"/>
          <w:numId w:val="2"/>
        </w:numPr>
        <w:spacing w:after="80"/>
      </w:pPr>
      <w:r>
        <w:t xml:space="preserve">Geographic concentration: California, New York and Texas together account for over 40% of all shipments, making them the highest-priority states for any capacity, warehousing, or carrier-contract decisions.</w:t>
      </w:r>
    </w:p>
    <w:p>
      <w:pPr>
        <w:pStyle w:val="ListParagraph"/>
        <w:numPr>
          <w:ilvl w:val="0"/>
          <w:numId w:val="2"/>
        </w:numPr>
        <w:spacing w:after="80"/>
      </w:pPr>
      <w:r>
        <w:t xml:space="preserve">Ship mode is a cost/service lever, not a profitability lever — margins don't move with shipping method, so ship-mode choice can be optimized purely for cost and customer experience without a profit trade-off.</w:t>
      </w:r>
    </w:p>
    <w:p>
      <w:pPr>
        <w:pStyle w:val="Heading1"/>
        <w:spacing w:after="160" w:before="360"/>
      </w:pPr>
      <w:r>
        <w:t xml:space="preserve">7. Recommendations</w:t>
      </w:r>
    </w:p>
    <w:p>
      <w:pPr>
        <w:pStyle w:val="Heading2"/>
        <w:spacing w:after="120" w:before="260"/>
      </w:pPr>
      <w:r>
        <w:t xml:space="preserve">7.1 Immediate (Data Foundation)</w:t>
      </w:r>
    </w:p>
    <w:p>
      <w:pPr>
        <w:pStyle w:val="ListParagraph"/>
        <w:numPr>
          <w:ilvl w:val="0"/>
          <w:numId w:val="2"/>
        </w:numPr>
        <w:spacing w:after="80"/>
      </w:pPr>
      <w:r>
        <w:t xml:space="preserve">Re-extract or correct the Ship Date field at the source system before running any lead-time, on-time-delivery, or delay-frequency analysis. Given the near-constant ~177-day offset pattern identified in Section 4.2, this is very likely a fixable upstream mapping or ETL defect rather than lost data.</w:t>
      </w:r>
    </w:p>
    <w:p>
      <w:pPr>
        <w:pStyle w:val="ListParagraph"/>
        <w:numPr>
          <w:ilvl w:val="0"/>
          <w:numId w:val="2"/>
        </w:numPr>
        <w:spacing w:after="80"/>
      </w:pPr>
      <w:r>
        <w:t xml:space="preserve">Add data-validation rules (e.g., Ship Date must fall within N days of Order Date) to the order-management pipeline to prevent recurrence.</w:t>
      </w:r>
    </w:p>
    <w:p>
      <w:pPr>
        <w:pStyle w:val="Heading2"/>
        <w:spacing w:after="120" w:before="260"/>
      </w:pPr>
      <w:r>
        <w:t xml:space="preserve">7.2 Operational</w:t>
      </w:r>
    </w:p>
    <w:p>
      <w:pPr>
        <w:pStyle w:val="ListParagraph"/>
        <w:numPr>
          <w:ilvl w:val="0"/>
          <w:numId w:val="2"/>
        </w:numPr>
        <w:spacing w:after="80"/>
      </w:pPr>
      <w:r>
        <w:t xml:space="preserve">Investigate The Other Factory's cost structure and/or pricing for Kazookles and Hair Toffee — a margin gap of this size (11.9% vs. a 50–69% network norm) is large enough to warrant a standalone cost review.</w:t>
      </w:r>
    </w:p>
    <w:p>
      <w:pPr>
        <w:pStyle w:val="ListParagraph"/>
        <w:numPr>
          <w:ilvl w:val="0"/>
          <w:numId w:val="2"/>
        </w:numPr>
        <w:spacing w:after="80"/>
      </w:pPr>
      <w:r>
        <w:t xml:space="preserve">Prioritize California, New York, and Texas for route optimization, dedicated carrier negotiations, or regional distribution points, given their outsized share of volume.</w:t>
      </w:r>
    </w:p>
    <w:p>
      <w:pPr>
        <w:pStyle w:val="ListParagraph"/>
        <w:numPr>
          <w:ilvl w:val="0"/>
          <w:numId w:val="2"/>
        </w:numPr>
        <w:spacing w:after="80"/>
      </w:pPr>
      <w:r>
        <w:t xml:space="preserve">Re-run the full Route Efficiency Score (combining lead time, delay frequency, and margin) once Ship Date is corrected — the profitability half of that score is already established in this paper (Section 5.5) and can be merged directly with corrected timing data.</w:t>
      </w:r>
    </w:p>
    <w:p>
      <w:pPr>
        <w:pStyle w:val="Heading2"/>
        <w:spacing w:after="120" w:before="260"/>
      </w:pPr>
      <w:r>
        <w:t xml:space="preserve">7.3 Strategic</w:t>
      </w:r>
    </w:p>
    <w:p>
      <w:pPr>
        <w:pStyle w:val="ListParagraph"/>
        <w:numPr>
          <w:ilvl w:val="0"/>
          <w:numId w:val="2"/>
        </w:numPr>
        <w:spacing w:after="80"/>
      </w:pPr>
      <w:r>
        <w:t xml:space="preserve">Evaluate whether continued investment in Secret Factory, The Other Factory, and Sugar Shack's product lines is justified given they represent 3.4% of volume; consider consolidating production or renegotiating supplier terms for these lines.</w:t>
      </w:r>
    </w:p>
    <w:p>
      <w:pPr>
        <w:pStyle w:val="ListParagraph"/>
        <w:numPr>
          <w:ilvl w:val="0"/>
          <w:numId w:val="2"/>
        </w:numPr>
        <w:spacing w:after="80"/>
      </w:pPr>
      <w:r>
        <w:t xml:space="preserve">Because ship mode does not affect margin, consider shifting more volume to lower-cost standard shipping in low-urgency lanes to reduce cost-to-serve without an ordering-profitability trade-off.</w:t>
      </w:r>
    </w:p>
    <w:p>
      <w:pPr>
        <w:pStyle w:val="Heading1"/>
        <w:spacing w:after="160" w:before="360"/>
      </w:pPr>
      <w:r>
        <w:t xml:space="preserve">8. Limitations</w:t>
      </w:r>
    </w:p>
    <w:p>
      <w:pPr>
        <w:pStyle w:val="ListParagraph"/>
        <w:numPr>
          <w:ilvl w:val="0"/>
          <w:numId w:val="2"/>
        </w:numPr>
        <w:spacing w:after="80"/>
      </w:pPr>
      <w:r>
        <w:t xml:space="preserve">Shipping Lead Time, Delay Frequency, and the time-based Route Efficiency Score specified in the original brief could not be computed reliably — see Section 4.2. All findings in this paper that reference time (e.g., ship-mode "performance") refer to volume/cost mix, not verified delivery speed.</w:t>
      </w:r>
    </w:p>
    <w:p>
      <w:pPr>
        <w:pStyle w:val="ListParagraph"/>
        <w:numPr>
          <w:ilvl w:val="0"/>
          <w:numId w:val="2"/>
        </w:numPr>
        <w:spacing w:after="80"/>
      </w:pPr>
      <w:r>
        <w:t xml:space="preserve">The dataset provides no direct link between an order line and a specific truck, carrier, or shipment leg — routes are inferred from the customer's state/region and the product's mapped factory, which is a reasonable but indirect proxy for the physical route.</w:t>
      </w:r>
    </w:p>
    <w:p>
      <w:pPr>
        <w:pStyle w:val="ListParagraph"/>
        <w:numPr>
          <w:ilvl w:val="0"/>
          <w:numId w:val="2"/>
        </w:numPr>
        <w:spacing w:after="80"/>
      </w:pPr>
      <w:r>
        <w:t xml:space="preserve">Postal code was not used for finer-grained geographic analysis in this iteration; it is available for a future ZIP-level bottleneck study.</w:t>
      </w:r>
    </w:p>
    <w:p>
      <w:pPr>
        <w:pStyle w:val="Heading1"/>
        <w:spacing w:after="160" w:before="360"/>
      </w:pPr>
      <w:r>
        <w:t xml:space="preserve">9. Conclusion</w:t>
      </w:r>
    </w:p>
    <w:p>
      <w:pPr>
        <w:spacing w:after="160"/>
      </w:pPr>
      <w:r>
        <w:t xml:space="preserve">This analysis converts Nassau Candy Distributor's raw order and shipment data into route-level operational intelligence, while being transparent about a critical data-quality defect that blocks part of the originally-scoped time-based analysis. The volume- and profitability-based findings — factory concentration, The Other Factory's margin gap, and state-level shipment concentration in California, New York, and Texas — are robust and immediately actionable. Correcting the Ship Date field is the single highest-leverage next step: it will unlock the full route efficiency scoring, delay-frequency, and ship-mode speed analysis originally specified, on top of the foundation already established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Distributor — Route Efficiency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2C83" w:sz="8" w:space="4"/>
      </w:pBdr>
      <w:spacing w:after="160" w:before="360"/>
    </w:pPr>
    <w:rPr>
      <w:rFonts w:ascii="Calibri" w:cs="Calibri" w:eastAsia="Calibri" w:hAnsi="Calibri"/>
      <w:b/>
      <w:bCs/>
      <w:color w:val="5B2C83"/>
      <w:sz w:val="30"/>
      <w:szCs w:val="30"/>
    </w:rPr>
  </w:style>
  <w:style w:type="paragraph" w:styleId="Heading2">
    <w:name w:val="Heading 2"/>
    <w:basedOn w:val="Normal"/>
    <w:next w:val="Normal"/>
    <w:qFormat/>
    <w:pPr>
      <w:spacing w:after="120" w:before="260"/>
    </w:pPr>
    <w:rPr>
      <w:rFonts w:ascii="Calibri" w:cs="Calibri" w:eastAsia="Calibri" w:hAnsi="Calibri"/>
      <w:b/>
      <w:bCs/>
      <w:color w:val="B579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c898b91d70842d7202ab15954a0c0eb72b2816.png"/><Relationship Id="rId10" Type="http://schemas.openxmlformats.org/officeDocument/2006/relationships/image" Target="media/d2c4fffc95c36cdf6de98ae78086a5476fb83a79.png"/><Relationship Id="rId11" Type="http://schemas.openxmlformats.org/officeDocument/2006/relationships/image" Target="media/63b0ca586db8c1727a5e4328fb26e9c510a72a16.png"/><Relationship Id="rId12" Type="http://schemas.openxmlformats.org/officeDocument/2006/relationships/image" Target="media/517ef9fcc0e4faa64e22cd9a5f4df5fe98ba7555.png"/><Relationship Id="rId13" Type="http://schemas.openxmlformats.org/officeDocument/2006/relationships/image" Target="media/9630c10070f1d10c4374fabef72d5ce020cb3044.png"/><Relationship Id="rId14" Type="http://schemas.openxmlformats.org/officeDocument/2006/relationships/image" Target="media/0e2c6360bb3f492e113379e5d3296bc4fe71d91d.png"/><Relationship Id="rId15" Type="http://schemas.openxmlformats.org/officeDocument/2006/relationships/image" Target="media/7698a31d0c41d6a1df87287dfe40859156bbab5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2026-09-26T09:17:54.122Z</dcterms:created>
  <dcterms:modified xsi:type="dcterms:W3CDTF">2026-09-26T09:17:54.122Z</dcterms:modified>
</cp:coreProperties>
</file>

<file path=docProps/custom.xml><?xml version="1.0" encoding="utf-8"?>
<Properties xmlns="http://schemas.openxmlformats.org/officeDocument/2006/custom-properties" xmlns:vt="http://schemas.openxmlformats.org/officeDocument/2006/docPropsVTypes"/>
</file>