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C3CCF" w14:textId="77777777" w:rsidR="005B47D0" w:rsidRPr="005B47D0" w:rsidRDefault="005B47D0" w:rsidP="005B47D0">
      <w:pPr>
        <w:rPr>
          <w:b/>
          <w:bCs/>
        </w:rPr>
      </w:pPr>
      <w:r w:rsidRPr="005B47D0">
        <w:rPr>
          <w:b/>
          <w:bCs/>
        </w:rPr>
        <w:t>1. Stock Selection and Feature Engineering</w:t>
      </w:r>
    </w:p>
    <w:p w14:paraId="6255CAF5" w14:textId="77777777" w:rsidR="005B47D0" w:rsidRPr="005B47D0" w:rsidRDefault="005B47D0" w:rsidP="005B47D0">
      <w:pPr>
        <w:numPr>
          <w:ilvl w:val="0"/>
          <w:numId w:val="1"/>
        </w:numPr>
      </w:pPr>
      <w:r w:rsidRPr="005B47D0">
        <w:rPr>
          <w:b/>
          <w:bCs/>
        </w:rPr>
        <w:t>Objective</w:t>
      </w:r>
      <w:r w:rsidRPr="005B47D0">
        <w:t>: Predict next-day returns for each stock using historical price-based indicators.</w:t>
      </w:r>
    </w:p>
    <w:p w14:paraId="1057F94A" w14:textId="77777777" w:rsidR="005B47D0" w:rsidRPr="005B47D0" w:rsidRDefault="005B47D0" w:rsidP="005B47D0">
      <w:pPr>
        <w:numPr>
          <w:ilvl w:val="0"/>
          <w:numId w:val="1"/>
        </w:numPr>
      </w:pPr>
      <w:r w:rsidRPr="005B47D0">
        <w:rPr>
          <w:b/>
          <w:bCs/>
        </w:rPr>
        <w:t>Technical Indicators Used</w:t>
      </w:r>
      <w:r w:rsidRPr="005B47D0">
        <w:t>:</w:t>
      </w:r>
    </w:p>
    <w:p w14:paraId="1A034F05" w14:textId="77777777" w:rsidR="005B47D0" w:rsidRPr="005B47D0" w:rsidRDefault="005B47D0" w:rsidP="005B47D0">
      <w:pPr>
        <w:numPr>
          <w:ilvl w:val="1"/>
          <w:numId w:val="1"/>
        </w:numPr>
      </w:pPr>
      <w:r w:rsidRPr="005B47D0">
        <w:rPr>
          <w:b/>
          <w:bCs/>
        </w:rPr>
        <w:t>SMA (Simple Moving Average)</w:t>
      </w:r>
      <w:r w:rsidRPr="005B47D0">
        <w:t>: Average price over a window (e.g., 20 days).</w:t>
      </w:r>
    </w:p>
    <w:p w14:paraId="0BFB4311" w14:textId="77777777" w:rsidR="005B47D0" w:rsidRPr="005B47D0" w:rsidRDefault="005B47D0" w:rsidP="005B47D0">
      <w:pPr>
        <w:numPr>
          <w:ilvl w:val="1"/>
          <w:numId w:val="1"/>
        </w:numPr>
      </w:pPr>
      <w:r w:rsidRPr="005B47D0">
        <w:rPr>
          <w:b/>
          <w:bCs/>
        </w:rPr>
        <w:t>EMA (Exponential Moving Average)</w:t>
      </w:r>
      <w:r w:rsidRPr="005B47D0">
        <w:t>: Similar to SMA but gives more weight to recent prices.</w:t>
      </w:r>
    </w:p>
    <w:p w14:paraId="4148AB42" w14:textId="77777777" w:rsidR="005B47D0" w:rsidRPr="005B47D0" w:rsidRDefault="005B47D0" w:rsidP="005B47D0">
      <w:pPr>
        <w:numPr>
          <w:ilvl w:val="1"/>
          <w:numId w:val="1"/>
        </w:numPr>
      </w:pPr>
      <w:r w:rsidRPr="005B47D0">
        <w:rPr>
          <w:b/>
          <w:bCs/>
        </w:rPr>
        <w:t>RSI (Relative Strength Index)</w:t>
      </w:r>
      <w:r w:rsidRPr="005B47D0">
        <w:t>: Measures recent gains vs. losses to assess momentum.</w:t>
      </w:r>
    </w:p>
    <w:p w14:paraId="1BDED2C7" w14:textId="77777777" w:rsidR="005B47D0" w:rsidRPr="005B47D0" w:rsidRDefault="005B47D0" w:rsidP="005B47D0">
      <w:pPr>
        <w:numPr>
          <w:ilvl w:val="1"/>
          <w:numId w:val="1"/>
        </w:numPr>
      </w:pPr>
      <w:r w:rsidRPr="005B47D0">
        <w:rPr>
          <w:b/>
          <w:bCs/>
        </w:rPr>
        <w:t>Bollinger Bands (Upper, Middle, Lower)</w:t>
      </w:r>
      <w:r w:rsidRPr="005B47D0">
        <w:t>: Gauge price volatility and identify overbought/oversold conditions.</w:t>
      </w:r>
    </w:p>
    <w:p w14:paraId="4E48E0ED" w14:textId="77777777" w:rsidR="005B47D0" w:rsidRPr="005B47D0" w:rsidRDefault="005B47D0" w:rsidP="005B47D0">
      <w:pPr>
        <w:numPr>
          <w:ilvl w:val="1"/>
          <w:numId w:val="1"/>
        </w:numPr>
      </w:pPr>
      <w:r w:rsidRPr="005B47D0">
        <w:rPr>
          <w:b/>
          <w:bCs/>
        </w:rPr>
        <w:t>MACD (Moving Average Convergence Divergence)</w:t>
      </w:r>
      <w:r w:rsidRPr="005B47D0">
        <w:t xml:space="preserve"> and its </w:t>
      </w:r>
      <w:r w:rsidRPr="005B47D0">
        <w:rPr>
          <w:b/>
          <w:bCs/>
        </w:rPr>
        <w:t>signal/histogram</w:t>
      </w:r>
      <w:r w:rsidRPr="005B47D0">
        <w:t>: Used to capture trend strength and direction.</w:t>
      </w:r>
    </w:p>
    <w:p w14:paraId="5CE9CC9F" w14:textId="77777777" w:rsidR="005B47D0" w:rsidRPr="005B47D0" w:rsidRDefault="005B47D0" w:rsidP="005B47D0">
      <w:pPr>
        <w:rPr>
          <w:b/>
          <w:bCs/>
        </w:rPr>
      </w:pPr>
      <w:r w:rsidRPr="005B47D0">
        <w:rPr>
          <w:b/>
          <w:bCs/>
        </w:rPr>
        <w:t>2. Return Prediction Model</w:t>
      </w:r>
    </w:p>
    <w:p w14:paraId="105BD884" w14:textId="77777777" w:rsidR="005B47D0" w:rsidRPr="005B47D0" w:rsidRDefault="005B47D0" w:rsidP="005B47D0">
      <w:pPr>
        <w:numPr>
          <w:ilvl w:val="0"/>
          <w:numId w:val="2"/>
        </w:numPr>
      </w:pPr>
      <w:r w:rsidRPr="005B47D0">
        <w:rPr>
          <w:b/>
          <w:bCs/>
        </w:rPr>
        <w:t>Model Used</w:t>
      </w:r>
      <w:r w:rsidRPr="005B47D0">
        <w:t>: Feedforward Neural Network (3 layers with dropout).</w:t>
      </w:r>
    </w:p>
    <w:p w14:paraId="2E8DF0E2" w14:textId="77777777" w:rsidR="005B47D0" w:rsidRPr="005B47D0" w:rsidRDefault="005B47D0" w:rsidP="005B47D0">
      <w:pPr>
        <w:numPr>
          <w:ilvl w:val="0"/>
          <w:numId w:val="2"/>
        </w:numPr>
      </w:pPr>
      <w:r w:rsidRPr="005B47D0">
        <w:rPr>
          <w:b/>
          <w:bCs/>
        </w:rPr>
        <w:t>Inputs</w:t>
      </w:r>
      <w:r w:rsidRPr="005B47D0">
        <w:t>: Scaled technical indicators.</w:t>
      </w:r>
    </w:p>
    <w:p w14:paraId="165ED908" w14:textId="77777777" w:rsidR="005B47D0" w:rsidRPr="005B47D0" w:rsidRDefault="005B47D0" w:rsidP="005B47D0">
      <w:pPr>
        <w:numPr>
          <w:ilvl w:val="0"/>
          <w:numId w:val="2"/>
        </w:numPr>
      </w:pPr>
      <w:r w:rsidRPr="005B47D0">
        <w:rPr>
          <w:b/>
          <w:bCs/>
        </w:rPr>
        <w:t>Target</w:t>
      </w:r>
      <w:r w:rsidRPr="005B47D0">
        <w:t>: One-day-ahead percentage return.</w:t>
      </w:r>
    </w:p>
    <w:p w14:paraId="4FB8D3F5" w14:textId="77777777" w:rsidR="005B47D0" w:rsidRPr="005B47D0" w:rsidRDefault="005B47D0" w:rsidP="005B47D0">
      <w:pPr>
        <w:numPr>
          <w:ilvl w:val="0"/>
          <w:numId w:val="2"/>
        </w:numPr>
      </w:pPr>
      <w:r w:rsidRPr="005B47D0">
        <w:rPr>
          <w:b/>
          <w:bCs/>
        </w:rPr>
        <w:t>Training Frequency</w:t>
      </w:r>
      <w:r w:rsidRPr="005B47D0">
        <w:t>: Every year using only past data — ensures realistic, non-biased training.</w:t>
      </w:r>
    </w:p>
    <w:p w14:paraId="00A845DC" w14:textId="77777777" w:rsidR="005B47D0" w:rsidRPr="005B47D0" w:rsidRDefault="005B47D0" w:rsidP="005B47D0">
      <w:pPr>
        <w:numPr>
          <w:ilvl w:val="0"/>
          <w:numId w:val="2"/>
        </w:numPr>
      </w:pPr>
      <w:r w:rsidRPr="005B47D0">
        <w:rPr>
          <w:b/>
          <w:bCs/>
        </w:rPr>
        <w:t>Output</w:t>
      </w:r>
      <w:r w:rsidRPr="005B47D0">
        <w:t>: A predicted return for each stock, used in portfolio optimization.</w:t>
      </w:r>
    </w:p>
    <w:p w14:paraId="528CB2F5" w14:textId="77777777" w:rsidR="005B47D0" w:rsidRPr="005B47D0" w:rsidRDefault="005B47D0" w:rsidP="005B47D0">
      <w:pPr>
        <w:rPr>
          <w:b/>
          <w:bCs/>
        </w:rPr>
      </w:pPr>
      <w:r w:rsidRPr="005B47D0">
        <w:rPr>
          <w:b/>
          <w:bCs/>
        </w:rPr>
        <w:t>3. Portfolio Construction</w:t>
      </w:r>
    </w:p>
    <w:p w14:paraId="7ABA3705" w14:textId="77777777" w:rsidR="005B47D0" w:rsidRPr="005B47D0" w:rsidRDefault="005B47D0" w:rsidP="005B47D0">
      <w:pPr>
        <w:numPr>
          <w:ilvl w:val="0"/>
          <w:numId w:val="3"/>
        </w:numPr>
      </w:pPr>
      <w:r w:rsidRPr="005B47D0">
        <w:rPr>
          <w:b/>
          <w:bCs/>
        </w:rPr>
        <w:t>Expected Return</w:t>
      </w:r>
      <w:r w:rsidRPr="005B47D0">
        <w:t>: Calculated as the average predicted return per stock.</w:t>
      </w:r>
    </w:p>
    <w:p w14:paraId="54DDB433" w14:textId="77777777" w:rsidR="005B47D0" w:rsidRPr="005B47D0" w:rsidRDefault="005B47D0" w:rsidP="005B47D0">
      <w:pPr>
        <w:numPr>
          <w:ilvl w:val="0"/>
          <w:numId w:val="3"/>
        </w:numPr>
      </w:pPr>
      <w:r w:rsidRPr="005B47D0">
        <w:rPr>
          <w:b/>
          <w:bCs/>
        </w:rPr>
        <w:t>Risk Estimation</w:t>
      </w:r>
      <w:r w:rsidRPr="005B47D0">
        <w:t xml:space="preserve">: Based on historical </w:t>
      </w:r>
      <w:r w:rsidRPr="005B47D0">
        <w:rPr>
          <w:b/>
          <w:bCs/>
        </w:rPr>
        <w:t>covariance matrix</w:t>
      </w:r>
      <w:r w:rsidRPr="005B47D0">
        <w:t xml:space="preserve"> of stock returns over the past 252 days.</w:t>
      </w:r>
    </w:p>
    <w:p w14:paraId="5856EC41" w14:textId="77777777" w:rsidR="005B47D0" w:rsidRPr="005B47D0" w:rsidRDefault="005B47D0" w:rsidP="005B47D0">
      <w:pPr>
        <w:numPr>
          <w:ilvl w:val="0"/>
          <w:numId w:val="3"/>
        </w:numPr>
      </w:pPr>
      <w:r w:rsidRPr="005B47D0">
        <w:rPr>
          <w:b/>
          <w:bCs/>
        </w:rPr>
        <w:t>Optimization Objective</w:t>
      </w:r>
      <w:r w:rsidRPr="005B47D0">
        <w:t xml:space="preserve">: Maximize </w:t>
      </w:r>
      <w:r w:rsidRPr="005B47D0">
        <w:rPr>
          <w:b/>
          <w:bCs/>
        </w:rPr>
        <w:t>Sharpe Ratio</w:t>
      </w:r>
      <w:r w:rsidRPr="005B47D0">
        <w:t>, which balances return against risk.</w:t>
      </w:r>
    </w:p>
    <w:p w14:paraId="19B270C0" w14:textId="77777777" w:rsidR="005B47D0" w:rsidRPr="005B47D0" w:rsidRDefault="005B47D0" w:rsidP="005B47D0">
      <w:pPr>
        <w:numPr>
          <w:ilvl w:val="0"/>
          <w:numId w:val="3"/>
        </w:numPr>
      </w:pPr>
      <w:r w:rsidRPr="005B47D0">
        <w:rPr>
          <w:b/>
          <w:bCs/>
        </w:rPr>
        <w:t>Constraints</w:t>
      </w:r>
      <w:r w:rsidRPr="005B47D0">
        <w:t>:</w:t>
      </w:r>
    </w:p>
    <w:p w14:paraId="6D9C483E" w14:textId="77777777" w:rsidR="005B47D0" w:rsidRPr="005B47D0" w:rsidRDefault="005B47D0" w:rsidP="005B47D0">
      <w:pPr>
        <w:numPr>
          <w:ilvl w:val="1"/>
          <w:numId w:val="3"/>
        </w:numPr>
      </w:pPr>
      <w:r w:rsidRPr="005B47D0">
        <w:t>Total weights must sum to 1 (fully invested).</w:t>
      </w:r>
    </w:p>
    <w:p w14:paraId="1F8C7234" w14:textId="77777777" w:rsidR="005B47D0" w:rsidRPr="005B47D0" w:rsidRDefault="005B47D0" w:rsidP="005B47D0">
      <w:pPr>
        <w:numPr>
          <w:ilvl w:val="1"/>
          <w:numId w:val="3"/>
        </w:numPr>
      </w:pPr>
      <w:r w:rsidRPr="005B47D0">
        <w:t>Maximum stock weight capped at 20% to reduce concentration risk.</w:t>
      </w:r>
    </w:p>
    <w:p w14:paraId="6A05FC25" w14:textId="77777777" w:rsidR="005B47D0" w:rsidRPr="005B47D0" w:rsidRDefault="005B47D0" w:rsidP="005B47D0">
      <w:r w:rsidRPr="005B47D0">
        <w:pict w14:anchorId="2F48894E">
          <v:rect id="_x0000_i1037" style="width:0;height:1.5pt" o:hralign="center" o:hrstd="t" o:hr="t" fillcolor="#a0a0a0" stroked="f"/>
        </w:pict>
      </w:r>
    </w:p>
    <w:p w14:paraId="02A70DAF" w14:textId="448E892A" w:rsidR="005B47D0" w:rsidRPr="005B47D0" w:rsidRDefault="005B47D0" w:rsidP="005B47D0">
      <w:pPr>
        <w:rPr>
          <w:b/>
          <w:bCs/>
        </w:rPr>
      </w:pPr>
      <w:r>
        <w:rPr>
          <w:b/>
          <w:bCs/>
        </w:rPr>
        <w:lastRenderedPageBreak/>
        <w:t xml:space="preserve">4. </w:t>
      </w:r>
      <w:r w:rsidRPr="005B47D0">
        <w:rPr>
          <w:b/>
          <w:bCs/>
        </w:rPr>
        <w:t>Risk Management</w:t>
      </w:r>
    </w:p>
    <w:p w14:paraId="5DC497D0" w14:textId="77777777" w:rsidR="005B47D0" w:rsidRPr="005B47D0" w:rsidRDefault="005B47D0" w:rsidP="005B47D0">
      <w:pPr>
        <w:rPr>
          <w:b/>
          <w:bCs/>
        </w:rPr>
      </w:pPr>
      <w:r w:rsidRPr="005B47D0">
        <w:rPr>
          <w:b/>
          <w:bCs/>
        </w:rPr>
        <w:t>Key Techniques:</w:t>
      </w:r>
    </w:p>
    <w:p w14:paraId="5A00EAF8" w14:textId="77777777" w:rsidR="005B47D0" w:rsidRPr="005B47D0" w:rsidRDefault="005B47D0" w:rsidP="005B47D0">
      <w:pPr>
        <w:numPr>
          <w:ilvl w:val="0"/>
          <w:numId w:val="4"/>
        </w:numPr>
      </w:pPr>
      <w:r w:rsidRPr="005B47D0">
        <w:rPr>
          <w:b/>
          <w:bCs/>
        </w:rPr>
        <w:t>Weight Truncation</w:t>
      </w:r>
      <w:r w:rsidRPr="005B47D0">
        <w:t>: Limits any one stock’s weight to 20%, encouraging diversification.</w:t>
      </w:r>
    </w:p>
    <w:p w14:paraId="704305DB" w14:textId="77777777" w:rsidR="005B47D0" w:rsidRPr="005B47D0" w:rsidRDefault="005B47D0" w:rsidP="005B47D0">
      <w:pPr>
        <w:numPr>
          <w:ilvl w:val="0"/>
          <w:numId w:val="4"/>
        </w:numPr>
      </w:pPr>
      <w:r w:rsidRPr="005B47D0">
        <w:rPr>
          <w:b/>
          <w:bCs/>
        </w:rPr>
        <w:t>Rebalancing Frequency</w:t>
      </w:r>
      <w:r w:rsidRPr="005B47D0">
        <w:t>: Annual rebalancing minimizes overfitting and transaction costs.</w:t>
      </w:r>
    </w:p>
    <w:p w14:paraId="564493A0" w14:textId="77777777" w:rsidR="005B47D0" w:rsidRPr="005B47D0" w:rsidRDefault="005B47D0" w:rsidP="005B47D0">
      <w:pPr>
        <w:numPr>
          <w:ilvl w:val="0"/>
          <w:numId w:val="4"/>
        </w:numPr>
      </w:pPr>
      <w:r w:rsidRPr="005B47D0">
        <w:rPr>
          <w:b/>
          <w:bCs/>
        </w:rPr>
        <w:t xml:space="preserve">Volatility </w:t>
      </w:r>
      <w:proofErr w:type="spellStart"/>
      <w:r w:rsidRPr="005B47D0">
        <w:rPr>
          <w:b/>
          <w:bCs/>
        </w:rPr>
        <w:t>Modeling</w:t>
      </w:r>
      <w:proofErr w:type="spellEnd"/>
      <w:r w:rsidRPr="005B47D0">
        <w:t>: Uses historical return data to account for risk via the covariance matrix.</w:t>
      </w:r>
    </w:p>
    <w:p w14:paraId="1FE03EB6" w14:textId="77777777" w:rsidR="005B47D0" w:rsidRPr="005B47D0" w:rsidRDefault="005B47D0" w:rsidP="005B47D0">
      <w:pPr>
        <w:numPr>
          <w:ilvl w:val="0"/>
          <w:numId w:val="4"/>
        </w:numPr>
      </w:pPr>
      <w:r w:rsidRPr="005B47D0">
        <w:rPr>
          <w:b/>
          <w:bCs/>
        </w:rPr>
        <w:t>Transaction Costs</w:t>
      </w:r>
      <w:r w:rsidRPr="005B47D0">
        <w:t>: A 0.1% cost is factored in for every rebalance, simulating real-world frictions.</w:t>
      </w:r>
    </w:p>
    <w:p w14:paraId="78D2A0EF" w14:textId="77777777" w:rsidR="005B47D0" w:rsidRPr="005B47D0" w:rsidRDefault="005B47D0" w:rsidP="005B47D0">
      <w:pPr>
        <w:numPr>
          <w:ilvl w:val="0"/>
          <w:numId w:val="4"/>
        </w:numPr>
      </w:pPr>
      <w:r w:rsidRPr="005B47D0">
        <w:rPr>
          <w:b/>
          <w:bCs/>
        </w:rPr>
        <w:t>Drawdown Analysis</w:t>
      </w:r>
      <w:r w:rsidRPr="005B47D0">
        <w:t>:</w:t>
      </w:r>
    </w:p>
    <w:p w14:paraId="4374E257" w14:textId="77777777" w:rsidR="005B47D0" w:rsidRPr="005B47D0" w:rsidRDefault="005B47D0" w:rsidP="005B47D0">
      <w:pPr>
        <w:numPr>
          <w:ilvl w:val="1"/>
          <w:numId w:val="4"/>
        </w:numPr>
      </w:pPr>
      <w:r w:rsidRPr="005B47D0">
        <w:rPr>
          <w:b/>
          <w:bCs/>
        </w:rPr>
        <w:t>Drawdown</w:t>
      </w:r>
      <w:r w:rsidRPr="005B47D0">
        <w:t>: Measures how much the portfolio falls from its peak.</w:t>
      </w:r>
    </w:p>
    <w:p w14:paraId="761C04A2" w14:textId="77777777" w:rsidR="005B47D0" w:rsidRPr="005B47D0" w:rsidRDefault="005B47D0" w:rsidP="005B47D0">
      <w:pPr>
        <w:numPr>
          <w:ilvl w:val="1"/>
          <w:numId w:val="4"/>
        </w:numPr>
      </w:pPr>
      <w:r w:rsidRPr="005B47D0">
        <w:rPr>
          <w:b/>
          <w:bCs/>
        </w:rPr>
        <w:t>Max Drawdown</w:t>
      </w:r>
      <w:r w:rsidRPr="005B47D0">
        <w:t>: Largest observed drawdown; helps assess worst-case loss.</w:t>
      </w:r>
    </w:p>
    <w:p w14:paraId="2BEAC3AC" w14:textId="77777777" w:rsidR="005B47D0" w:rsidRPr="005B47D0" w:rsidRDefault="005B47D0" w:rsidP="005B47D0">
      <w:r w:rsidRPr="005B47D0">
        <w:pict w14:anchorId="0CC852C6">
          <v:rect id="_x0000_i1038" style="width:0;height:1.5pt" o:hralign="center" o:hrstd="t" o:hr="t" fillcolor="#a0a0a0" stroked="f"/>
        </w:pict>
      </w:r>
    </w:p>
    <w:p w14:paraId="68616B08" w14:textId="351CCAE0" w:rsidR="005B47D0" w:rsidRPr="005B47D0" w:rsidRDefault="005B47D0" w:rsidP="005B47D0">
      <w:pPr>
        <w:rPr>
          <w:b/>
          <w:bCs/>
        </w:rPr>
      </w:pPr>
      <w:r>
        <w:rPr>
          <w:b/>
          <w:bCs/>
        </w:rPr>
        <w:t xml:space="preserve">5. </w:t>
      </w:r>
      <w:proofErr w:type="spellStart"/>
      <w:r w:rsidRPr="005B47D0">
        <w:rPr>
          <w:b/>
          <w:bCs/>
        </w:rPr>
        <w:t>Backtesting</w:t>
      </w:r>
      <w:proofErr w:type="spellEnd"/>
      <w:r w:rsidRPr="005B47D0">
        <w:rPr>
          <w:b/>
          <w:bCs/>
        </w:rPr>
        <w:t xml:space="preserve"> and Evaluation</w:t>
      </w:r>
    </w:p>
    <w:p w14:paraId="7C541208" w14:textId="77777777" w:rsidR="005B47D0" w:rsidRPr="005B47D0" w:rsidRDefault="005B47D0" w:rsidP="005B47D0">
      <w:pPr>
        <w:rPr>
          <w:b/>
          <w:bCs/>
        </w:rPr>
      </w:pPr>
      <w:r w:rsidRPr="005B47D0">
        <w:rPr>
          <w:b/>
          <w:bCs/>
        </w:rPr>
        <w:t>Approach:</w:t>
      </w:r>
    </w:p>
    <w:p w14:paraId="4044ADF9" w14:textId="77777777" w:rsidR="005B47D0" w:rsidRPr="005B47D0" w:rsidRDefault="005B47D0" w:rsidP="005B47D0">
      <w:pPr>
        <w:numPr>
          <w:ilvl w:val="0"/>
          <w:numId w:val="5"/>
        </w:numPr>
      </w:pPr>
      <w:proofErr w:type="spellStart"/>
      <w:r w:rsidRPr="005B47D0">
        <w:rPr>
          <w:b/>
          <w:bCs/>
        </w:rPr>
        <w:t>Backtest</w:t>
      </w:r>
      <w:proofErr w:type="spellEnd"/>
      <w:r w:rsidRPr="005B47D0">
        <w:rPr>
          <w:b/>
          <w:bCs/>
        </w:rPr>
        <w:t xml:space="preserve"> Period</w:t>
      </w:r>
      <w:r w:rsidRPr="005B47D0">
        <w:t>: 2020 to 2024.</w:t>
      </w:r>
    </w:p>
    <w:p w14:paraId="25D3070B" w14:textId="77777777" w:rsidR="005B47D0" w:rsidRPr="005B47D0" w:rsidRDefault="005B47D0" w:rsidP="005B47D0">
      <w:pPr>
        <w:numPr>
          <w:ilvl w:val="0"/>
          <w:numId w:val="5"/>
        </w:numPr>
      </w:pPr>
      <w:r w:rsidRPr="005B47D0">
        <w:rPr>
          <w:b/>
          <w:bCs/>
        </w:rPr>
        <w:t>Lookback Window</w:t>
      </w:r>
      <w:r w:rsidRPr="005B47D0">
        <w:t>: 252 trading days (~1 year) of historical data used to compute volatility.</w:t>
      </w:r>
    </w:p>
    <w:p w14:paraId="2BC205D1" w14:textId="77777777" w:rsidR="005B47D0" w:rsidRPr="005B47D0" w:rsidRDefault="005B47D0" w:rsidP="005B47D0">
      <w:pPr>
        <w:numPr>
          <w:ilvl w:val="0"/>
          <w:numId w:val="5"/>
        </w:numPr>
      </w:pPr>
      <w:r w:rsidRPr="005B47D0">
        <w:rPr>
          <w:b/>
          <w:bCs/>
        </w:rPr>
        <w:t>Evaluation Method</w:t>
      </w:r>
      <w:r w:rsidRPr="005B47D0">
        <w:t>:</w:t>
      </w:r>
    </w:p>
    <w:p w14:paraId="4D65EE14" w14:textId="77777777" w:rsidR="005B47D0" w:rsidRPr="005B47D0" w:rsidRDefault="005B47D0" w:rsidP="005B47D0">
      <w:pPr>
        <w:numPr>
          <w:ilvl w:val="1"/>
          <w:numId w:val="5"/>
        </w:numPr>
      </w:pPr>
      <w:r w:rsidRPr="005B47D0">
        <w:t>Train model on pre-2020 data.</w:t>
      </w:r>
    </w:p>
    <w:p w14:paraId="5A6B5639" w14:textId="77777777" w:rsidR="005B47D0" w:rsidRPr="005B47D0" w:rsidRDefault="005B47D0" w:rsidP="005B47D0">
      <w:pPr>
        <w:numPr>
          <w:ilvl w:val="1"/>
          <w:numId w:val="5"/>
        </w:numPr>
      </w:pPr>
      <w:r w:rsidRPr="005B47D0">
        <w:t>Predict returns and optimize the portfolio each year.</w:t>
      </w:r>
    </w:p>
    <w:p w14:paraId="62D7A431" w14:textId="77777777" w:rsidR="005B47D0" w:rsidRPr="005B47D0" w:rsidRDefault="005B47D0" w:rsidP="005B47D0">
      <w:pPr>
        <w:numPr>
          <w:ilvl w:val="1"/>
          <w:numId w:val="5"/>
        </w:numPr>
      </w:pPr>
      <w:r w:rsidRPr="005B47D0">
        <w:t>Track how the portfolio performs over the next year.</w:t>
      </w:r>
    </w:p>
    <w:p w14:paraId="05C2E3B1" w14:textId="77777777" w:rsidR="005B47D0" w:rsidRPr="005B47D0" w:rsidRDefault="005B47D0" w:rsidP="005B47D0">
      <w:pPr>
        <w:rPr>
          <w:b/>
          <w:bCs/>
        </w:rPr>
      </w:pPr>
      <w:r w:rsidRPr="005B47D0">
        <w:rPr>
          <w:b/>
          <w:bCs/>
        </w:rPr>
        <w:t>Performance Metrics:</w:t>
      </w:r>
    </w:p>
    <w:p w14:paraId="20A5A264" w14:textId="77777777" w:rsidR="005B47D0" w:rsidRPr="005B47D0" w:rsidRDefault="005B47D0" w:rsidP="005B47D0">
      <w:pPr>
        <w:numPr>
          <w:ilvl w:val="0"/>
          <w:numId w:val="6"/>
        </w:numPr>
      </w:pPr>
      <w:r w:rsidRPr="005B47D0">
        <w:rPr>
          <w:b/>
          <w:bCs/>
        </w:rPr>
        <w:t>Mean Squared Error (MSE)</w:t>
      </w:r>
      <w:r w:rsidRPr="005B47D0">
        <w:t>: Measures how far the model’s predictions are from actual returns. Lower is better.</w:t>
      </w:r>
    </w:p>
    <w:p w14:paraId="0D53ACCC" w14:textId="77777777" w:rsidR="005B47D0" w:rsidRPr="005B47D0" w:rsidRDefault="005B47D0" w:rsidP="005B47D0">
      <w:pPr>
        <w:numPr>
          <w:ilvl w:val="0"/>
          <w:numId w:val="6"/>
        </w:numPr>
      </w:pPr>
      <w:r w:rsidRPr="005B47D0">
        <w:rPr>
          <w:b/>
          <w:bCs/>
        </w:rPr>
        <w:t>R² (R-squared)</w:t>
      </w:r>
      <w:r w:rsidRPr="005B47D0">
        <w:t>: Indicates how much variance in returns the model explains. Closer to 1 is better.</w:t>
      </w:r>
    </w:p>
    <w:p w14:paraId="5E18D91C" w14:textId="77777777" w:rsidR="005B47D0" w:rsidRPr="005B47D0" w:rsidRDefault="005B47D0" w:rsidP="005B47D0">
      <w:pPr>
        <w:numPr>
          <w:ilvl w:val="0"/>
          <w:numId w:val="6"/>
        </w:numPr>
      </w:pPr>
      <w:r w:rsidRPr="005B47D0">
        <w:rPr>
          <w:b/>
          <w:bCs/>
        </w:rPr>
        <w:t>Cumulative Returns</w:t>
      </w:r>
      <w:r w:rsidRPr="005B47D0">
        <w:t>: Tracks total growth of portfolio over time.</w:t>
      </w:r>
    </w:p>
    <w:p w14:paraId="7A4E008D" w14:textId="77777777" w:rsidR="005B47D0" w:rsidRPr="005B47D0" w:rsidRDefault="005B47D0" w:rsidP="005B47D0">
      <w:pPr>
        <w:numPr>
          <w:ilvl w:val="0"/>
          <w:numId w:val="6"/>
        </w:numPr>
      </w:pPr>
      <w:r w:rsidRPr="005B47D0">
        <w:rPr>
          <w:b/>
          <w:bCs/>
        </w:rPr>
        <w:lastRenderedPageBreak/>
        <w:t>Annualized Return</w:t>
      </w:r>
      <w:r w:rsidRPr="005B47D0">
        <w:t>: Compounded yearly growth of portfolio.</w:t>
      </w:r>
    </w:p>
    <w:p w14:paraId="1D782B51" w14:textId="77777777" w:rsidR="005B47D0" w:rsidRPr="005B47D0" w:rsidRDefault="005B47D0" w:rsidP="005B47D0">
      <w:pPr>
        <w:numPr>
          <w:ilvl w:val="0"/>
          <w:numId w:val="6"/>
        </w:numPr>
      </w:pPr>
      <w:r w:rsidRPr="005B47D0">
        <w:rPr>
          <w:b/>
          <w:bCs/>
        </w:rPr>
        <w:t>Annualized Volatility</w:t>
      </w:r>
      <w:r w:rsidRPr="005B47D0">
        <w:t>: Standard deviation of returns scaled to a yearly basis.</w:t>
      </w:r>
    </w:p>
    <w:p w14:paraId="26229346" w14:textId="77777777" w:rsidR="005B47D0" w:rsidRPr="005B47D0" w:rsidRDefault="005B47D0" w:rsidP="005B47D0">
      <w:pPr>
        <w:numPr>
          <w:ilvl w:val="0"/>
          <w:numId w:val="6"/>
        </w:numPr>
      </w:pPr>
      <w:r w:rsidRPr="005B47D0">
        <w:rPr>
          <w:b/>
          <w:bCs/>
        </w:rPr>
        <w:t>Sharpe Ratio</w:t>
      </w:r>
      <w:r w:rsidRPr="005B47D0">
        <w:t>: (Portfolio return - Risk-free rate) / Volatility — measures return per unit of risk.</w:t>
      </w:r>
    </w:p>
    <w:p w14:paraId="1778BDE6" w14:textId="77777777" w:rsidR="005B47D0" w:rsidRPr="005B47D0" w:rsidRDefault="005B47D0" w:rsidP="005B47D0">
      <w:pPr>
        <w:numPr>
          <w:ilvl w:val="0"/>
          <w:numId w:val="6"/>
        </w:numPr>
      </w:pPr>
      <w:r w:rsidRPr="005B47D0">
        <w:rPr>
          <w:b/>
          <w:bCs/>
        </w:rPr>
        <w:t>Maximum Drawdown</w:t>
      </w:r>
      <w:r w:rsidRPr="005B47D0">
        <w:t>: Largest drop from a historical peak to a trough — indicates downside risk.</w:t>
      </w:r>
    </w:p>
    <w:p w14:paraId="00E5C4A3" w14:textId="7A1A07F8" w:rsidR="00FD148C" w:rsidRDefault="00AC7EE1">
      <w:r>
        <w:t>Explanation of the Cumulative returns vs Drawdown graph</w:t>
      </w:r>
      <w:r>
        <w:rPr>
          <w:noProof/>
        </w:rPr>
        <w:drawing>
          <wp:inline distT="0" distB="0" distL="0" distR="0" wp14:anchorId="7D609251" wp14:editId="5B9536B3">
            <wp:extent cx="5731510" cy="3234055"/>
            <wp:effectExtent l="0" t="0" r="2540" b="4445"/>
            <wp:docPr id="71665264"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ploa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7689F950" w14:textId="77777777" w:rsidR="007B4A44" w:rsidRPr="007B4A44" w:rsidRDefault="007B4A44" w:rsidP="007B4A44">
      <w:pPr>
        <w:rPr>
          <w:b/>
          <w:bCs/>
        </w:rPr>
      </w:pPr>
      <w:r w:rsidRPr="007B4A44">
        <w:rPr>
          <w:b/>
          <w:bCs/>
        </w:rPr>
        <w:t>Overview:</w:t>
      </w:r>
    </w:p>
    <w:p w14:paraId="262E5D96" w14:textId="77777777" w:rsidR="007B4A44" w:rsidRPr="007B4A44" w:rsidRDefault="007B4A44" w:rsidP="007B4A44">
      <w:r w:rsidRPr="007B4A44">
        <w:t xml:space="preserve">This graph visualizes the performance of the neural network-based portfolio strategy over the </w:t>
      </w:r>
      <w:proofErr w:type="spellStart"/>
      <w:r w:rsidRPr="007B4A44">
        <w:t>backtesting</w:t>
      </w:r>
      <w:proofErr w:type="spellEnd"/>
      <w:r w:rsidRPr="007B4A44">
        <w:t xml:space="preserve"> period (</w:t>
      </w:r>
      <w:r w:rsidRPr="007B4A44">
        <w:rPr>
          <w:b/>
          <w:bCs/>
        </w:rPr>
        <w:t>2020 to 2024</w:t>
      </w:r>
      <w:r w:rsidRPr="007B4A44">
        <w:t xml:space="preserve">). It presents both the </w:t>
      </w:r>
      <w:r w:rsidRPr="007B4A44">
        <w:rPr>
          <w:b/>
          <w:bCs/>
        </w:rPr>
        <w:t>cumulative return</w:t>
      </w:r>
      <w:r w:rsidRPr="007B4A44">
        <w:t xml:space="preserve"> of the portfolio and the corresponding </w:t>
      </w:r>
      <w:r w:rsidRPr="007B4A44">
        <w:rPr>
          <w:b/>
          <w:bCs/>
        </w:rPr>
        <w:t>drawdowns</w:t>
      </w:r>
      <w:r w:rsidRPr="007B4A44">
        <w:t>.</w:t>
      </w:r>
    </w:p>
    <w:p w14:paraId="5BC91024" w14:textId="77777777" w:rsidR="007B4A44" w:rsidRPr="007B4A44" w:rsidRDefault="007B4A44" w:rsidP="007B4A44">
      <w:r w:rsidRPr="007B4A44">
        <w:pict w14:anchorId="111FB9B8">
          <v:rect id="_x0000_i1061" style="width:0;height:1.5pt" o:hralign="center" o:hrstd="t" o:hr="t" fillcolor="#a0a0a0" stroked="f"/>
        </w:pict>
      </w:r>
    </w:p>
    <w:p w14:paraId="4B7D2E50" w14:textId="77777777" w:rsidR="007B4A44" w:rsidRPr="007B4A44" w:rsidRDefault="007B4A44" w:rsidP="007B4A44">
      <w:pPr>
        <w:rPr>
          <w:b/>
          <w:bCs/>
        </w:rPr>
      </w:pPr>
      <w:r w:rsidRPr="007B4A44">
        <w:rPr>
          <w:b/>
          <w:bCs/>
        </w:rPr>
        <w:t>Key Elements:</w:t>
      </w:r>
    </w:p>
    <w:p w14:paraId="1C6688DC" w14:textId="77777777" w:rsidR="007B4A44" w:rsidRPr="007B4A44" w:rsidRDefault="007B4A44" w:rsidP="007B4A44">
      <w:pPr>
        <w:numPr>
          <w:ilvl w:val="0"/>
          <w:numId w:val="7"/>
        </w:numPr>
      </w:pPr>
      <w:r w:rsidRPr="007B4A44">
        <w:rPr>
          <w:b/>
          <w:bCs/>
        </w:rPr>
        <w:t>Green Line – Cumulative Return</w:t>
      </w:r>
      <w:r w:rsidRPr="007B4A44">
        <w:t>:</w:t>
      </w:r>
    </w:p>
    <w:p w14:paraId="249D1293" w14:textId="77777777" w:rsidR="007B4A44" w:rsidRPr="007B4A44" w:rsidRDefault="007B4A44" w:rsidP="007B4A44">
      <w:pPr>
        <w:numPr>
          <w:ilvl w:val="1"/>
          <w:numId w:val="7"/>
        </w:numPr>
      </w:pPr>
      <w:r w:rsidRPr="007B4A44">
        <w:t xml:space="preserve">Represents the </w:t>
      </w:r>
      <w:r w:rsidRPr="007B4A44">
        <w:rPr>
          <w:b/>
          <w:bCs/>
        </w:rPr>
        <w:t>total growth</w:t>
      </w:r>
      <w:r w:rsidRPr="007B4A44">
        <w:t xml:space="preserve"> of the portfolio if an investor had followed the strategy from the start of 2020.</w:t>
      </w:r>
    </w:p>
    <w:p w14:paraId="38DE6326" w14:textId="77777777" w:rsidR="007B4A44" w:rsidRPr="007B4A44" w:rsidRDefault="007B4A44" w:rsidP="007B4A44">
      <w:pPr>
        <w:numPr>
          <w:ilvl w:val="1"/>
          <w:numId w:val="7"/>
        </w:numPr>
      </w:pPr>
      <w:r w:rsidRPr="007B4A44">
        <w:t xml:space="preserve">A value of 5.0 at the end of the period means the portfolio has grown by </w:t>
      </w:r>
      <w:r w:rsidRPr="007B4A44">
        <w:rPr>
          <w:b/>
          <w:bCs/>
        </w:rPr>
        <w:t>400%</w:t>
      </w:r>
      <w:r w:rsidRPr="007B4A44">
        <w:t xml:space="preserve"> (i.e., 5× the initial investment).</w:t>
      </w:r>
    </w:p>
    <w:p w14:paraId="468E892A" w14:textId="77777777" w:rsidR="007B4A44" w:rsidRPr="007B4A44" w:rsidRDefault="007B4A44" w:rsidP="007B4A44">
      <w:pPr>
        <w:numPr>
          <w:ilvl w:val="0"/>
          <w:numId w:val="7"/>
        </w:numPr>
      </w:pPr>
      <w:r w:rsidRPr="007B4A44">
        <w:rPr>
          <w:b/>
          <w:bCs/>
        </w:rPr>
        <w:t>Red Shaded Area – Drawdown</w:t>
      </w:r>
      <w:r w:rsidRPr="007B4A44">
        <w:t>:</w:t>
      </w:r>
    </w:p>
    <w:p w14:paraId="6530DA5C" w14:textId="77777777" w:rsidR="007B4A44" w:rsidRPr="007B4A44" w:rsidRDefault="007B4A44" w:rsidP="007B4A44">
      <w:pPr>
        <w:numPr>
          <w:ilvl w:val="1"/>
          <w:numId w:val="7"/>
        </w:numPr>
      </w:pPr>
      <w:r w:rsidRPr="007B4A44">
        <w:lastRenderedPageBreak/>
        <w:t xml:space="preserve">Highlights the </w:t>
      </w:r>
      <w:r w:rsidRPr="007B4A44">
        <w:rPr>
          <w:b/>
          <w:bCs/>
        </w:rPr>
        <w:t>percentage drop</w:t>
      </w:r>
      <w:r w:rsidRPr="007B4A44">
        <w:t xml:space="preserve"> from the peak value of the portfolio at any point in time.</w:t>
      </w:r>
    </w:p>
    <w:p w14:paraId="1E35EDEA" w14:textId="77777777" w:rsidR="007B4A44" w:rsidRPr="007B4A44" w:rsidRDefault="007B4A44" w:rsidP="007B4A44">
      <w:pPr>
        <w:numPr>
          <w:ilvl w:val="1"/>
          <w:numId w:val="7"/>
        </w:numPr>
      </w:pPr>
      <w:r w:rsidRPr="007B4A44">
        <w:t xml:space="preserve">The deeper and wider the red area, the more </w:t>
      </w:r>
      <w:r w:rsidRPr="007B4A44">
        <w:rPr>
          <w:b/>
          <w:bCs/>
        </w:rPr>
        <w:t>severe and prolonged</w:t>
      </w:r>
      <w:r w:rsidRPr="007B4A44">
        <w:t xml:space="preserve"> the loss period.</w:t>
      </w:r>
    </w:p>
    <w:p w14:paraId="15F4F277" w14:textId="77777777" w:rsidR="007B4A44" w:rsidRPr="007B4A44" w:rsidRDefault="007B4A44" w:rsidP="007B4A44">
      <w:pPr>
        <w:numPr>
          <w:ilvl w:val="1"/>
          <w:numId w:val="7"/>
        </w:numPr>
      </w:pPr>
      <w:r w:rsidRPr="007B4A44">
        <w:t>This is a key risk metric showing how much the portfolio declined before recovering.</w:t>
      </w:r>
    </w:p>
    <w:p w14:paraId="71068B81" w14:textId="77777777" w:rsidR="007B4A44" w:rsidRPr="007B4A44" w:rsidRDefault="007B4A44" w:rsidP="007B4A44">
      <w:r w:rsidRPr="007B4A44">
        <w:pict w14:anchorId="09249087">
          <v:rect id="_x0000_i1062" style="width:0;height:1.5pt" o:hralign="center" o:hrstd="t" o:hr="t" fillcolor="#a0a0a0" stroked="f"/>
        </w:pict>
      </w:r>
    </w:p>
    <w:p w14:paraId="2322D09F" w14:textId="77777777" w:rsidR="007B4A44" w:rsidRPr="007B4A44" w:rsidRDefault="007B4A44" w:rsidP="007B4A44">
      <w:pPr>
        <w:rPr>
          <w:b/>
          <w:bCs/>
        </w:rPr>
      </w:pPr>
      <w:r w:rsidRPr="007B4A44">
        <w:rPr>
          <w:b/>
          <w:bCs/>
        </w:rPr>
        <w:t>Interpretation:</w:t>
      </w:r>
    </w:p>
    <w:p w14:paraId="09AA27E0" w14:textId="77777777" w:rsidR="007B4A44" w:rsidRPr="007B4A44" w:rsidRDefault="007B4A44" w:rsidP="007B4A44">
      <w:pPr>
        <w:numPr>
          <w:ilvl w:val="0"/>
          <w:numId w:val="8"/>
        </w:numPr>
      </w:pPr>
      <w:r w:rsidRPr="007B4A44">
        <w:t xml:space="preserve">From </w:t>
      </w:r>
      <w:r w:rsidRPr="007B4A44">
        <w:rPr>
          <w:b/>
          <w:bCs/>
        </w:rPr>
        <w:t>early 2020 to late 2021</w:t>
      </w:r>
      <w:r w:rsidRPr="007B4A44">
        <w:t xml:space="preserve">, the strategy shows a </w:t>
      </w:r>
      <w:r w:rsidRPr="007B4A44">
        <w:rPr>
          <w:b/>
          <w:bCs/>
        </w:rPr>
        <w:t>steady upward trend</w:t>
      </w:r>
      <w:r w:rsidRPr="007B4A44">
        <w:t>, reflecting strong model performance.</w:t>
      </w:r>
    </w:p>
    <w:p w14:paraId="5FC8741F" w14:textId="77777777" w:rsidR="007B4A44" w:rsidRPr="007B4A44" w:rsidRDefault="007B4A44" w:rsidP="007B4A44">
      <w:pPr>
        <w:numPr>
          <w:ilvl w:val="0"/>
          <w:numId w:val="8"/>
        </w:numPr>
      </w:pPr>
      <w:r w:rsidRPr="007B4A44">
        <w:t xml:space="preserve">Between </w:t>
      </w:r>
      <w:r w:rsidRPr="007B4A44">
        <w:rPr>
          <w:b/>
          <w:bCs/>
        </w:rPr>
        <w:t>early 2022 and early 2023</w:t>
      </w:r>
      <w:r w:rsidRPr="007B4A44">
        <w:t xml:space="preserve">, there is a </w:t>
      </w:r>
      <w:r w:rsidRPr="007B4A44">
        <w:rPr>
          <w:b/>
          <w:bCs/>
        </w:rPr>
        <w:t>significant drawdown</w:t>
      </w:r>
      <w:r w:rsidRPr="007B4A44">
        <w:t xml:space="preserve"> — the portfolio experienced a major decline, illustrating market risk or model underperformance during that period.</w:t>
      </w:r>
    </w:p>
    <w:p w14:paraId="281BA87F" w14:textId="77777777" w:rsidR="007B4A44" w:rsidRPr="007B4A44" w:rsidRDefault="007B4A44" w:rsidP="007B4A44">
      <w:pPr>
        <w:numPr>
          <w:ilvl w:val="0"/>
          <w:numId w:val="8"/>
        </w:numPr>
      </w:pPr>
      <w:r w:rsidRPr="007B4A44">
        <w:t xml:space="preserve">In </w:t>
      </w:r>
      <w:r w:rsidRPr="007B4A44">
        <w:rPr>
          <w:b/>
          <w:bCs/>
        </w:rPr>
        <w:t>2023</w:t>
      </w:r>
      <w:r w:rsidRPr="007B4A44">
        <w:t xml:space="preserve">, the strategy </w:t>
      </w:r>
      <w:r w:rsidRPr="007B4A44">
        <w:rPr>
          <w:b/>
          <w:bCs/>
        </w:rPr>
        <w:t>recovers strongly</w:t>
      </w:r>
      <w:r w:rsidRPr="007B4A44">
        <w:t>, reaching new highs by the end of 2023.</w:t>
      </w:r>
    </w:p>
    <w:p w14:paraId="481BE4CE" w14:textId="77777777" w:rsidR="007B4A44" w:rsidRPr="007B4A44" w:rsidRDefault="007B4A44" w:rsidP="007B4A44">
      <w:pPr>
        <w:numPr>
          <w:ilvl w:val="0"/>
          <w:numId w:val="8"/>
        </w:numPr>
      </w:pPr>
      <w:r w:rsidRPr="007B4A44">
        <w:t xml:space="preserve">Overall, despite temporary losses, the strategy achieved a </w:t>
      </w:r>
      <w:r w:rsidRPr="007B4A44">
        <w:rPr>
          <w:b/>
          <w:bCs/>
        </w:rPr>
        <w:t>high cumulative return</w:t>
      </w:r>
      <w:r w:rsidRPr="007B4A44">
        <w:t xml:space="preserve"> with eventual recovery, showcasing both its </w:t>
      </w:r>
      <w:r w:rsidRPr="007B4A44">
        <w:rPr>
          <w:b/>
          <w:bCs/>
        </w:rPr>
        <w:t>return potential</w:t>
      </w:r>
      <w:r w:rsidRPr="007B4A44">
        <w:t xml:space="preserve"> and </w:t>
      </w:r>
      <w:r w:rsidRPr="007B4A44">
        <w:rPr>
          <w:b/>
          <w:bCs/>
        </w:rPr>
        <w:t>resilience</w:t>
      </w:r>
      <w:r w:rsidRPr="007B4A44">
        <w:t>.</w:t>
      </w:r>
    </w:p>
    <w:p w14:paraId="7125966A" w14:textId="77777777" w:rsidR="007B4A44" w:rsidRPr="007B4A44" w:rsidRDefault="007B4A44" w:rsidP="007B4A44">
      <w:r w:rsidRPr="007B4A44">
        <w:pict w14:anchorId="5AC945DC">
          <v:rect id="_x0000_i1063" style="width:0;height:1.5pt" o:hralign="center" o:hrstd="t" o:hr="t" fillcolor="#a0a0a0" stroked="f"/>
        </w:pict>
      </w:r>
    </w:p>
    <w:p w14:paraId="4A0849B5" w14:textId="77777777" w:rsidR="007B4A44" w:rsidRPr="007B4A44" w:rsidRDefault="007B4A44" w:rsidP="007B4A44">
      <w:pPr>
        <w:rPr>
          <w:b/>
          <w:bCs/>
        </w:rPr>
      </w:pPr>
      <w:r w:rsidRPr="007B4A44">
        <w:rPr>
          <w:b/>
          <w:bCs/>
        </w:rPr>
        <w:t>Conclusion:</w:t>
      </w:r>
    </w:p>
    <w:p w14:paraId="3B007F7E" w14:textId="77777777" w:rsidR="007B4A44" w:rsidRPr="007B4A44" w:rsidRDefault="007B4A44" w:rsidP="007B4A44">
      <w:r w:rsidRPr="007B4A44">
        <w:t>This chart effectively demonstrates the trade-off between return and risk. While the neural network model can capture profitable trends, it is also subject to periods of drawdown, highlighting the importance of robust risk management in any active trading strategy.</w:t>
      </w:r>
    </w:p>
    <w:p w14:paraId="3CD49A2F" w14:textId="77777777" w:rsidR="00AC7EE1" w:rsidRDefault="00AC7EE1"/>
    <w:p w14:paraId="4328A934" w14:textId="3110C816" w:rsidR="00380B80" w:rsidRDefault="006100B6">
      <w:r>
        <w:rPr>
          <w:noProof/>
        </w:rPr>
        <w:lastRenderedPageBreak/>
        <w:drawing>
          <wp:inline distT="0" distB="0" distL="0" distR="0" wp14:anchorId="04041403" wp14:editId="7CCAF1B7">
            <wp:extent cx="5731510" cy="5534025"/>
            <wp:effectExtent l="0" t="0" r="2540" b="9525"/>
            <wp:docPr id="904304304" name="Picture 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34025"/>
                    </a:xfrm>
                    <a:prstGeom prst="rect">
                      <a:avLst/>
                    </a:prstGeom>
                    <a:noFill/>
                    <a:ln>
                      <a:noFill/>
                    </a:ln>
                  </pic:spPr>
                </pic:pic>
              </a:graphicData>
            </a:graphic>
          </wp:inline>
        </w:drawing>
      </w:r>
    </w:p>
    <w:p w14:paraId="49A2378D" w14:textId="77777777" w:rsidR="006100B6" w:rsidRPr="006100B6" w:rsidRDefault="006100B6" w:rsidP="006100B6">
      <w:pPr>
        <w:rPr>
          <w:b/>
          <w:bCs/>
        </w:rPr>
      </w:pPr>
      <w:r w:rsidRPr="006100B6">
        <w:rPr>
          <w:b/>
          <w:bCs/>
        </w:rPr>
        <w:t>Overview:</w:t>
      </w:r>
    </w:p>
    <w:p w14:paraId="6F39FF46" w14:textId="77777777" w:rsidR="006100B6" w:rsidRPr="006100B6" w:rsidRDefault="006100B6" w:rsidP="006100B6">
      <w:r w:rsidRPr="006100B6">
        <w:t xml:space="preserve">This </w:t>
      </w:r>
      <w:r w:rsidRPr="006100B6">
        <w:rPr>
          <w:b/>
          <w:bCs/>
        </w:rPr>
        <w:t>stacked area chart</w:t>
      </w:r>
      <w:r w:rsidRPr="006100B6">
        <w:t xml:space="preserve"> visualizes how the </w:t>
      </w:r>
      <w:r w:rsidRPr="006100B6">
        <w:rPr>
          <w:b/>
          <w:bCs/>
        </w:rPr>
        <w:t>portfolio composition</w:t>
      </w:r>
      <w:r w:rsidRPr="006100B6">
        <w:t xml:space="preserve"> (i.e., allocation of weights to different stocks) evolves over time during each </w:t>
      </w:r>
      <w:r w:rsidRPr="006100B6">
        <w:rPr>
          <w:b/>
          <w:bCs/>
        </w:rPr>
        <w:t>annual rebalancing period</w:t>
      </w:r>
      <w:r w:rsidRPr="006100B6">
        <w:t xml:space="preserve"> from </w:t>
      </w:r>
      <w:r w:rsidRPr="006100B6">
        <w:rPr>
          <w:b/>
          <w:bCs/>
        </w:rPr>
        <w:t>2020 to 2024</w:t>
      </w:r>
      <w:r w:rsidRPr="006100B6">
        <w:t>.</w:t>
      </w:r>
    </w:p>
    <w:p w14:paraId="1F032594" w14:textId="77777777" w:rsidR="006100B6" w:rsidRPr="006100B6" w:rsidRDefault="006100B6" w:rsidP="006100B6">
      <w:r w:rsidRPr="006100B6">
        <w:pict w14:anchorId="53BF602C">
          <v:rect id="_x0000_i1129" style="width:0;height:1.5pt" o:hralign="center" o:hrstd="t" o:hr="t" fillcolor="#a0a0a0" stroked="f"/>
        </w:pict>
      </w:r>
    </w:p>
    <w:p w14:paraId="56C57010" w14:textId="77777777" w:rsidR="006100B6" w:rsidRPr="006100B6" w:rsidRDefault="006100B6" w:rsidP="006100B6">
      <w:pPr>
        <w:rPr>
          <w:b/>
          <w:bCs/>
        </w:rPr>
      </w:pPr>
      <w:r w:rsidRPr="006100B6">
        <w:rPr>
          <w:b/>
          <w:bCs/>
        </w:rPr>
        <w:t>Key Elements:</w:t>
      </w:r>
    </w:p>
    <w:p w14:paraId="6F68F2B9" w14:textId="77777777" w:rsidR="006100B6" w:rsidRPr="006100B6" w:rsidRDefault="006100B6" w:rsidP="006100B6">
      <w:pPr>
        <w:numPr>
          <w:ilvl w:val="0"/>
          <w:numId w:val="12"/>
        </w:numPr>
      </w:pPr>
      <w:r w:rsidRPr="006100B6">
        <w:rPr>
          <w:b/>
          <w:bCs/>
        </w:rPr>
        <w:t>X-axis – Rebalance Date</w:t>
      </w:r>
      <w:r w:rsidRPr="006100B6">
        <w:t>:</w:t>
      </w:r>
    </w:p>
    <w:p w14:paraId="2834860A" w14:textId="77777777" w:rsidR="006100B6" w:rsidRPr="006100B6" w:rsidRDefault="006100B6" w:rsidP="006100B6">
      <w:pPr>
        <w:numPr>
          <w:ilvl w:val="1"/>
          <w:numId w:val="12"/>
        </w:numPr>
      </w:pPr>
      <w:r w:rsidRPr="006100B6">
        <w:t>Indicates each annual rebalancing point when the portfolio is reconstructed based on the updated predictions and market data.</w:t>
      </w:r>
    </w:p>
    <w:p w14:paraId="0206F797" w14:textId="77777777" w:rsidR="006100B6" w:rsidRPr="006100B6" w:rsidRDefault="006100B6" w:rsidP="006100B6">
      <w:pPr>
        <w:numPr>
          <w:ilvl w:val="0"/>
          <w:numId w:val="12"/>
        </w:numPr>
      </w:pPr>
      <w:r w:rsidRPr="006100B6">
        <w:rPr>
          <w:b/>
          <w:bCs/>
        </w:rPr>
        <w:t>Y-axis – Weight</w:t>
      </w:r>
      <w:r w:rsidRPr="006100B6">
        <w:t>:</w:t>
      </w:r>
    </w:p>
    <w:p w14:paraId="60551A0B" w14:textId="77777777" w:rsidR="006100B6" w:rsidRPr="006100B6" w:rsidRDefault="006100B6" w:rsidP="006100B6">
      <w:pPr>
        <w:numPr>
          <w:ilvl w:val="1"/>
          <w:numId w:val="12"/>
        </w:numPr>
      </w:pPr>
      <w:r w:rsidRPr="006100B6">
        <w:t xml:space="preserve">Represents the </w:t>
      </w:r>
      <w:r w:rsidRPr="006100B6">
        <w:rPr>
          <w:b/>
          <w:bCs/>
        </w:rPr>
        <w:t>proportion of total capital</w:t>
      </w:r>
      <w:r w:rsidRPr="006100B6">
        <w:t xml:space="preserve"> allocated to each stock.</w:t>
      </w:r>
    </w:p>
    <w:p w14:paraId="3BD50F0F" w14:textId="77777777" w:rsidR="006100B6" w:rsidRPr="006100B6" w:rsidRDefault="006100B6" w:rsidP="006100B6">
      <w:pPr>
        <w:numPr>
          <w:ilvl w:val="1"/>
          <w:numId w:val="12"/>
        </w:numPr>
      </w:pPr>
      <w:r w:rsidRPr="006100B6">
        <w:lastRenderedPageBreak/>
        <w:t xml:space="preserve">The total always sums to </w:t>
      </w:r>
      <w:r w:rsidRPr="006100B6">
        <w:rPr>
          <w:b/>
          <w:bCs/>
        </w:rPr>
        <w:t>1 (100%)</w:t>
      </w:r>
      <w:r w:rsidRPr="006100B6">
        <w:t>, enforcing the full investment constraint.</w:t>
      </w:r>
    </w:p>
    <w:p w14:paraId="77AF94FA" w14:textId="77777777" w:rsidR="006100B6" w:rsidRPr="006100B6" w:rsidRDefault="006100B6" w:rsidP="006100B6">
      <w:pPr>
        <w:numPr>
          <w:ilvl w:val="0"/>
          <w:numId w:val="12"/>
        </w:numPr>
      </w:pPr>
      <w:proofErr w:type="spellStart"/>
      <w:r w:rsidRPr="006100B6">
        <w:rPr>
          <w:b/>
          <w:bCs/>
        </w:rPr>
        <w:t>Colored</w:t>
      </w:r>
      <w:proofErr w:type="spellEnd"/>
      <w:r w:rsidRPr="006100B6">
        <w:rPr>
          <w:b/>
          <w:bCs/>
        </w:rPr>
        <w:t xml:space="preserve"> Areas</w:t>
      </w:r>
      <w:r w:rsidRPr="006100B6">
        <w:t>:</w:t>
      </w:r>
    </w:p>
    <w:p w14:paraId="25F3358E" w14:textId="77777777" w:rsidR="006100B6" w:rsidRPr="006100B6" w:rsidRDefault="006100B6" w:rsidP="006100B6">
      <w:pPr>
        <w:numPr>
          <w:ilvl w:val="1"/>
          <w:numId w:val="12"/>
        </w:numPr>
      </w:pPr>
      <w:r w:rsidRPr="006100B6">
        <w:t xml:space="preserve">Each </w:t>
      </w:r>
      <w:proofErr w:type="spellStart"/>
      <w:r w:rsidRPr="006100B6">
        <w:t>color</w:t>
      </w:r>
      <w:proofErr w:type="spellEnd"/>
      <w:r w:rsidRPr="006100B6">
        <w:t xml:space="preserve"> corresponds to a specific stock (identified in the legend).</w:t>
      </w:r>
    </w:p>
    <w:p w14:paraId="7E5A5070" w14:textId="77777777" w:rsidR="006100B6" w:rsidRPr="006100B6" w:rsidRDefault="006100B6" w:rsidP="006100B6">
      <w:pPr>
        <w:numPr>
          <w:ilvl w:val="1"/>
          <w:numId w:val="12"/>
        </w:numPr>
      </w:pPr>
      <w:r w:rsidRPr="006100B6">
        <w:t xml:space="preserve">The </w:t>
      </w:r>
      <w:r w:rsidRPr="006100B6">
        <w:rPr>
          <w:b/>
          <w:bCs/>
        </w:rPr>
        <w:t>thickness</w:t>
      </w:r>
      <w:r w:rsidRPr="006100B6">
        <w:t xml:space="preserve"> of each </w:t>
      </w:r>
      <w:proofErr w:type="spellStart"/>
      <w:r w:rsidRPr="006100B6">
        <w:t>colored</w:t>
      </w:r>
      <w:proofErr w:type="spellEnd"/>
      <w:r w:rsidRPr="006100B6">
        <w:t xml:space="preserve"> band shows the weight of that stock in the portfolio at a given time.</w:t>
      </w:r>
    </w:p>
    <w:p w14:paraId="69CCE04E" w14:textId="77777777" w:rsidR="006100B6" w:rsidRPr="006100B6" w:rsidRDefault="006100B6" w:rsidP="006100B6">
      <w:r w:rsidRPr="006100B6">
        <w:pict w14:anchorId="6FD9514C">
          <v:rect id="_x0000_i1130" style="width:0;height:1.5pt" o:hralign="center" o:hrstd="t" o:hr="t" fillcolor="#a0a0a0" stroked="f"/>
        </w:pict>
      </w:r>
    </w:p>
    <w:p w14:paraId="73C607D8" w14:textId="77777777" w:rsidR="006100B6" w:rsidRPr="006100B6" w:rsidRDefault="006100B6" w:rsidP="006100B6">
      <w:pPr>
        <w:rPr>
          <w:b/>
          <w:bCs/>
        </w:rPr>
      </w:pPr>
      <w:r w:rsidRPr="006100B6">
        <w:rPr>
          <w:b/>
          <w:bCs/>
        </w:rPr>
        <w:t>Interpretation:</w:t>
      </w:r>
    </w:p>
    <w:p w14:paraId="0F27DECF" w14:textId="77777777" w:rsidR="006100B6" w:rsidRPr="006100B6" w:rsidRDefault="006100B6" w:rsidP="006100B6">
      <w:pPr>
        <w:numPr>
          <w:ilvl w:val="0"/>
          <w:numId w:val="13"/>
        </w:numPr>
      </w:pPr>
      <w:r w:rsidRPr="006100B6">
        <w:t xml:space="preserve">The chart highlights a </w:t>
      </w:r>
      <w:r w:rsidRPr="006100B6">
        <w:rPr>
          <w:b/>
          <w:bCs/>
        </w:rPr>
        <w:t>dynamic allocation strategy</w:t>
      </w:r>
      <w:r w:rsidRPr="006100B6">
        <w:t>. Stock weights change significantly at each rebalance, showing that:</w:t>
      </w:r>
    </w:p>
    <w:p w14:paraId="079B7010" w14:textId="77777777" w:rsidR="006100B6" w:rsidRPr="006100B6" w:rsidRDefault="006100B6" w:rsidP="006100B6">
      <w:pPr>
        <w:numPr>
          <w:ilvl w:val="1"/>
          <w:numId w:val="13"/>
        </w:numPr>
      </w:pPr>
      <w:r w:rsidRPr="006100B6">
        <w:t>The model adjusts its preferences based on new predictions.</w:t>
      </w:r>
    </w:p>
    <w:p w14:paraId="7126C683" w14:textId="77777777" w:rsidR="006100B6" w:rsidRPr="006100B6" w:rsidRDefault="006100B6" w:rsidP="006100B6">
      <w:pPr>
        <w:numPr>
          <w:ilvl w:val="1"/>
          <w:numId w:val="13"/>
        </w:numPr>
      </w:pPr>
      <w:r w:rsidRPr="006100B6">
        <w:rPr>
          <w:b/>
          <w:bCs/>
        </w:rPr>
        <w:t>No single stock consistently dominates</w:t>
      </w:r>
      <w:r w:rsidRPr="006100B6">
        <w:t>, due to the 20% max weight constraint.</w:t>
      </w:r>
    </w:p>
    <w:p w14:paraId="779A9256" w14:textId="77777777" w:rsidR="006100B6" w:rsidRPr="006100B6" w:rsidRDefault="006100B6" w:rsidP="006100B6">
      <w:pPr>
        <w:numPr>
          <w:ilvl w:val="0"/>
          <w:numId w:val="13"/>
        </w:numPr>
      </w:pPr>
      <w:r w:rsidRPr="006100B6">
        <w:t xml:space="preserve">Some stocks appear intermittently, suggesting they were only selected during periods when their </w:t>
      </w:r>
      <w:r w:rsidRPr="006100B6">
        <w:rPr>
          <w:b/>
          <w:bCs/>
        </w:rPr>
        <w:t>predicted returns were strong</w:t>
      </w:r>
      <w:r w:rsidRPr="006100B6">
        <w:t xml:space="preserve"> relative to their risk.</w:t>
      </w:r>
    </w:p>
    <w:p w14:paraId="7FECEC18" w14:textId="77777777" w:rsidR="006100B6" w:rsidRPr="006100B6" w:rsidRDefault="006100B6" w:rsidP="006100B6">
      <w:pPr>
        <w:numPr>
          <w:ilvl w:val="0"/>
          <w:numId w:val="13"/>
        </w:numPr>
      </w:pPr>
      <w:r w:rsidRPr="006100B6">
        <w:t xml:space="preserve">The visual also reflects </w:t>
      </w:r>
      <w:r w:rsidRPr="006100B6">
        <w:rPr>
          <w:b/>
          <w:bCs/>
        </w:rPr>
        <w:t>diversification</w:t>
      </w:r>
      <w:r w:rsidRPr="006100B6">
        <w:t xml:space="preserve"> — multiple stocks are typically included at each period, reducing reliance on any single asset.</w:t>
      </w:r>
    </w:p>
    <w:p w14:paraId="3F2A427D" w14:textId="77777777" w:rsidR="006100B6" w:rsidRPr="006100B6" w:rsidRDefault="006100B6" w:rsidP="006100B6">
      <w:r w:rsidRPr="006100B6">
        <w:pict w14:anchorId="7F10D53B">
          <v:rect id="_x0000_i1131" style="width:0;height:1.5pt" o:hralign="center" o:hrstd="t" o:hr="t" fillcolor="#a0a0a0" stroked="f"/>
        </w:pict>
      </w:r>
    </w:p>
    <w:p w14:paraId="5345934B" w14:textId="77777777" w:rsidR="006100B6" w:rsidRPr="006100B6" w:rsidRDefault="006100B6" w:rsidP="006100B6">
      <w:pPr>
        <w:rPr>
          <w:b/>
          <w:bCs/>
        </w:rPr>
      </w:pPr>
      <w:r w:rsidRPr="006100B6">
        <w:rPr>
          <w:b/>
          <w:bCs/>
        </w:rPr>
        <w:t>Strategic Insight:</w:t>
      </w:r>
    </w:p>
    <w:p w14:paraId="2F3094F1" w14:textId="77777777" w:rsidR="006100B6" w:rsidRPr="006100B6" w:rsidRDefault="006100B6" w:rsidP="006100B6">
      <w:pPr>
        <w:numPr>
          <w:ilvl w:val="0"/>
          <w:numId w:val="14"/>
        </w:numPr>
      </w:pPr>
      <w:r w:rsidRPr="006100B6">
        <w:t xml:space="preserve">The portfolio does </w:t>
      </w:r>
      <w:r w:rsidRPr="006100B6">
        <w:rPr>
          <w:b/>
          <w:bCs/>
        </w:rPr>
        <w:t>not remain static</w:t>
      </w:r>
      <w:r w:rsidRPr="006100B6">
        <w:t>; rather, it adapts based on the model's forecast and historical volatility.</w:t>
      </w:r>
    </w:p>
    <w:p w14:paraId="75CE9C37" w14:textId="77777777" w:rsidR="006100B6" w:rsidRPr="006100B6" w:rsidRDefault="006100B6" w:rsidP="006100B6">
      <w:pPr>
        <w:numPr>
          <w:ilvl w:val="0"/>
          <w:numId w:val="14"/>
        </w:numPr>
      </w:pPr>
      <w:r w:rsidRPr="006100B6">
        <w:t xml:space="preserve">This aligns with an </w:t>
      </w:r>
      <w:r w:rsidRPr="006100B6">
        <w:rPr>
          <w:b/>
          <w:bCs/>
        </w:rPr>
        <w:t>active investment strategy</w:t>
      </w:r>
      <w:r w:rsidRPr="006100B6">
        <w:t>, where capital is reallocated to potentially outperforming assets each year.</w:t>
      </w:r>
    </w:p>
    <w:p w14:paraId="124BF2CD" w14:textId="77777777" w:rsidR="006100B6" w:rsidRPr="006100B6" w:rsidRDefault="006100B6" w:rsidP="006100B6">
      <w:pPr>
        <w:numPr>
          <w:ilvl w:val="0"/>
          <w:numId w:val="14"/>
        </w:numPr>
      </w:pPr>
      <w:r w:rsidRPr="006100B6">
        <w:t xml:space="preserve">The weight capping mechanism ensures </w:t>
      </w:r>
      <w:r w:rsidRPr="006100B6">
        <w:rPr>
          <w:b/>
          <w:bCs/>
        </w:rPr>
        <w:t>risk control</w:t>
      </w:r>
      <w:r w:rsidRPr="006100B6">
        <w:t xml:space="preserve"> and avoids overexposure to any one stock.</w:t>
      </w:r>
    </w:p>
    <w:p w14:paraId="06AE7007" w14:textId="77777777" w:rsidR="006100B6" w:rsidRPr="006100B6" w:rsidRDefault="006100B6" w:rsidP="006100B6">
      <w:r w:rsidRPr="006100B6">
        <w:pict w14:anchorId="43D125C1">
          <v:rect id="_x0000_i1132" style="width:0;height:1.5pt" o:hralign="center" o:hrstd="t" o:hr="t" fillcolor="#a0a0a0" stroked="f"/>
        </w:pict>
      </w:r>
    </w:p>
    <w:p w14:paraId="6D0C6FF1" w14:textId="77777777" w:rsidR="006100B6" w:rsidRPr="006100B6" w:rsidRDefault="006100B6" w:rsidP="006100B6">
      <w:pPr>
        <w:rPr>
          <w:b/>
          <w:bCs/>
        </w:rPr>
      </w:pPr>
      <w:r w:rsidRPr="006100B6">
        <w:rPr>
          <w:b/>
          <w:bCs/>
        </w:rPr>
        <w:t>Conclusion:</w:t>
      </w:r>
    </w:p>
    <w:p w14:paraId="112F619F" w14:textId="77777777" w:rsidR="006100B6" w:rsidRPr="006100B6" w:rsidRDefault="006100B6" w:rsidP="006100B6">
      <w:r w:rsidRPr="006100B6">
        <w:t xml:space="preserve">This visualization effectively communicates how the machine learning model’s predictions and risk-aware optimization </w:t>
      </w:r>
      <w:r w:rsidRPr="006100B6">
        <w:rPr>
          <w:b/>
          <w:bCs/>
        </w:rPr>
        <w:t>drive real-world investment decisions</w:t>
      </w:r>
      <w:r w:rsidRPr="006100B6">
        <w:t xml:space="preserve">. The flexible and data-driven portfolio construction helps achieve both </w:t>
      </w:r>
      <w:r w:rsidRPr="006100B6">
        <w:rPr>
          <w:b/>
          <w:bCs/>
        </w:rPr>
        <w:t>return potential</w:t>
      </w:r>
      <w:r w:rsidRPr="006100B6">
        <w:t xml:space="preserve"> and </w:t>
      </w:r>
      <w:r w:rsidRPr="006100B6">
        <w:rPr>
          <w:b/>
          <w:bCs/>
        </w:rPr>
        <w:t>risk diversification</w:t>
      </w:r>
      <w:r w:rsidRPr="006100B6">
        <w:t>.</w:t>
      </w:r>
    </w:p>
    <w:p w14:paraId="18BD8DE8" w14:textId="77777777" w:rsidR="006100B6" w:rsidRDefault="006100B6"/>
    <w:p w14:paraId="03369B6B" w14:textId="2563385B" w:rsidR="007B4A44" w:rsidRDefault="007732BD">
      <w:r>
        <w:rPr>
          <w:noProof/>
        </w:rPr>
        <w:lastRenderedPageBreak/>
        <w:drawing>
          <wp:inline distT="0" distB="0" distL="0" distR="0" wp14:anchorId="45FB4C48" wp14:editId="5E5DBFBD">
            <wp:extent cx="5731510" cy="2573020"/>
            <wp:effectExtent l="0" t="0" r="2540" b="0"/>
            <wp:docPr id="1865573844"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73020"/>
                    </a:xfrm>
                    <a:prstGeom prst="rect">
                      <a:avLst/>
                    </a:prstGeom>
                    <a:noFill/>
                    <a:ln>
                      <a:noFill/>
                    </a:ln>
                  </pic:spPr>
                </pic:pic>
              </a:graphicData>
            </a:graphic>
          </wp:inline>
        </w:drawing>
      </w:r>
    </w:p>
    <w:p w14:paraId="50C3CD8D" w14:textId="77777777" w:rsidR="00380B80" w:rsidRPr="00380B80" w:rsidRDefault="00380B80" w:rsidP="00380B80">
      <w:r w:rsidRPr="00380B80">
        <w:t xml:space="preserve">This line chart tracks the </w:t>
      </w:r>
      <w:r w:rsidRPr="00380B80">
        <w:rPr>
          <w:b/>
          <w:bCs/>
        </w:rPr>
        <w:t>predictive performance</w:t>
      </w:r>
      <w:r w:rsidRPr="00380B80">
        <w:t xml:space="preserve"> of the neural network model across </w:t>
      </w:r>
      <w:r w:rsidRPr="00380B80">
        <w:rPr>
          <w:b/>
          <w:bCs/>
        </w:rPr>
        <w:t>each portfolio rebalancing step</w:t>
      </w:r>
      <w:r w:rsidRPr="00380B80">
        <w:t xml:space="preserve"> (from 2020 to 2024). It evaluates how well the model forecasted next-day stock returns using two standard regression metrics:</w:t>
      </w:r>
    </w:p>
    <w:p w14:paraId="02B16D3F" w14:textId="77777777" w:rsidR="00380B80" w:rsidRPr="00380B80" w:rsidRDefault="00380B80" w:rsidP="00380B80">
      <w:r w:rsidRPr="00380B80">
        <w:pict w14:anchorId="73E3FBC3">
          <v:rect id="_x0000_i1095" style="width:0;height:1.5pt" o:hralign="center" o:hrstd="t" o:hr="t" fillcolor="#a0a0a0" stroked="f"/>
        </w:pict>
      </w:r>
    </w:p>
    <w:p w14:paraId="6BB8C740" w14:textId="77777777" w:rsidR="00380B80" w:rsidRPr="00380B80" w:rsidRDefault="00380B80" w:rsidP="00380B80">
      <w:pPr>
        <w:rPr>
          <w:b/>
          <w:bCs/>
        </w:rPr>
      </w:pPr>
      <w:r w:rsidRPr="00380B80">
        <w:rPr>
          <w:b/>
          <w:bCs/>
        </w:rPr>
        <w:t>Key Elements:</w:t>
      </w:r>
    </w:p>
    <w:p w14:paraId="2AC0D964" w14:textId="77777777" w:rsidR="00380B80" w:rsidRPr="00380B80" w:rsidRDefault="00380B80" w:rsidP="00380B80">
      <w:pPr>
        <w:numPr>
          <w:ilvl w:val="0"/>
          <w:numId w:val="9"/>
        </w:numPr>
      </w:pPr>
      <w:r w:rsidRPr="00380B80">
        <w:rPr>
          <w:b/>
          <w:bCs/>
        </w:rPr>
        <w:t>X-axis – Rebalance Steps</w:t>
      </w:r>
      <w:r w:rsidRPr="00380B80">
        <w:t>:</w:t>
      </w:r>
    </w:p>
    <w:p w14:paraId="4360948A" w14:textId="77777777" w:rsidR="00380B80" w:rsidRPr="00380B80" w:rsidRDefault="00380B80" w:rsidP="00380B80">
      <w:pPr>
        <w:numPr>
          <w:ilvl w:val="1"/>
          <w:numId w:val="9"/>
        </w:numPr>
      </w:pPr>
      <w:r w:rsidRPr="00380B80">
        <w:t>Represents each annual rebalancing period when the model was retrained with updated data.</w:t>
      </w:r>
    </w:p>
    <w:p w14:paraId="6B2F4959" w14:textId="77777777" w:rsidR="00380B80" w:rsidRPr="00380B80" w:rsidRDefault="00380B80" w:rsidP="00380B80">
      <w:pPr>
        <w:numPr>
          <w:ilvl w:val="0"/>
          <w:numId w:val="9"/>
        </w:numPr>
      </w:pPr>
      <w:r w:rsidRPr="00380B80">
        <w:rPr>
          <w:b/>
          <w:bCs/>
        </w:rPr>
        <w:t>Y-axis – Score</w:t>
      </w:r>
      <w:r w:rsidRPr="00380B80">
        <w:t>:</w:t>
      </w:r>
    </w:p>
    <w:p w14:paraId="101DC5A9" w14:textId="77777777" w:rsidR="00380B80" w:rsidRPr="00380B80" w:rsidRDefault="00380B80" w:rsidP="00380B80">
      <w:pPr>
        <w:numPr>
          <w:ilvl w:val="1"/>
          <w:numId w:val="9"/>
        </w:numPr>
      </w:pPr>
      <w:r w:rsidRPr="00380B80">
        <w:t>Measures the quality of model predictions using:</w:t>
      </w:r>
    </w:p>
    <w:p w14:paraId="61348E47" w14:textId="77777777" w:rsidR="00380B80" w:rsidRPr="00380B80" w:rsidRDefault="00380B80" w:rsidP="00380B80">
      <w:pPr>
        <w:numPr>
          <w:ilvl w:val="2"/>
          <w:numId w:val="9"/>
        </w:numPr>
      </w:pPr>
      <w:r w:rsidRPr="00380B80">
        <w:rPr>
          <w:b/>
          <w:bCs/>
        </w:rPr>
        <w:t>MSE (Mean Squared Error)</w:t>
      </w:r>
      <w:r w:rsidRPr="00380B80">
        <w:t xml:space="preserve"> – Lower is better. Measures average squared prediction error.</w:t>
      </w:r>
    </w:p>
    <w:p w14:paraId="3843283D" w14:textId="77777777" w:rsidR="00380B80" w:rsidRPr="00380B80" w:rsidRDefault="00380B80" w:rsidP="00380B80">
      <w:pPr>
        <w:numPr>
          <w:ilvl w:val="2"/>
          <w:numId w:val="9"/>
        </w:numPr>
      </w:pPr>
      <w:r w:rsidRPr="00380B80">
        <w:rPr>
          <w:b/>
          <w:bCs/>
        </w:rPr>
        <w:t>R² (R-squared)</w:t>
      </w:r>
      <w:r w:rsidRPr="00380B80">
        <w:t xml:space="preserve"> – Closer to 1 is better. Indicates how well the model explains variance in returns.</w:t>
      </w:r>
    </w:p>
    <w:p w14:paraId="036B7BF6" w14:textId="77777777" w:rsidR="00380B80" w:rsidRPr="00380B80" w:rsidRDefault="00380B80" w:rsidP="00380B80">
      <w:pPr>
        <w:numPr>
          <w:ilvl w:val="0"/>
          <w:numId w:val="9"/>
        </w:numPr>
      </w:pPr>
      <w:r w:rsidRPr="00380B80">
        <w:rPr>
          <w:b/>
          <w:bCs/>
        </w:rPr>
        <w:t>Blue Line (MSE)</w:t>
      </w:r>
      <w:r w:rsidRPr="00380B80">
        <w:t>:</w:t>
      </w:r>
    </w:p>
    <w:p w14:paraId="4D7F5100" w14:textId="77777777" w:rsidR="00380B80" w:rsidRPr="00380B80" w:rsidRDefault="00380B80" w:rsidP="00380B80">
      <w:pPr>
        <w:numPr>
          <w:ilvl w:val="1"/>
          <w:numId w:val="9"/>
        </w:numPr>
      </w:pPr>
      <w:r w:rsidRPr="00380B80">
        <w:t xml:space="preserve">Stays very close to </w:t>
      </w:r>
      <w:r w:rsidRPr="00380B80">
        <w:rPr>
          <w:b/>
          <w:bCs/>
        </w:rPr>
        <w:t>zero</w:t>
      </w:r>
      <w:r w:rsidRPr="00380B80">
        <w:t>, suggesting relatively small average prediction errors across periods.</w:t>
      </w:r>
    </w:p>
    <w:p w14:paraId="28535587" w14:textId="77777777" w:rsidR="00380B80" w:rsidRPr="00380B80" w:rsidRDefault="00380B80" w:rsidP="00380B80">
      <w:pPr>
        <w:numPr>
          <w:ilvl w:val="0"/>
          <w:numId w:val="9"/>
        </w:numPr>
      </w:pPr>
      <w:r w:rsidRPr="00380B80">
        <w:rPr>
          <w:b/>
          <w:bCs/>
        </w:rPr>
        <w:t>Orange Line (R²)</w:t>
      </w:r>
      <w:r w:rsidRPr="00380B80">
        <w:t>:</w:t>
      </w:r>
    </w:p>
    <w:p w14:paraId="2004DE6F" w14:textId="77777777" w:rsidR="00380B80" w:rsidRPr="00380B80" w:rsidRDefault="00380B80" w:rsidP="00380B80">
      <w:pPr>
        <w:numPr>
          <w:ilvl w:val="1"/>
          <w:numId w:val="9"/>
        </w:numPr>
      </w:pPr>
      <w:r w:rsidRPr="00380B80">
        <w:t xml:space="preserve">Shows </w:t>
      </w:r>
      <w:r w:rsidRPr="00380B80">
        <w:rPr>
          <w:b/>
          <w:bCs/>
        </w:rPr>
        <w:t>fluctuations</w:t>
      </w:r>
      <w:r w:rsidRPr="00380B80">
        <w:t xml:space="preserve"> in performance, including one period (step 2) where R² is </w:t>
      </w:r>
      <w:r w:rsidRPr="00380B80">
        <w:rPr>
          <w:b/>
          <w:bCs/>
        </w:rPr>
        <w:t>negative</w:t>
      </w:r>
      <w:r w:rsidRPr="00380B80">
        <w:t>, indicating the model performed worse than simply predicting the average return.</w:t>
      </w:r>
    </w:p>
    <w:p w14:paraId="75D5F940" w14:textId="77777777" w:rsidR="00380B80" w:rsidRPr="00380B80" w:rsidRDefault="00380B80" w:rsidP="00380B80">
      <w:r w:rsidRPr="00380B80">
        <w:pict w14:anchorId="0C3E6161">
          <v:rect id="_x0000_i1096" style="width:0;height:1.5pt" o:hralign="center" o:hrstd="t" o:hr="t" fillcolor="#a0a0a0" stroked="f"/>
        </w:pict>
      </w:r>
    </w:p>
    <w:p w14:paraId="2CC7FD8B" w14:textId="77777777" w:rsidR="00380B80" w:rsidRPr="00380B80" w:rsidRDefault="00380B80" w:rsidP="00380B80">
      <w:pPr>
        <w:rPr>
          <w:b/>
          <w:bCs/>
        </w:rPr>
      </w:pPr>
      <w:r w:rsidRPr="00380B80">
        <w:rPr>
          <w:b/>
          <w:bCs/>
        </w:rPr>
        <w:lastRenderedPageBreak/>
        <w:t>Interpretation:</w:t>
      </w:r>
    </w:p>
    <w:p w14:paraId="0F56898D" w14:textId="77777777" w:rsidR="00380B80" w:rsidRPr="00380B80" w:rsidRDefault="00380B80" w:rsidP="00380B80">
      <w:pPr>
        <w:numPr>
          <w:ilvl w:val="0"/>
          <w:numId w:val="10"/>
        </w:numPr>
      </w:pPr>
      <w:r w:rsidRPr="00380B80">
        <w:t xml:space="preserve">The model generally achieves </w:t>
      </w:r>
      <w:r w:rsidRPr="00380B80">
        <w:rPr>
          <w:b/>
          <w:bCs/>
        </w:rPr>
        <w:t>low MSE</w:t>
      </w:r>
      <w:r w:rsidRPr="00380B80">
        <w:t>, suggesting it avoids large prediction errors.</w:t>
      </w:r>
    </w:p>
    <w:p w14:paraId="05E7A7B7" w14:textId="77777777" w:rsidR="00380B80" w:rsidRPr="00380B80" w:rsidRDefault="00380B80" w:rsidP="00380B80">
      <w:pPr>
        <w:numPr>
          <w:ilvl w:val="0"/>
          <w:numId w:val="10"/>
        </w:numPr>
      </w:pPr>
      <w:r w:rsidRPr="00380B80">
        <w:t xml:space="preserve">However, </w:t>
      </w:r>
      <w:r w:rsidRPr="00380B80">
        <w:rPr>
          <w:b/>
          <w:bCs/>
        </w:rPr>
        <w:t>R² scores vary</w:t>
      </w:r>
      <w:r w:rsidRPr="00380B80">
        <w:t xml:space="preserve">, highlighting that while errors are small, the model's ability to explain return variation is </w:t>
      </w:r>
      <w:r w:rsidRPr="00380B80">
        <w:rPr>
          <w:b/>
          <w:bCs/>
        </w:rPr>
        <w:t>inconsistent</w:t>
      </w:r>
      <w:r w:rsidRPr="00380B80">
        <w:t xml:space="preserve"> over time.</w:t>
      </w:r>
    </w:p>
    <w:p w14:paraId="2319C184" w14:textId="77777777" w:rsidR="00380B80" w:rsidRPr="00380B80" w:rsidRDefault="00380B80" w:rsidP="00380B80">
      <w:pPr>
        <w:numPr>
          <w:ilvl w:val="1"/>
          <w:numId w:val="10"/>
        </w:numPr>
      </w:pPr>
      <w:r w:rsidRPr="00380B80">
        <w:t xml:space="preserve">A </w:t>
      </w:r>
      <w:r w:rsidRPr="00380B80">
        <w:rPr>
          <w:b/>
          <w:bCs/>
        </w:rPr>
        <w:t>negative R²</w:t>
      </w:r>
      <w:r w:rsidRPr="00380B80">
        <w:t xml:space="preserve"> reflects a poor fit during that period, possibly due to market volatility, regime shifts, or overfitting.</w:t>
      </w:r>
    </w:p>
    <w:p w14:paraId="2E21BAF9" w14:textId="77777777" w:rsidR="00380B80" w:rsidRPr="00380B80" w:rsidRDefault="00380B80" w:rsidP="00380B80">
      <w:r w:rsidRPr="00380B80">
        <w:pict w14:anchorId="502A6B54">
          <v:rect id="_x0000_i1097" style="width:0;height:1.5pt" o:hralign="center" o:hrstd="t" o:hr="t" fillcolor="#a0a0a0" stroked="f"/>
        </w:pict>
      </w:r>
    </w:p>
    <w:p w14:paraId="5F0EAA03" w14:textId="77777777" w:rsidR="00380B80" w:rsidRPr="00380B80" w:rsidRDefault="00380B80" w:rsidP="00380B80">
      <w:pPr>
        <w:rPr>
          <w:b/>
          <w:bCs/>
        </w:rPr>
      </w:pPr>
      <w:r w:rsidRPr="00380B80">
        <w:rPr>
          <w:b/>
          <w:bCs/>
        </w:rPr>
        <w:t>Strategic Insight:</w:t>
      </w:r>
    </w:p>
    <w:p w14:paraId="509D20D6" w14:textId="77777777" w:rsidR="00380B80" w:rsidRPr="00380B80" w:rsidRDefault="00380B80" w:rsidP="00380B80">
      <w:pPr>
        <w:numPr>
          <w:ilvl w:val="0"/>
          <w:numId w:val="11"/>
        </w:numPr>
      </w:pPr>
      <w:r w:rsidRPr="00380B80">
        <w:t xml:space="preserve">This mixed performance reflects the </w:t>
      </w:r>
      <w:r w:rsidRPr="00380B80">
        <w:rPr>
          <w:b/>
          <w:bCs/>
        </w:rPr>
        <w:t>challenges of return prediction</w:t>
      </w:r>
      <w:r w:rsidRPr="00380B80">
        <w:t>, where market noise and external shocks can weaken model accuracy.</w:t>
      </w:r>
    </w:p>
    <w:p w14:paraId="3701933A" w14:textId="77777777" w:rsidR="00380B80" w:rsidRPr="00380B80" w:rsidRDefault="00380B80" w:rsidP="00380B80">
      <w:pPr>
        <w:numPr>
          <w:ilvl w:val="0"/>
          <w:numId w:val="11"/>
        </w:numPr>
      </w:pPr>
      <w:r w:rsidRPr="00380B80">
        <w:t xml:space="preserve">Despite some weak periods, the portfolio still achieved strong overall returns, suggesting that </w:t>
      </w:r>
      <w:r w:rsidRPr="00380B80">
        <w:rPr>
          <w:b/>
          <w:bCs/>
        </w:rPr>
        <w:t>even moderately predictive models</w:t>
      </w:r>
      <w:r w:rsidRPr="00380B80">
        <w:t xml:space="preserve"> can contribute to profitable strategies when combined with effective </w:t>
      </w:r>
      <w:r w:rsidRPr="00380B80">
        <w:rPr>
          <w:b/>
          <w:bCs/>
        </w:rPr>
        <w:t>risk management</w:t>
      </w:r>
      <w:r w:rsidRPr="00380B80">
        <w:t xml:space="preserve"> and </w:t>
      </w:r>
      <w:r w:rsidRPr="00380B80">
        <w:rPr>
          <w:b/>
          <w:bCs/>
        </w:rPr>
        <w:t>optimization</w:t>
      </w:r>
      <w:r w:rsidRPr="00380B80">
        <w:t>.</w:t>
      </w:r>
    </w:p>
    <w:p w14:paraId="5279D79C" w14:textId="77777777" w:rsidR="00380B80" w:rsidRPr="00380B80" w:rsidRDefault="00380B80" w:rsidP="00380B80">
      <w:r w:rsidRPr="00380B80">
        <w:pict w14:anchorId="06644BFD">
          <v:rect id="_x0000_i1098" style="width:0;height:1.5pt" o:hralign="center" o:hrstd="t" o:hr="t" fillcolor="#a0a0a0" stroked="f"/>
        </w:pict>
      </w:r>
    </w:p>
    <w:p w14:paraId="275156B6" w14:textId="77777777" w:rsidR="00380B80" w:rsidRPr="00380B80" w:rsidRDefault="00380B80" w:rsidP="00380B80">
      <w:pPr>
        <w:rPr>
          <w:b/>
          <w:bCs/>
        </w:rPr>
      </w:pPr>
      <w:r w:rsidRPr="00380B80">
        <w:rPr>
          <w:b/>
          <w:bCs/>
        </w:rPr>
        <w:t>Conclusion:</w:t>
      </w:r>
    </w:p>
    <w:p w14:paraId="4F18E8F1" w14:textId="2A2F2BF3" w:rsidR="0049706B" w:rsidRDefault="00380B80">
      <w:r w:rsidRPr="00380B80">
        <w:t xml:space="preserve">This chart underscores the </w:t>
      </w:r>
      <w:r w:rsidRPr="00380B80">
        <w:rPr>
          <w:b/>
          <w:bCs/>
        </w:rPr>
        <w:t>importance of model monitoring</w:t>
      </w:r>
      <w:r w:rsidRPr="00380B80">
        <w:t xml:space="preserve"> in financial ML applications. It reinforces the need for </w:t>
      </w:r>
      <w:r w:rsidRPr="00380B80">
        <w:rPr>
          <w:b/>
          <w:bCs/>
        </w:rPr>
        <w:t>robust validation</w:t>
      </w:r>
      <w:r w:rsidRPr="00380B80">
        <w:t xml:space="preserve">, regular retraining, and </w:t>
      </w:r>
      <w:r w:rsidRPr="00380B80">
        <w:rPr>
          <w:b/>
          <w:bCs/>
        </w:rPr>
        <w:t>complementary risk controls</w:t>
      </w:r>
      <w:r w:rsidRPr="00380B80">
        <w:t xml:space="preserve"> to ensure strategy resilience—even when predictive performance varies.</w:t>
      </w:r>
    </w:p>
    <w:p w14:paraId="59738DD2" w14:textId="5E75B1E1" w:rsidR="0049706B" w:rsidRDefault="0049706B">
      <w:r>
        <w:rPr>
          <w:noProof/>
        </w:rPr>
        <w:lastRenderedPageBreak/>
        <w:drawing>
          <wp:inline distT="0" distB="0" distL="0" distR="0" wp14:anchorId="39F70B32" wp14:editId="022DD342">
            <wp:extent cx="3884879" cy="3442418"/>
            <wp:effectExtent l="0" t="0" r="1905" b="5715"/>
            <wp:docPr id="765964200"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9411" cy="3446434"/>
                    </a:xfrm>
                    <a:prstGeom prst="rect">
                      <a:avLst/>
                    </a:prstGeom>
                    <a:noFill/>
                    <a:ln>
                      <a:noFill/>
                    </a:ln>
                  </pic:spPr>
                </pic:pic>
              </a:graphicData>
            </a:graphic>
          </wp:inline>
        </w:drawing>
      </w:r>
    </w:p>
    <w:p w14:paraId="6130ED95" w14:textId="77777777" w:rsidR="0049706B" w:rsidRDefault="0049706B"/>
    <w:sectPr w:rsidR="00497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363DF"/>
    <w:multiLevelType w:val="multilevel"/>
    <w:tmpl w:val="3AD0B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85256"/>
    <w:multiLevelType w:val="multilevel"/>
    <w:tmpl w:val="CA441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6026A"/>
    <w:multiLevelType w:val="multilevel"/>
    <w:tmpl w:val="B8FC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D057A"/>
    <w:multiLevelType w:val="multilevel"/>
    <w:tmpl w:val="97122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B666F"/>
    <w:multiLevelType w:val="multilevel"/>
    <w:tmpl w:val="DF4A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22257"/>
    <w:multiLevelType w:val="multilevel"/>
    <w:tmpl w:val="38684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F670E"/>
    <w:multiLevelType w:val="multilevel"/>
    <w:tmpl w:val="975E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615FB"/>
    <w:multiLevelType w:val="multilevel"/>
    <w:tmpl w:val="CA08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639EE"/>
    <w:multiLevelType w:val="multilevel"/>
    <w:tmpl w:val="367A5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D6E28"/>
    <w:multiLevelType w:val="multilevel"/>
    <w:tmpl w:val="A522A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F7C81"/>
    <w:multiLevelType w:val="multilevel"/>
    <w:tmpl w:val="48403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40A14"/>
    <w:multiLevelType w:val="multilevel"/>
    <w:tmpl w:val="C7F2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814FC"/>
    <w:multiLevelType w:val="multilevel"/>
    <w:tmpl w:val="92847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FC795B"/>
    <w:multiLevelType w:val="multilevel"/>
    <w:tmpl w:val="BE88E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419389">
    <w:abstractNumId w:val="9"/>
  </w:num>
  <w:num w:numId="2" w16cid:durableId="510491844">
    <w:abstractNumId w:val="2"/>
  </w:num>
  <w:num w:numId="3" w16cid:durableId="645355835">
    <w:abstractNumId w:val="8"/>
  </w:num>
  <w:num w:numId="4" w16cid:durableId="423575583">
    <w:abstractNumId w:val="13"/>
  </w:num>
  <w:num w:numId="5" w16cid:durableId="1417898172">
    <w:abstractNumId w:val="3"/>
  </w:num>
  <w:num w:numId="6" w16cid:durableId="703097724">
    <w:abstractNumId w:val="7"/>
  </w:num>
  <w:num w:numId="7" w16cid:durableId="315376996">
    <w:abstractNumId w:val="5"/>
  </w:num>
  <w:num w:numId="8" w16cid:durableId="1698118287">
    <w:abstractNumId w:val="11"/>
  </w:num>
  <w:num w:numId="9" w16cid:durableId="1762339489">
    <w:abstractNumId w:val="0"/>
  </w:num>
  <w:num w:numId="10" w16cid:durableId="1050882288">
    <w:abstractNumId w:val="1"/>
  </w:num>
  <w:num w:numId="11" w16cid:durableId="250046814">
    <w:abstractNumId w:val="4"/>
  </w:num>
  <w:num w:numId="12" w16cid:durableId="976685414">
    <w:abstractNumId w:val="12"/>
  </w:num>
  <w:num w:numId="13" w16cid:durableId="97797372">
    <w:abstractNumId w:val="10"/>
  </w:num>
  <w:num w:numId="14" w16cid:durableId="16039977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8C"/>
    <w:rsid w:val="00380B80"/>
    <w:rsid w:val="0049706B"/>
    <w:rsid w:val="004B0070"/>
    <w:rsid w:val="005B47D0"/>
    <w:rsid w:val="005C0C52"/>
    <w:rsid w:val="006100B6"/>
    <w:rsid w:val="007732BD"/>
    <w:rsid w:val="007B4A44"/>
    <w:rsid w:val="00AC7EE1"/>
    <w:rsid w:val="00FD1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63D3"/>
  <w15:chartTrackingRefBased/>
  <w15:docId w15:val="{B4FA40D8-CB67-4485-9E01-C90A16B7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48C"/>
    <w:rPr>
      <w:rFonts w:eastAsiaTheme="majorEastAsia" w:cstheme="majorBidi"/>
      <w:color w:val="272727" w:themeColor="text1" w:themeTint="D8"/>
    </w:rPr>
  </w:style>
  <w:style w:type="paragraph" w:styleId="Title">
    <w:name w:val="Title"/>
    <w:basedOn w:val="Normal"/>
    <w:next w:val="Normal"/>
    <w:link w:val="TitleChar"/>
    <w:uiPriority w:val="10"/>
    <w:qFormat/>
    <w:rsid w:val="00FD1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48C"/>
    <w:pPr>
      <w:spacing w:before="160"/>
      <w:jc w:val="center"/>
    </w:pPr>
    <w:rPr>
      <w:i/>
      <w:iCs/>
      <w:color w:val="404040" w:themeColor="text1" w:themeTint="BF"/>
    </w:rPr>
  </w:style>
  <w:style w:type="character" w:customStyle="1" w:styleId="QuoteChar">
    <w:name w:val="Quote Char"/>
    <w:basedOn w:val="DefaultParagraphFont"/>
    <w:link w:val="Quote"/>
    <w:uiPriority w:val="29"/>
    <w:rsid w:val="00FD148C"/>
    <w:rPr>
      <w:i/>
      <w:iCs/>
      <w:color w:val="404040" w:themeColor="text1" w:themeTint="BF"/>
    </w:rPr>
  </w:style>
  <w:style w:type="paragraph" w:styleId="ListParagraph">
    <w:name w:val="List Paragraph"/>
    <w:basedOn w:val="Normal"/>
    <w:uiPriority w:val="34"/>
    <w:qFormat/>
    <w:rsid w:val="00FD148C"/>
    <w:pPr>
      <w:ind w:left="720"/>
      <w:contextualSpacing/>
    </w:pPr>
  </w:style>
  <w:style w:type="character" w:styleId="IntenseEmphasis">
    <w:name w:val="Intense Emphasis"/>
    <w:basedOn w:val="DefaultParagraphFont"/>
    <w:uiPriority w:val="21"/>
    <w:qFormat/>
    <w:rsid w:val="00FD148C"/>
    <w:rPr>
      <w:i/>
      <w:iCs/>
      <w:color w:val="0F4761" w:themeColor="accent1" w:themeShade="BF"/>
    </w:rPr>
  </w:style>
  <w:style w:type="paragraph" w:styleId="IntenseQuote">
    <w:name w:val="Intense Quote"/>
    <w:basedOn w:val="Normal"/>
    <w:next w:val="Normal"/>
    <w:link w:val="IntenseQuoteChar"/>
    <w:uiPriority w:val="30"/>
    <w:qFormat/>
    <w:rsid w:val="00FD1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48C"/>
    <w:rPr>
      <w:i/>
      <w:iCs/>
      <w:color w:val="0F4761" w:themeColor="accent1" w:themeShade="BF"/>
    </w:rPr>
  </w:style>
  <w:style w:type="character" w:styleId="IntenseReference">
    <w:name w:val="Intense Reference"/>
    <w:basedOn w:val="DefaultParagraphFont"/>
    <w:uiPriority w:val="32"/>
    <w:qFormat/>
    <w:rsid w:val="00FD14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327453">
      <w:bodyDiv w:val="1"/>
      <w:marLeft w:val="0"/>
      <w:marRight w:val="0"/>
      <w:marTop w:val="0"/>
      <w:marBottom w:val="0"/>
      <w:divBdr>
        <w:top w:val="none" w:sz="0" w:space="0" w:color="auto"/>
        <w:left w:val="none" w:sz="0" w:space="0" w:color="auto"/>
        <w:bottom w:val="none" w:sz="0" w:space="0" w:color="auto"/>
        <w:right w:val="none" w:sz="0" w:space="0" w:color="auto"/>
      </w:divBdr>
    </w:div>
    <w:div w:id="453792147">
      <w:bodyDiv w:val="1"/>
      <w:marLeft w:val="0"/>
      <w:marRight w:val="0"/>
      <w:marTop w:val="0"/>
      <w:marBottom w:val="0"/>
      <w:divBdr>
        <w:top w:val="none" w:sz="0" w:space="0" w:color="auto"/>
        <w:left w:val="none" w:sz="0" w:space="0" w:color="auto"/>
        <w:bottom w:val="none" w:sz="0" w:space="0" w:color="auto"/>
        <w:right w:val="none" w:sz="0" w:space="0" w:color="auto"/>
      </w:divBdr>
    </w:div>
    <w:div w:id="675772291">
      <w:bodyDiv w:val="1"/>
      <w:marLeft w:val="0"/>
      <w:marRight w:val="0"/>
      <w:marTop w:val="0"/>
      <w:marBottom w:val="0"/>
      <w:divBdr>
        <w:top w:val="none" w:sz="0" w:space="0" w:color="auto"/>
        <w:left w:val="none" w:sz="0" w:space="0" w:color="auto"/>
        <w:bottom w:val="none" w:sz="0" w:space="0" w:color="auto"/>
        <w:right w:val="none" w:sz="0" w:space="0" w:color="auto"/>
      </w:divBdr>
    </w:div>
    <w:div w:id="1041713134">
      <w:bodyDiv w:val="1"/>
      <w:marLeft w:val="0"/>
      <w:marRight w:val="0"/>
      <w:marTop w:val="0"/>
      <w:marBottom w:val="0"/>
      <w:divBdr>
        <w:top w:val="none" w:sz="0" w:space="0" w:color="auto"/>
        <w:left w:val="none" w:sz="0" w:space="0" w:color="auto"/>
        <w:bottom w:val="none" w:sz="0" w:space="0" w:color="auto"/>
        <w:right w:val="none" w:sz="0" w:space="0" w:color="auto"/>
      </w:divBdr>
    </w:div>
    <w:div w:id="1143737984">
      <w:bodyDiv w:val="1"/>
      <w:marLeft w:val="0"/>
      <w:marRight w:val="0"/>
      <w:marTop w:val="0"/>
      <w:marBottom w:val="0"/>
      <w:divBdr>
        <w:top w:val="none" w:sz="0" w:space="0" w:color="auto"/>
        <w:left w:val="none" w:sz="0" w:space="0" w:color="auto"/>
        <w:bottom w:val="none" w:sz="0" w:space="0" w:color="auto"/>
        <w:right w:val="none" w:sz="0" w:space="0" w:color="auto"/>
      </w:divBdr>
    </w:div>
    <w:div w:id="1272392710">
      <w:bodyDiv w:val="1"/>
      <w:marLeft w:val="0"/>
      <w:marRight w:val="0"/>
      <w:marTop w:val="0"/>
      <w:marBottom w:val="0"/>
      <w:divBdr>
        <w:top w:val="none" w:sz="0" w:space="0" w:color="auto"/>
        <w:left w:val="none" w:sz="0" w:space="0" w:color="auto"/>
        <w:bottom w:val="none" w:sz="0" w:space="0" w:color="auto"/>
        <w:right w:val="none" w:sz="0" w:space="0" w:color="auto"/>
      </w:divBdr>
    </w:div>
    <w:div w:id="1361936258">
      <w:bodyDiv w:val="1"/>
      <w:marLeft w:val="0"/>
      <w:marRight w:val="0"/>
      <w:marTop w:val="0"/>
      <w:marBottom w:val="0"/>
      <w:divBdr>
        <w:top w:val="none" w:sz="0" w:space="0" w:color="auto"/>
        <w:left w:val="none" w:sz="0" w:space="0" w:color="auto"/>
        <w:bottom w:val="none" w:sz="0" w:space="0" w:color="auto"/>
        <w:right w:val="none" w:sz="0" w:space="0" w:color="auto"/>
      </w:divBdr>
    </w:div>
    <w:div w:id="181313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355</TotalTime>
  <Pages>9</Pages>
  <Words>1255</Words>
  <Characters>7156</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Nayak</dc:creator>
  <cp:keywords/>
  <dc:description/>
  <cp:lastModifiedBy>Siddhartha Nayak</cp:lastModifiedBy>
  <cp:revision>9</cp:revision>
  <dcterms:created xsi:type="dcterms:W3CDTF">2025-04-05T23:01:00Z</dcterms:created>
  <dcterms:modified xsi:type="dcterms:W3CDTF">2025-04-06T04:56:00Z</dcterms:modified>
</cp:coreProperties>
</file>