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irmala UI" w:hAnsi="Nirmala UI" w:eastAsia="Nirmala UI"/>
          <w:b/>
          <w:color w:val="2E74B5"/>
          <w:sz w:val="24"/>
        </w:rPr>
        <w:t>UPPCS PREPARATION NOTES</w:t>
      </w:r>
    </w:p>
    <w:p>
      <w:pPr>
        <w:pStyle w:val="Title"/>
        <w:jc w:val="center"/>
      </w:pPr>
      <w:r>
        <w:rPr>
          <w:rFonts w:ascii="Nirmala UI" w:hAnsi="Nirmala UI" w:eastAsia="Nirmala UI"/>
          <w:b/>
          <w:sz w:val="44"/>
        </w:rPr>
        <w:t>मौलिक अधिकार (Fundamental Rights)</w:t>
      </w:r>
    </w:p>
    <w:p>
      <w:pPr>
        <w:jc w:val="center"/>
      </w:pPr>
      <w:r>
        <w:rPr>
          <w:rFonts w:ascii="Nirmala UI" w:hAnsi="Nirmala UI" w:eastAsia="Nirmala UI"/>
          <w:b/>
          <w:sz w:val="22"/>
        </w:rPr>
        <w:t>Hindi + English | Part III, Articles 12–35 | Prelims-focused revision</w:t>
      </w:r>
    </w:p>
    <w:p>
      <w:r>
        <w:rPr>
          <w:rFonts w:ascii="Nirmala UI" w:hAnsi="Nirmala UI" w:eastAsia="Nirmala UI"/>
          <w:b w:val="0"/>
        </w:rPr>
        <w:t>Based on the Constitution of India and official government references. Fundamental Rights are subject to constitutional conditions, exceptions and reasonable restrictions.</w:t>
      </w:r>
    </w:p>
    <w:p>
      <w:pPr>
        <w:pStyle w:val="Heading1"/>
      </w:pPr>
      <w:r>
        <w:t>भाग 1: हिंदी नोट्स</w:t>
      </w:r>
    </w:p>
    <w:p>
      <w:pPr>
        <w:pStyle w:val="Heading2"/>
      </w:pPr>
      <w:r>
        <w:t>1. मौलिक अधिकार: परिचय</w:t>
      </w:r>
    </w:p>
    <w:p>
      <w:pPr>
        <w:pStyle w:val="ListBullet"/>
        <w:spacing w:after="40"/>
      </w:pPr>
      <w:r>
        <w:rPr>
          <w:rFonts w:ascii="Nirmala UI" w:hAnsi="Nirmala UI" w:eastAsia="Nirmala UI"/>
        </w:rPr>
        <w:t>मौलिक अधिकार भारतीय संविधान के भाग III (अनुच्छेद 12–35) में दिए गए हैं। ये व्यक्ति की स्वतंत्रता, समानता और गरिमा की रक्षा करते हैं।</w:t>
      </w:r>
    </w:p>
    <w:p>
      <w:pPr>
        <w:pStyle w:val="ListBullet"/>
        <w:spacing w:after="40"/>
      </w:pPr>
      <w:r>
        <w:rPr>
          <w:rFonts w:ascii="Nirmala UI" w:hAnsi="Nirmala UI" w:eastAsia="Nirmala UI"/>
        </w:rPr>
        <w:t>वर्तमान में मौलिक अधिकारों की 6 प्रमुख श्रेणियाँ मानी जाती हैं।</w:t>
      </w:r>
    </w:p>
    <w:p>
      <w:pPr>
        <w:pStyle w:val="ListBullet"/>
        <w:spacing w:after="40"/>
      </w:pPr>
      <w:r>
        <w:rPr>
          <w:rFonts w:ascii="Nirmala UI" w:hAnsi="Nirmala UI" w:eastAsia="Nirmala UI"/>
        </w:rPr>
        <w:t>मौलिक अधिकार पूर्ण/असीमित नहीं हैं; संविधान के अनुसार उचित प्रतिबंध और विशेष अपवाद लागू हो सकते हैं।</w:t>
      </w:r>
    </w:p>
    <w:p>
      <w:pPr>
        <w:pStyle w:val="ListBullet"/>
        <w:spacing w:after="40"/>
      </w:pPr>
      <w:r>
        <w:rPr>
          <w:rFonts w:ascii="Nirmala UI" w:hAnsi="Nirmala UI" w:eastAsia="Nirmala UI"/>
        </w:rPr>
        <w:t>अनुच्छेद 12 ‘राज्य’ की परिभाषा देता है; अनुच्छेद 13 मौलिक अधिकारों के विरुद्ध कानूनों से संबंधित है।</w:t>
      </w:r>
    </w:p>
    <w:p>
      <w:pPr>
        <w:pStyle w:val="ListBullet"/>
        <w:spacing w:after="40"/>
      </w:pPr>
      <w:r>
        <w:rPr>
          <w:rFonts w:ascii="Nirmala UI" w:hAnsi="Nirmala UI" w:eastAsia="Nirmala UI"/>
        </w:rPr>
        <w:t>कुछ अधिकार केवल नागरिकों को मिलते हैं, जबकि कुछ ‘सभी व्यक्तियों’ को—जैसे अनुच्छेद 14 और 21।</w:t>
      </w:r>
    </w:p>
    <w:p>
      <w:pPr>
        <w:pStyle w:val="Heading2"/>
      </w:pPr>
      <w:r>
        <w:t>2. छह मौलिक अधिकार और संबंधित अनुच्छेद</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pPr>
              <w:spacing w:after="0"/>
            </w:pPr>
            <w:r/>
            <w:r>
              <w:rPr>
                <w:rFonts w:ascii="Nirmala UI" w:hAnsi="Nirmala UI" w:eastAsia="Nirmala UI"/>
                <w:b/>
                <w:sz w:val="18"/>
              </w:rPr>
              <w:t>मौलिक अधिकार</w:t>
            </w:r>
          </w:p>
        </w:tc>
        <w:tc>
          <w:tcPr>
            <w:tcW w:type="dxa" w:w="3408"/>
            <w:shd w:fill="D9EAF7"/>
          </w:tcPr>
          <w:p>
            <w:pPr>
              <w:spacing w:after="0"/>
            </w:pPr>
            <w:r/>
            <w:r>
              <w:rPr>
                <w:rFonts w:ascii="Nirmala UI" w:hAnsi="Nirmala UI" w:eastAsia="Nirmala UI"/>
                <w:b/>
                <w:sz w:val="18"/>
              </w:rPr>
              <w:t>अनुच्छेद</w:t>
            </w:r>
          </w:p>
        </w:tc>
        <w:tc>
          <w:tcPr>
            <w:tcW w:type="dxa" w:w="3408"/>
            <w:shd w:fill="D9EAF7"/>
          </w:tcPr>
          <w:p>
            <w:pPr>
              <w:spacing w:after="0"/>
            </w:pPr>
            <w:r/>
            <w:r>
              <w:rPr>
                <w:rFonts w:ascii="Nirmala UI" w:hAnsi="Nirmala UI" w:eastAsia="Nirmala UI"/>
                <w:b/>
                <w:sz w:val="18"/>
              </w:rPr>
              <w:t>मुख्य विषय</w:t>
            </w:r>
          </w:p>
        </w:tc>
      </w:tr>
      <w:tr>
        <w:tc>
          <w:tcPr>
            <w:tcW w:type="dxa" w:w="3408"/>
          </w:tcPr>
          <w:p>
            <w:pPr>
              <w:spacing w:after="0"/>
            </w:pPr>
            <w:r/>
            <w:r>
              <w:rPr>
                <w:rFonts w:ascii="Nirmala UI" w:hAnsi="Nirmala UI" w:eastAsia="Nirmala UI"/>
                <w:b w:val="0"/>
                <w:sz w:val="18"/>
              </w:rPr>
              <w:t>समानता का अधिकार</w:t>
            </w:r>
          </w:p>
        </w:tc>
        <w:tc>
          <w:tcPr>
            <w:tcW w:type="dxa" w:w="3408"/>
          </w:tcPr>
          <w:p>
            <w:pPr>
              <w:spacing w:after="0"/>
            </w:pPr>
            <w:r/>
            <w:r>
              <w:rPr>
                <w:rFonts w:ascii="Nirmala UI" w:hAnsi="Nirmala UI" w:eastAsia="Nirmala UI"/>
                <w:b w:val="0"/>
                <w:sz w:val="18"/>
              </w:rPr>
              <w:t>14–18</w:t>
            </w:r>
          </w:p>
        </w:tc>
        <w:tc>
          <w:tcPr>
            <w:tcW w:type="dxa" w:w="3408"/>
          </w:tcPr>
          <w:p>
            <w:pPr>
              <w:spacing w:after="0"/>
            </w:pPr>
            <w:r/>
            <w:r>
              <w:rPr>
                <w:rFonts w:ascii="Nirmala UI" w:hAnsi="Nirmala UI" w:eastAsia="Nirmala UI"/>
                <w:b w:val="0"/>
                <w:sz w:val="18"/>
              </w:rPr>
              <w:t>कानून के समक्ष समानता, भेदभाव निषेध, अवसर की समानता, अस्पृश्यता/उपाधियों का उन्मूलन</w:t>
            </w:r>
          </w:p>
        </w:tc>
      </w:tr>
      <w:tr>
        <w:tc>
          <w:tcPr>
            <w:tcW w:type="dxa" w:w="3408"/>
          </w:tcPr>
          <w:p>
            <w:pPr>
              <w:spacing w:after="0"/>
            </w:pPr>
            <w:r/>
            <w:r>
              <w:rPr>
                <w:rFonts w:ascii="Nirmala UI" w:hAnsi="Nirmala UI" w:eastAsia="Nirmala UI"/>
                <w:b w:val="0"/>
                <w:sz w:val="18"/>
              </w:rPr>
              <w:t>स्वतंत्रता का अधिकार</w:t>
            </w:r>
          </w:p>
        </w:tc>
        <w:tc>
          <w:tcPr>
            <w:tcW w:type="dxa" w:w="3408"/>
          </w:tcPr>
          <w:p>
            <w:pPr>
              <w:spacing w:after="0"/>
            </w:pPr>
            <w:r/>
            <w:r>
              <w:rPr>
                <w:rFonts w:ascii="Nirmala UI" w:hAnsi="Nirmala UI" w:eastAsia="Nirmala UI"/>
                <w:b w:val="0"/>
                <w:sz w:val="18"/>
              </w:rPr>
              <w:t>19–22; 21A</w:t>
            </w:r>
          </w:p>
        </w:tc>
        <w:tc>
          <w:tcPr>
            <w:tcW w:type="dxa" w:w="3408"/>
          </w:tcPr>
          <w:p>
            <w:pPr>
              <w:spacing w:after="0"/>
            </w:pPr>
            <w:r/>
            <w:r>
              <w:rPr>
                <w:rFonts w:ascii="Nirmala UI" w:hAnsi="Nirmala UI" w:eastAsia="Nirmala UI"/>
                <w:b w:val="0"/>
                <w:sz w:val="18"/>
              </w:rPr>
              <w:t>स्वतंत्रताएँ, अपराधों में संरक्षण, जीवन/व्यक्तिगत स्वतंत्रता, शिक्षा, गिरफ्तारी/निरोध से सुरक्षा</w:t>
            </w:r>
          </w:p>
        </w:tc>
      </w:tr>
      <w:tr>
        <w:tc>
          <w:tcPr>
            <w:tcW w:type="dxa" w:w="3408"/>
          </w:tcPr>
          <w:p>
            <w:pPr>
              <w:spacing w:after="0"/>
            </w:pPr>
            <w:r/>
            <w:r>
              <w:rPr>
                <w:rFonts w:ascii="Nirmala UI" w:hAnsi="Nirmala UI" w:eastAsia="Nirmala UI"/>
                <w:b w:val="0"/>
                <w:sz w:val="18"/>
              </w:rPr>
              <w:t>शोषण के विरुद्ध अधिकार</w:t>
            </w:r>
          </w:p>
        </w:tc>
        <w:tc>
          <w:tcPr>
            <w:tcW w:type="dxa" w:w="3408"/>
          </w:tcPr>
          <w:p>
            <w:pPr>
              <w:spacing w:after="0"/>
            </w:pPr>
            <w:r/>
            <w:r>
              <w:rPr>
                <w:rFonts w:ascii="Nirmala UI" w:hAnsi="Nirmala UI" w:eastAsia="Nirmala UI"/>
                <w:b w:val="0"/>
                <w:sz w:val="18"/>
              </w:rPr>
              <w:t>23–24</w:t>
            </w:r>
          </w:p>
        </w:tc>
        <w:tc>
          <w:tcPr>
            <w:tcW w:type="dxa" w:w="3408"/>
          </w:tcPr>
          <w:p>
            <w:pPr>
              <w:spacing w:after="0"/>
            </w:pPr>
            <w:r/>
            <w:r>
              <w:rPr>
                <w:rFonts w:ascii="Nirmala UI" w:hAnsi="Nirmala UI" w:eastAsia="Nirmala UI"/>
                <w:b w:val="0"/>
                <w:sz w:val="18"/>
              </w:rPr>
              <w:t>मानव तस्करी, बेगार/बलात् श्रम और कुछ प्रकार के बाल श्रम का निषेध</w:t>
            </w:r>
          </w:p>
        </w:tc>
      </w:tr>
      <w:tr>
        <w:tc>
          <w:tcPr>
            <w:tcW w:type="dxa" w:w="3408"/>
          </w:tcPr>
          <w:p>
            <w:pPr>
              <w:spacing w:after="0"/>
            </w:pPr>
            <w:r/>
            <w:r>
              <w:rPr>
                <w:rFonts w:ascii="Nirmala UI" w:hAnsi="Nirmala UI" w:eastAsia="Nirmala UI"/>
                <w:b w:val="0"/>
                <w:sz w:val="18"/>
              </w:rPr>
              <w:t>धर्म की स्वतंत्रता का अधिकार</w:t>
            </w:r>
          </w:p>
        </w:tc>
        <w:tc>
          <w:tcPr>
            <w:tcW w:type="dxa" w:w="3408"/>
          </w:tcPr>
          <w:p>
            <w:pPr>
              <w:spacing w:after="0"/>
            </w:pPr>
            <w:r/>
            <w:r>
              <w:rPr>
                <w:rFonts w:ascii="Nirmala UI" w:hAnsi="Nirmala UI" w:eastAsia="Nirmala UI"/>
                <w:b w:val="0"/>
                <w:sz w:val="18"/>
              </w:rPr>
              <w:t>25–28</w:t>
            </w:r>
          </w:p>
        </w:tc>
        <w:tc>
          <w:tcPr>
            <w:tcW w:type="dxa" w:w="3408"/>
          </w:tcPr>
          <w:p>
            <w:pPr>
              <w:spacing w:after="0"/>
            </w:pPr>
            <w:r/>
            <w:r>
              <w:rPr>
                <w:rFonts w:ascii="Nirmala UI" w:hAnsi="Nirmala UI" w:eastAsia="Nirmala UI"/>
                <w:b w:val="0"/>
                <w:sz w:val="18"/>
              </w:rPr>
              <w:t>अंतःकरण, धर्म मानना/आचरण/प्रचार, धार्मिक संस्थाओं का प्रबंधन और धार्मिक कर/शिक्षा संबंधी प्रावधान</w:t>
            </w:r>
          </w:p>
        </w:tc>
      </w:tr>
      <w:tr>
        <w:tc>
          <w:tcPr>
            <w:tcW w:type="dxa" w:w="3408"/>
          </w:tcPr>
          <w:p>
            <w:pPr>
              <w:spacing w:after="0"/>
            </w:pPr>
            <w:r/>
            <w:r>
              <w:rPr>
                <w:rFonts w:ascii="Nirmala UI" w:hAnsi="Nirmala UI" w:eastAsia="Nirmala UI"/>
                <w:b w:val="0"/>
                <w:sz w:val="18"/>
              </w:rPr>
              <w:t>सांस्कृतिक और शैक्षिक अधिकार</w:t>
            </w:r>
          </w:p>
        </w:tc>
        <w:tc>
          <w:tcPr>
            <w:tcW w:type="dxa" w:w="3408"/>
          </w:tcPr>
          <w:p>
            <w:pPr>
              <w:spacing w:after="0"/>
            </w:pPr>
            <w:r/>
            <w:r>
              <w:rPr>
                <w:rFonts w:ascii="Nirmala UI" w:hAnsi="Nirmala UI" w:eastAsia="Nirmala UI"/>
                <w:b w:val="0"/>
                <w:sz w:val="18"/>
              </w:rPr>
              <w:t>29–30</w:t>
            </w:r>
          </w:p>
        </w:tc>
        <w:tc>
          <w:tcPr>
            <w:tcW w:type="dxa" w:w="3408"/>
          </w:tcPr>
          <w:p>
            <w:pPr>
              <w:spacing w:after="0"/>
            </w:pPr>
            <w:r/>
            <w:r>
              <w:rPr>
                <w:rFonts w:ascii="Nirmala UI" w:hAnsi="Nirmala UI" w:eastAsia="Nirmala UI"/>
                <w:b w:val="0"/>
                <w:sz w:val="18"/>
              </w:rPr>
              <w:t>भाषा, लिपि, संस्कृति का संरक्षण; अल्पसंख्यकों के शैक्षणिक संस्थान</w:t>
            </w:r>
          </w:p>
        </w:tc>
      </w:tr>
      <w:tr>
        <w:tc>
          <w:tcPr>
            <w:tcW w:type="dxa" w:w="3408"/>
          </w:tcPr>
          <w:p>
            <w:pPr>
              <w:spacing w:after="0"/>
            </w:pPr>
            <w:r/>
            <w:r>
              <w:rPr>
                <w:rFonts w:ascii="Nirmala UI" w:hAnsi="Nirmala UI" w:eastAsia="Nirmala UI"/>
                <w:b w:val="0"/>
                <w:sz w:val="18"/>
              </w:rPr>
              <w:t>संवैधानिक उपचारों का अधिकार</w:t>
            </w:r>
          </w:p>
        </w:tc>
        <w:tc>
          <w:tcPr>
            <w:tcW w:type="dxa" w:w="3408"/>
          </w:tcPr>
          <w:p>
            <w:pPr>
              <w:spacing w:after="0"/>
            </w:pPr>
            <w:r/>
            <w:r>
              <w:rPr>
                <w:rFonts w:ascii="Nirmala UI" w:hAnsi="Nirmala UI" w:eastAsia="Nirmala UI"/>
                <w:b w:val="0"/>
                <w:sz w:val="18"/>
              </w:rPr>
              <w:t>32</w:t>
            </w:r>
          </w:p>
        </w:tc>
        <w:tc>
          <w:tcPr>
            <w:tcW w:type="dxa" w:w="3408"/>
          </w:tcPr>
          <w:p>
            <w:pPr>
              <w:spacing w:after="0"/>
            </w:pPr>
            <w:r/>
            <w:r>
              <w:rPr>
                <w:rFonts w:ascii="Nirmala UI" w:hAnsi="Nirmala UI" w:eastAsia="Nirmala UI"/>
                <w:b w:val="0"/>
                <w:sz w:val="18"/>
              </w:rPr>
              <w:t>मौलिक अधिकारों के प्रवर्तन हेतु सर्वोच्च न्यायालय जाना और रिट</w:t>
            </w:r>
          </w:p>
        </w:tc>
      </w:tr>
    </w:tbl>
    <w:p/>
    <w:p>
      <w:pPr>
        <w:pStyle w:val="Heading2"/>
      </w:pPr>
      <w:r>
        <w:t>3. समानता का अधिकार (अनुच्छेद 14–18)</w:t>
      </w:r>
    </w:p>
    <w:p>
      <w:pPr>
        <w:pStyle w:val="ListBullet"/>
        <w:spacing w:after="40"/>
      </w:pPr>
      <w:r>
        <w:rPr>
          <w:rFonts w:ascii="Nirmala UI" w:hAnsi="Nirmala UI" w:eastAsia="Nirmala UI"/>
        </w:rPr>
        <w:t>अनुच्छेद 14: कानून के समक्ष समानता और कानूनों का समान संरक्षण—‘किसी व्यक्ति’ पर लागू।</w:t>
      </w:r>
    </w:p>
    <w:p>
      <w:pPr>
        <w:pStyle w:val="ListBullet"/>
        <w:spacing w:after="40"/>
      </w:pPr>
      <w:r>
        <w:rPr>
          <w:rFonts w:ascii="Nirmala UI" w:hAnsi="Nirmala UI" w:eastAsia="Nirmala UI"/>
        </w:rPr>
        <w:t>अनुच्छेद 15: धर्म, मूलवंश, जाति, लिंग या जन्मस्थान के आधार पर नागरिकों के विरुद्ध भेदभाव का निषेध; महिलाओं, बच्चों और कुछ पिछड़े/वंचित वर्गों के लिए विशेष प्रावधान संभव।</w:t>
      </w:r>
    </w:p>
    <w:p>
      <w:pPr>
        <w:pStyle w:val="ListBullet"/>
        <w:spacing w:after="40"/>
      </w:pPr>
      <w:r>
        <w:rPr>
          <w:rFonts w:ascii="Nirmala UI" w:hAnsi="Nirmala UI" w:eastAsia="Nirmala UI"/>
        </w:rPr>
        <w:t>अनुच्छेद 16: सार्वजनिक रोजगार में अवसर की समानता; संविधान के अनुसार आरक्षण संबंधी प्रावधान संभव।</w:t>
      </w:r>
    </w:p>
    <w:p>
      <w:pPr>
        <w:pStyle w:val="ListBullet"/>
        <w:spacing w:after="40"/>
      </w:pPr>
      <w:r>
        <w:rPr>
          <w:rFonts w:ascii="Nirmala UI" w:hAnsi="Nirmala UI" w:eastAsia="Nirmala UI"/>
        </w:rPr>
        <w:t>अनुच्छेद 17: अस्पृश्यता का उन्मूलन और उसका किसी भी रूप में व्यवहार निषिद्ध।</w:t>
      </w:r>
    </w:p>
    <w:p>
      <w:pPr>
        <w:pStyle w:val="ListBullet"/>
        <w:spacing w:after="40"/>
      </w:pPr>
      <w:r>
        <w:rPr>
          <w:rFonts w:ascii="Nirmala UI" w:hAnsi="Nirmala UI" w:eastAsia="Nirmala UI"/>
        </w:rPr>
        <w:t>अनुच्छेद 18: राज्य द्वारा उपाधियाँ प्रदान करने पर रोक, सैन्य और शैक्षणिक विशिष्टताओं के अपवाद सहित; विदेशी उपाधियों पर संवैधानिक सीमाएँ।</w:t>
      </w:r>
    </w:p>
    <w:p>
      <w:pPr>
        <w:pStyle w:val="Heading2"/>
      </w:pPr>
      <w:r>
        <w:t>4. स्वतंत्रता का अधिकार (अनुच्छेद 19–22 और 21A)</w:t>
      </w:r>
    </w:p>
    <w:p>
      <w:pPr>
        <w:pStyle w:val="ListBullet"/>
        <w:spacing w:after="40"/>
      </w:pPr>
      <w:r>
        <w:rPr>
          <w:rFonts w:ascii="Nirmala UI" w:hAnsi="Nirmala UI" w:eastAsia="Nirmala UI"/>
        </w:rPr>
        <w:t>अनुच्छेद 19(1) नागरिकों को छह स्वतंत्रताएँ देता है: (i) वाक् एवं अभिव्यक्ति, (ii) शांतिपूर्वक और बिना हथियार सभा, (iii) संघ/संगठन/सहकारी समितियाँ बनाना, (iv) भारत में स्वतंत्र आवागमन, (v) भारत के किसी भाग में निवास/बसना, (vi) पेशा/व्यवसाय/व्यापार करना। ये उचित प्रतिबंधों के अधीन हैं।</w:t>
      </w:r>
    </w:p>
    <w:p>
      <w:pPr>
        <w:pStyle w:val="ListBullet"/>
        <w:spacing w:after="40"/>
      </w:pPr>
      <w:r>
        <w:rPr>
          <w:rFonts w:ascii="Nirmala UI" w:hAnsi="Nirmala UI" w:eastAsia="Nirmala UI"/>
        </w:rPr>
        <w:t>अनुच्छेद 20: अपराधों में तीन सुरक्षा—पूर्वव्यापी दंडात्मक कानून से संरक्षण, एक अपराध के लिए दो बार दंड से संरक्षण, और स्वयं के विरुद्ध गवाही देने के लिए बाध्य न किया जाना।</w:t>
      </w:r>
    </w:p>
    <w:p>
      <w:pPr>
        <w:pStyle w:val="ListBullet"/>
        <w:spacing w:after="40"/>
      </w:pPr>
      <w:r>
        <w:rPr>
          <w:rFonts w:ascii="Nirmala UI" w:hAnsi="Nirmala UI" w:eastAsia="Nirmala UI"/>
        </w:rPr>
        <w:t>अनुच्छेद 21: जीवन और व्यक्तिगत स्वतंत्रता का संरक्षण; कानून द्वारा स्थापित प्रक्रिया के बिना वंचित नहीं किया जा सकता। न्यायिक व्याख्या में गरिमा और निजता जैसे पहलू शामिल हैं।</w:t>
      </w:r>
    </w:p>
    <w:p>
      <w:pPr>
        <w:pStyle w:val="ListBullet"/>
        <w:spacing w:after="40"/>
      </w:pPr>
      <w:r>
        <w:rPr>
          <w:rFonts w:ascii="Nirmala UI" w:hAnsi="Nirmala UI" w:eastAsia="Nirmala UI"/>
        </w:rPr>
        <w:t>अनुच्छेद 21A: 6 से 14 वर्ष तक के बच्चों के लिए निःशुल्क और अनिवार्य शिक्षा का अधिकार।</w:t>
      </w:r>
    </w:p>
    <w:p>
      <w:pPr>
        <w:pStyle w:val="ListBullet"/>
        <w:spacing w:after="40"/>
      </w:pPr>
      <w:r>
        <w:rPr>
          <w:rFonts w:ascii="Nirmala UI" w:hAnsi="Nirmala UI" w:eastAsia="Nirmala UI"/>
        </w:rPr>
        <w:t>अनुच्छेद 22: गिरफ्तारी और निरोध के मामलों में कुछ सुरक्षा देता है; निवारक निरोध के लिए अलग संवैधानिक प्रावधान/सीमाएँ हैं।</w:t>
      </w:r>
    </w:p>
    <w:p>
      <w:pPr>
        <w:pStyle w:val="Heading2"/>
      </w:pPr>
      <w:r>
        <w:t>5. शोषण के विरुद्ध अधिकार (अनुच्छेद 23–24)</w:t>
      </w:r>
    </w:p>
    <w:p>
      <w:pPr>
        <w:pStyle w:val="ListBullet"/>
        <w:spacing w:after="40"/>
      </w:pPr>
      <w:r>
        <w:rPr>
          <w:rFonts w:ascii="Nirmala UI" w:hAnsi="Nirmala UI" w:eastAsia="Nirmala UI"/>
        </w:rPr>
        <w:t>अनुच्छेद 23: मानव तस्करी, बेगार और अन्य समान प्रकार के बलात् श्रम का निषेध; यह राज्य और निजी व्यक्तियों दोनों के विरुद्ध लागू हो सकता है।</w:t>
      </w:r>
    </w:p>
    <w:p>
      <w:pPr>
        <w:pStyle w:val="ListBullet"/>
        <w:spacing w:after="40"/>
      </w:pPr>
      <w:r>
        <w:rPr>
          <w:rFonts w:ascii="Nirmala UI" w:hAnsi="Nirmala UI" w:eastAsia="Nirmala UI"/>
        </w:rPr>
        <w:t>अनुच्छेद 24: 14 वर्ष से कम आयु के बच्चों को कारखाने, खान या अन्य खतरनाक रोजगार में काम पर लगाने पर रोक।</w:t>
      </w:r>
    </w:p>
    <w:p>
      <w:pPr>
        <w:pStyle w:val="Heading2"/>
      </w:pPr>
      <w:r>
        <w:t>6. धर्म की स्वतंत्रता (अनुच्छेद 25–28)</w:t>
      </w:r>
    </w:p>
    <w:p>
      <w:pPr>
        <w:pStyle w:val="ListBullet"/>
        <w:spacing w:after="40"/>
      </w:pPr>
      <w:r>
        <w:rPr>
          <w:rFonts w:ascii="Nirmala UI" w:hAnsi="Nirmala UI" w:eastAsia="Nirmala UI"/>
        </w:rPr>
        <w:t>अनुच्छेद 25: अंतःकरण की स्वतंत्रता तथा धर्म को मानने, आचरण करने और प्रचार करने की स्वतंत्रता—सार्वजनिक व्यवस्था, नैतिकता, स्वास्थ्य और अन्य संवैधानिक प्रावधानों के अधीन।</w:t>
      </w:r>
    </w:p>
    <w:p>
      <w:pPr>
        <w:pStyle w:val="ListBullet"/>
        <w:spacing w:after="40"/>
      </w:pPr>
      <w:r>
        <w:rPr>
          <w:rFonts w:ascii="Nirmala UI" w:hAnsi="Nirmala UI" w:eastAsia="Nirmala UI"/>
        </w:rPr>
        <w:t>अनुच्छेद 26: धार्मिक संप्रदायों को धार्मिक मामलों का प्रबंधन करने के कुछ अधिकार।</w:t>
      </w:r>
    </w:p>
    <w:p>
      <w:pPr>
        <w:pStyle w:val="ListBullet"/>
        <w:spacing w:after="40"/>
      </w:pPr>
      <w:r>
        <w:rPr>
          <w:rFonts w:ascii="Nirmala UI" w:hAnsi="Nirmala UI" w:eastAsia="Nirmala UI"/>
        </w:rPr>
        <w:t>अनुच्छेद 27: किसी विशेष धर्म के प्रचार/पालन हेतु विशेष रूप से निर्धारित कर देने के लिए बाध्य नहीं किया जा सकता।</w:t>
      </w:r>
    </w:p>
    <w:p>
      <w:pPr>
        <w:pStyle w:val="ListBullet"/>
        <w:spacing w:after="40"/>
      </w:pPr>
      <w:r>
        <w:rPr>
          <w:rFonts w:ascii="Nirmala UI" w:hAnsi="Nirmala UI" w:eastAsia="Nirmala UI"/>
        </w:rPr>
        <w:t>अनुच्छेद 28: कुछ शैक्षणिक संस्थानों में धार्मिक शिक्षा/उपासना में भागीदारी से संबंधित नियम; सभी संस्थानों पर एक जैसा नियम लागू नहीं होता।</w:t>
      </w:r>
    </w:p>
    <w:p>
      <w:pPr>
        <w:pStyle w:val="Heading2"/>
      </w:pPr>
      <w:r>
        <w:t>7. सांस्कृतिक और शैक्षिक अधिकार (अनुच्छेद 29–30)</w:t>
      </w:r>
    </w:p>
    <w:p>
      <w:pPr>
        <w:pStyle w:val="ListBullet"/>
        <w:spacing w:after="40"/>
      </w:pPr>
      <w:r>
        <w:rPr>
          <w:rFonts w:ascii="Nirmala UI" w:hAnsi="Nirmala UI" w:eastAsia="Nirmala UI"/>
        </w:rPr>
        <w:t>अनुच्छेद 29: नागरिकों के किसी वर्ग को अपनी विशिष्ट भाषा, लिपि और संस्कृति सुरक्षित रखने का अधिकार; राज्य-प्रबंधित/राज्य-सहायता प्राप्त संस्थानों में प्रवेश से संबंधित भेदभाव पर रोक।</w:t>
      </w:r>
    </w:p>
    <w:p>
      <w:pPr>
        <w:pStyle w:val="ListBullet"/>
        <w:spacing w:after="40"/>
      </w:pPr>
      <w:r>
        <w:rPr>
          <w:rFonts w:ascii="Nirmala UI" w:hAnsi="Nirmala UI" w:eastAsia="Nirmala UI"/>
        </w:rPr>
        <w:t>अनुच्छेद 30: धार्मिक या भाषायी अल्पसंख्यकों को अपनी पसंद के शैक्षणिक संस्थान स्थापित और प्रशासित करने का अधिकार, संवैधानिक सीमाओं के अधीन।</w:t>
      </w:r>
    </w:p>
    <w:p>
      <w:pPr>
        <w:pStyle w:val="Heading2"/>
      </w:pPr>
      <w:r>
        <w:t>8. संवैधानिक उपचारों का अधिकार (अनुच्छेद 32)</w:t>
      </w:r>
    </w:p>
    <w:p>
      <w:pPr>
        <w:pStyle w:val="ListBullet"/>
        <w:spacing w:after="40"/>
      </w:pPr>
      <w:r>
        <w:rPr>
          <w:rFonts w:ascii="Nirmala UI" w:hAnsi="Nirmala UI" w:eastAsia="Nirmala UI"/>
        </w:rPr>
        <w:t>अनुच्छेद 32 के अंतर्गत मौलिक अधिकारों के प्रवर्तन के लिए सर्वोच्च न्यायालय जाया जा सकता है। सर्वोच्च न्यायालय रिट/आदेश/निर्देश जारी कर सकता है।</w:t>
      </w:r>
    </w:p>
    <w:tbl>
      <w:tblPr>
        <w:tblStyle w:val="TableGrid"/>
        <w:tblW w:type="auto" w:w="0"/>
        <w:tblLook w:firstColumn="1" w:firstRow="1" w:lastColumn="0" w:lastRow="0" w:noHBand="0" w:noVBand="1" w:val="04A0"/>
      </w:tblPr>
      <w:tblGrid>
        <w:gridCol w:w="5112"/>
        <w:gridCol w:w="5112"/>
      </w:tblGrid>
      <w:tr>
        <w:tc>
          <w:tcPr>
            <w:tcW w:type="dxa" w:w="5112"/>
            <w:shd w:fill="D9EAF7"/>
          </w:tcPr>
          <w:p>
            <w:pPr>
              <w:spacing w:after="0"/>
            </w:pPr>
            <w:r/>
            <w:r>
              <w:rPr>
                <w:rFonts w:ascii="Nirmala UI" w:hAnsi="Nirmala UI" w:eastAsia="Nirmala UI"/>
                <w:b/>
                <w:sz w:val="18"/>
              </w:rPr>
              <w:t>रिट</w:t>
            </w:r>
          </w:p>
        </w:tc>
        <w:tc>
          <w:tcPr>
            <w:tcW w:type="dxa" w:w="5112"/>
            <w:shd w:fill="D9EAF7"/>
          </w:tcPr>
          <w:p>
            <w:pPr>
              <w:spacing w:after="0"/>
            </w:pPr>
            <w:r/>
            <w:r>
              <w:rPr>
                <w:rFonts w:ascii="Nirmala UI" w:hAnsi="Nirmala UI" w:eastAsia="Nirmala UI"/>
                <w:b/>
                <w:sz w:val="18"/>
              </w:rPr>
              <w:t>अर्थ / उद्देश्य</w:t>
            </w:r>
          </w:p>
        </w:tc>
      </w:tr>
      <w:tr>
        <w:tc>
          <w:tcPr>
            <w:tcW w:type="dxa" w:w="5112"/>
          </w:tcPr>
          <w:p>
            <w:pPr>
              <w:spacing w:after="0"/>
            </w:pPr>
            <w:r/>
            <w:r>
              <w:rPr>
                <w:rFonts w:ascii="Nirmala UI" w:hAnsi="Nirmala UI" w:eastAsia="Nirmala UI"/>
                <w:b w:val="0"/>
                <w:sz w:val="18"/>
              </w:rPr>
              <w:t>बंदी प्रत्यक्षीकरण (Habeas Corpus)</w:t>
            </w:r>
          </w:p>
        </w:tc>
        <w:tc>
          <w:tcPr>
            <w:tcW w:type="dxa" w:w="5112"/>
          </w:tcPr>
          <w:p>
            <w:pPr>
              <w:spacing w:after="0"/>
            </w:pPr>
            <w:r/>
            <w:r>
              <w:rPr>
                <w:rFonts w:ascii="Nirmala UI" w:hAnsi="Nirmala UI" w:eastAsia="Nirmala UI"/>
                <w:b w:val="0"/>
                <w:sz w:val="18"/>
              </w:rPr>
              <w:t>अवैध हिरासत में रखे व्यक्ति को न्यायालय के सामने प्रस्तुत करना</w:t>
            </w:r>
          </w:p>
        </w:tc>
      </w:tr>
      <w:tr>
        <w:tc>
          <w:tcPr>
            <w:tcW w:type="dxa" w:w="5112"/>
          </w:tcPr>
          <w:p>
            <w:pPr>
              <w:spacing w:after="0"/>
            </w:pPr>
            <w:r/>
            <w:r>
              <w:rPr>
                <w:rFonts w:ascii="Nirmala UI" w:hAnsi="Nirmala UI" w:eastAsia="Nirmala UI"/>
                <w:b w:val="0"/>
                <w:sz w:val="18"/>
              </w:rPr>
              <w:t>परमादेश (Mandamus)</w:t>
            </w:r>
          </w:p>
        </w:tc>
        <w:tc>
          <w:tcPr>
            <w:tcW w:type="dxa" w:w="5112"/>
          </w:tcPr>
          <w:p>
            <w:pPr>
              <w:spacing w:after="0"/>
            </w:pPr>
            <w:r/>
            <w:r>
              <w:rPr>
                <w:rFonts w:ascii="Nirmala UI" w:hAnsi="Nirmala UI" w:eastAsia="Nirmala UI"/>
                <w:b w:val="0"/>
                <w:sz w:val="18"/>
              </w:rPr>
              <w:t>सार्वजनिक प्राधिकारी को उसका कानूनी कर्तव्य करने का आदेश</w:t>
            </w:r>
          </w:p>
        </w:tc>
      </w:tr>
      <w:tr>
        <w:tc>
          <w:tcPr>
            <w:tcW w:type="dxa" w:w="5112"/>
          </w:tcPr>
          <w:p>
            <w:pPr>
              <w:spacing w:after="0"/>
            </w:pPr>
            <w:r/>
            <w:r>
              <w:rPr>
                <w:rFonts w:ascii="Nirmala UI" w:hAnsi="Nirmala UI" w:eastAsia="Nirmala UI"/>
                <w:b w:val="0"/>
                <w:sz w:val="18"/>
              </w:rPr>
              <w:t>प्रतिषेध (Prohibition)</w:t>
            </w:r>
          </w:p>
        </w:tc>
        <w:tc>
          <w:tcPr>
            <w:tcW w:type="dxa" w:w="5112"/>
          </w:tcPr>
          <w:p>
            <w:pPr>
              <w:spacing w:after="0"/>
            </w:pPr>
            <w:r/>
            <w:r>
              <w:rPr>
                <w:rFonts w:ascii="Nirmala UI" w:hAnsi="Nirmala UI" w:eastAsia="Nirmala UI"/>
                <w:b w:val="0"/>
                <w:sz w:val="18"/>
              </w:rPr>
              <w:t>अधीनस्थ न्यायालय/अधिकरण को अधिकार-क्षेत्र से बाहर कार्यवाही आगे बढ़ाने से रोकना</w:t>
            </w:r>
          </w:p>
        </w:tc>
      </w:tr>
      <w:tr>
        <w:tc>
          <w:tcPr>
            <w:tcW w:type="dxa" w:w="5112"/>
          </w:tcPr>
          <w:p>
            <w:pPr>
              <w:spacing w:after="0"/>
            </w:pPr>
            <w:r/>
            <w:r>
              <w:rPr>
                <w:rFonts w:ascii="Nirmala UI" w:hAnsi="Nirmala UI" w:eastAsia="Nirmala UI"/>
                <w:b w:val="0"/>
                <w:sz w:val="18"/>
              </w:rPr>
              <w:t>उत्प्रेषण (Certiorari)</w:t>
            </w:r>
          </w:p>
        </w:tc>
        <w:tc>
          <w:tcPr>
            <w:tcW w:type="dxa" w:w="5112"/>
          </w:tcPr>
          <w:p>
            <w:pPr>
              <w:spacing w:after="0"/>
            </w:pPr>
            <w:r/>
            <w:r>
              <w:rPr>
                <w:rFonts w:ascii="Nirmala UI" w:hAnsi="Nirmala UI" w:eastAsia="Nirmala UI"/>
                <w:b w:val="0"/>
                <w:sz w:val="18"/>
              </w:rPr>
              <w:t>निर्धारित कानूनी आधारों पर अधीनस्थ न्यायालय/अधिकरण के आदेश को निरस्त करना</w:t>
            </w:r>
          </w:p>
        </w:tc>
      </w:tr>
      <w:tr>
        <w:tc>
          <w:tcPr>
            <w:tcW w:type="dxa" w:w="5112"/>
          </w:tcPr>
          <w:p>
            <w:pPr>
              <w:spacing w:after="0"/>
            </w:pPr>
            <w:r/>
            <w:r>
              <w:rPr>
                <w:rFonts w:ascii="Nirmala UI" w:hAnsi="Nirmala UI" w:eastAsia="Nirmala UI"/>
                <w:b w:val="0"/>
                <w:sz w:val="18"/>
              </w:rPr>
              <w:t>अधिकार-पृच्छा (Quo Warranto)</w:t>
            </w:r>
          </w:p>
        </w:tc>
        <w:tc>
          <w:tcPr>
            <w:tcW w:type="dxa" w:w="5112"/>
          </w:tcPr>
          <w:p>
            <w:pPr>
              <w:spacing w:after="0"/>
            </w:pPr>
            <w:r/>
            <w:r>
              <w:rPr>
                <w:rFonts w:ascii="Nirmala UI" w:hAnsi="Nirmala UI" w:eastAsia="Nirmala UI"/>
                <w:b w:val="0"/>
                <w:sz w:val="18"/>
              </w:rPr>
              <w:t>किसी व्यक्ति से पूछना कि वह किस कानूनी अधिकार से सार्वजनिक पद धारण कर रहा है</w:t>
            </w:r>
          </w:p>
        </w:tc>
      </w:tr>
    </w:tbl>
    <w:p/>
    <w:p>
      <w:pPr>
        <w:pStyle w:val="ListBullet"/>
        <w:spacing w:after="40"/>
      </w:pPr>
      <w:r>
        <w:rPr>
          <w:rFonts w:ascii="Nirmala UI" w:hAnsi="Nirmala UI" w:eastAsia="Nirmala UI"/>
        </w:rPr>
        <w:t>अनुच्छेद 226 के अंतर्गत उच्च न्यायालय मौलिक अधिकारों के साथ-साथ अन्य कानूनी अधिकारों के लिए भी रिट जारी कर सकते हैं; इसलिए इसका दायरा अनुच्छेद 32 से व्यापक है।</w:t>
      </w:r>
    </w:p>
    <w:p>
      <w:pPr>
        <w:pStyle w:val="Heading2"/>
      </w:pPr>
      <w:r>
        <w:t>9. परीक्षा के लिए महत्त्वपूर्ण तथ्य</w:t>
      </w:r>
    </w:p>
    <w:p>
      <w:pPr>
        <w:pStyle w:val="ListBullet"/>
        <w:spacing w:after="40"/>
      </w:pPr>
      <w:r>
        <w:rPr>
          <w:rFonts w:ascii="Nirmala UI" w:hAnsi="Nirmala UI" w:eastAsia="Nirmala UI"/>
        </w:rPr>
        <w:t>संपत्ति का अधिकार अब मौलिक अधिकार नहीं है; यह अनुच्छेद 300A के अंतर्गत संवैधानिक अधिकार है। 44वें संविधान संशोधन, 1978 ने इसे मौलिक अधिकारों की सूची से हटाया।</w:t>
      </w:r>
    </w:p>
    <w:p>
      <w:pPr>
        <w:pStyle w:val="ListBullet"/>
        <w:spacing w:after="40"/>
      </w:pPr>
      <w:r>
        <w:rPr>
          <w:rFonts w:ascii="Nirmala UI" w:hAnsi="Nirmala UI" w:eastAsia="Nirmala UI"/>
        </w:rPr>
        <w:t>अनुच्छेद 33 संसद को सशस्त्र बलों आदि के सदस्यों के मौलिक अधिकारों में कानून द्वारा सीमाएँ लगाने की शक्ति देता है, ताकि कर्तव्य और अनुशासन बने रहें।</w:t>
      </w:r>
    </w:p>
    <w:p>
      <w:pPr>
        <w:pStyle w:val="ListBullet"/>
        <w:spacing w:after="40"/>
      </w:pPr>
      <w:r>
        <w:rPr>
          <w:rFonts w:ascii="Nirmala UI" w:hAnsi="Nirmala UI" w:eastAsia="Nirmala UI"/>
        </w:rPr>
        <w:t>अनुच्छेद 34 मार्शल लॉ लागू क्षेत्र में अधिकारों पर प्रतिबंध/कृत्यों के लिए क्षतिपूर्ति संबंधी प्रावधान से जुड़ा है।</w:t>
      </w:r>
    </w:p>
    <w:p>
      <w:pPr>
        <w:pStyle w:val="ListBullet"/>
        <w:spacing w:after="40"/>
      </w:pPr>
      <w:r>
        <w:rPr>
          <w:rFonts w:ascii="Nirmala UI" w:hAnsi="Nirmala UI" w:eastAsia="Nirmala UI"/>
        </w:rPr>
        <w:t>अनुच्छेद 35 कुछ विषयों पर कानून बनाने की विशेष शक्ति संसद को देता है।</w:t>
      </w:r>
    </w:p>
    <w:p>
      <w:pPr>
        <w:pStyle w:val="ListBullet"/>
        <w:spacing w:after="40"/>
      </w:pPr>
      <w:r>
        <w:rPr>
          <w:rFonts w:ascii="Nirmala UI" w:hAnsi="Nirmala UI" w:eastAsia="Nirmala UI"/>
        </w:rPr>
        <w:t>राष्ट्रीय आपातकाल में अनुच्छेद 19 पर प्रभाव अनुच्छेद 358 के अनुसार हो सकता है; अनुच्छेद 359 के अंतर्गत कुछ मौलिक अधिकारों के प्रवर्तन हेतु न्यायालय जाने का अधिकार निलंबित किया जा सकता है। अनुच्छेद 20 और 21 के प्रवर्तन को इस तरह निलंबित नहीं किया जा सकता।</w:t>
      </w:r>
    </w:p>
    <w:p>
      <w:pPr>
        <w:pStyle w:val="Heading2"/>
      </w:pPr>
      <w:r>
        <w:t>10. UPPCS Prelims MCQs — हिंदी</w:t>
      </w:r>
    </w:p>
    <w:p>
      <w:r>
        <w:rPr>
          <w:rFonts w:ascii="Nirmala UI" w:hAnsi="Nirmala UI" w:eastAsia="Nirmala UI"/>
          <w:b w:val="0"/>
        </w:rPr>
        <w:t>1. मौलिक अधिकार संविधान के किस भाग में हैं?</w:t>
      </w:r>
    </w:p>
    <w:p>
      <w:pPr>
        <w:pStyle w:val="ListBullet"/>
        <w:spacing w:after="40"/>
      </w:pPr>
      <w:r>
        <w:rPr>
          <w:rFonts w:ascii="Nirmala UI" w:hAnsi="Nirmala UI" w:eastAsia="Nirmala UI"/>
        </w:rPr>
        <w:t>A. भाग II</w:t>
      </w:r>
    </w:p>
    <w:p>
      <w:pPr>
        <w:pStyle w:val="ListBullet"/>
        <w:spacing w:after="40"/>
      </w:pPr>
      <w:r>
        <w:rPr>
          <w:rFonts w:ascii="Nirmala UI" w:hAnsi="Nirmala UI" w:eastAsia="Nirmala UI"/>
        </w:rPr>
        <w:t>B. भाग III</w:t>
      </w:r>
    </w:p>
    <w:p>
      <w:pPr>
        <w:pStyle w:val="ListBullet"/>
        <w:spacing w:after="40"/>
      </w:pPr>
      <w:r>
        <w:rPr>
          <w:rFonts w:ascii="Nirmala UI" w:hAnsi="Nirmala UI" w:eastAsia="Nirmala UI"/>
        </w:rPr>
        <w:t>C. भाग IV</w:t>
      </w:r>
    </w:p>
    <w:p>
      <w:pPr>
        <w:pStyle w:val="ListBullet"/>
        <w:spacing w:after="40"/>
      </w:pPr>
      <w:r>
        <w:rPr>
          <w:rFonts w:ascii="Nirmala UI" w:hAnsi="Nirmala UI" w:eastAsia="Nirmala UI"/>
        </w:rPr>
        <w:t>D. भाग IVA</w:t>
      </w:r>
    </w:p>
    <w:p>
      <w:r>
        <w:rPr>
          <w:rFonts w:ascii="Nirmala UI" w:hAnsi="Nirmala UI" w:eastAsia="Nirmala UI"/>
          <w:b/>
        </w:rPr>
        <w:t>उत्तर: B — भाग III</w:t>
      </w:r>
    </w:p>
    <w:p>
      <w:r>
        <w:rPr>
          <w:rFonts w:ascii="Nirmala UI" w:hAnsi="Nirmala UI" w:eastAsia="Nirmala UI"/>
          <w:b w:val="0"/>
        </w:rPr>
        <w:t>2. कानून के समक्ष समानता किस अनुच्छेद में है?</w:t>
      </w:r>
    </w:p>
    <w:p>
      <w:pPr>
        <w:pStyle w:val="ListBullet"/>
        <w:spacing w:after="40"/>
      </w:pPr>
      <w:r>
        <w:rPr>
          <w:rFonts w:ascii="Nirmala UI" w:hAnsi="Nirmala UI" w:eastAsia="Nirmala UI"/>
        </w:rPr>
        <w:t>A. 14</w:t>
      </w:r>
    </w:p>
    <w:p>
      <w:pPr>
        <w:pStyle w:val="ListBullet"/>
        <w:spacing w:after="40"/>
      </w:pPr>
      <w:r>
        <w:rPr>
          <w:rFonts w:ascii="Nirmala UI" w:hAnsi="Nirmala UI" w:eastAsia="Nirmala UI"/>
        </w:rPr>
        <w:t>B. 17</w:t>
      </w:r>
    </w:p>
    <w:p>
      <w:pPr>
        <w:pStyle w:val="ListBullet"/>
        <w:spacing w:after="40"/>
      </w:pPr>
      <w:r>
        <w:rPr>
          <w:rFonts w:ascii="Nirmala UI" w:hAnsi="Nirmala UI" w:eastAsia="Nirmala UI"/>
        </w:rPr>
        <w:t>C. 19</w:t>
      </w:r>
    </w:p>
    <w:p>
      <w:pPr>
        <w:pStyle w:val="ListBullet"/>
        <w:spacing w:after="40"/>
      </w:pPr>
      <w:r>
        <w:rPr>
          <w:rFonts w:ascii="Nirmala UI" w:hAnsi="Nirmala UI" w:eastAsia="Nirmala UI"/>
        </w:rPr>
        <w:t>D. 21</w:t>
      </w:r>
    </w:p>
    <w:p>
      <w:r>
        <w:rPr>
          <w:rFonts w:ascii="Nirmala UI" w:hAnsi="Nirmala UI" w:eastAsia="Nirmala UI"/>
          <w:b/>
        </w:rPr>
        <w:t>उत्तर: A — अनुच्छेद 14</w:t>
      </w:r>
    </w:p>
    <w:p>
      <w:r>
        <w:rPr>
          <w:rFonts w:ascii="Nirmala UI" w:hAnsi="Nirmala UI" w:eastAsia="Nirmala UI"/>
          <w:b w:val="0"/>
        </w:rPr>
        <w:t>3. अस्पृश्यता का उन्मूलन किस अनुच्छेद में है?</w:t>
      </w:r>
    </w:p>
    <w:p>
      <w:pPr>
        <w:pStyle w:val="ListBullet"/>
        <w:spacing w:after="40"/>
      </w:pPr>
      <w:r>
        <w:rPr>
          <w:rFonts w:ascii="Nirmala UI" w:hAnsi="Nirmala UI" w:eastAsia="Nirmala UI"/>
        </w:rPr>
        <w:t>A. 15</w:t>
      </w:r>
    </w:p>
    <w:p>
      <w:pPr>
        <w:pStyle w:val="ListBullet"/>
        <w:spacing w:after="40"/>
      </w:pPr>
      <w:r>
        <w:rPr>
          <w:rFonts w:ascii="Nirmala UI" w:hAnsi="Nirmala UI" w:eastAsia="Nirmala UI"/>
        </w:rPr>
        <w:t>B. 16</w:t>
      </w:r>
    </w:p>
    <w:p>
      <w:pPr>
        <w:pStyle w:val="ListBullet"/>
        <w:spacing w:after="40"/>
      </w:pPr>
      <w:r>
        <w:rPr>
          <w:rFonts w:ascii="Nirmala UI" w:hAnsi="Nirmala UI" w:eastAsia="Nirmala UI"/>
        </w:rPr>
        <w:t>C. 17</w:t>
      </w:r>
    </w:p>
    <w:p>
      <w:pPr>
        <w:pStyle w:val="ListBullet"/>
        <w:spacing w:after="40"/>
      </w:pPr>
      <w:r>
        <w:rPr>
          <w:rFonts w:ascii="Nirmala UI" w:hAnsi="Nirmala UI" w:eastAsia="Nirmala UI"/>
        </w:rPr>
        <w:t>D. 18</w:t>
      </w:r>
    </w:p>
    <w:p>
      <w:r>
        <w:rPr>
          <w:rFonts w:ascii="Nirmala UI" w:hAnsi="Nirmala UI" w:eastAsia="Nirmala UI"/>
          <w:b/>
        </w:rPr>
        <w:t>उत्तर: C — अनुच्छेद 17</w:t>
      </w:r>
    </w:p>
    <w:p>
      <w:r>
        <w:rPr>
          <w:rFonts w:ascii="Nirmala UI" w:hAnsi="Nirmala UI" w:eastAsia="Nirmala UI"/>
          <w:b w:val="0"/>
        </w:rPr>
        <w:t>4. शिक्षा का मौलिक अधिकार किस आयु-वर्ग के लिए है?</w:t>
      </w:r>
    </w:p>
    <w:p>
      <w:pPr>
        <w:pStyle w:val="ListBullet"/>
        <w:spacing w:after="40"/>
      </w:pPr>
      <w:r>
        <w:rPr>
          <w:rFonts w:ascii="Nirmala UI" w:hAnsi="Nirmala UI" w:eastAsia="Nirmala UI"/>
        </w:rPr>
        <w:t>A. 3–6 वर्ष</w:t>
      </w:r>
    </w:p>
    <w:p>
      <w:pPr>
        <w:pStyle w:val="ListBullet"/>
        <w:spacing w:after="40"/>
      </w:pPr>
      <w:r>
        <w:rPr>
          <w:rFonts w:ascii="Nirmala UI" w:hAnsi="Nirmala UI" w:eastAsia="Nirmala UI"/>
        </w:rPr>
        <w:t>B. 6–14 वर्ष</w:t>
      </w:r>
    </w:p>
    <w:p>
      <w:pPr>
        <w:pStyle w:val="ListBullet"/>
        <w:spacing w:after="40"/>
      </w:pPr>
      <w:r>
        <w:rPr>
          <w:rFonts w:ascii="Nirmala UI" w:hAnsi="Nirmala UI" w:eastAsia="Nirmala UI"/>
        </w:rPr>
        <w:t>C. 14–18 वर्ष</w:t>
      </w:r>
    </w:p>
    <w:p>
      <w:pPr>
        <w:pStyle w:val="ListBullet"/>
        <w:spacing w:after="40"/>
      </w:pPr>
      <w:r>
        <w:rPr>
          <w:rFonts w:ascii="Nirmala UI" w:hAnsi="Nirmala UI" w:eastAsia="Nirmala UI"/>
        </w:rPr>
        <w:t>D. सभी आयु</w:t>
      </w:r>
    </w:p>
    <w:p>
      <w:r>
        <w:rPr>
          <w:rFonts w:ascii="Nirmala UI" w:hAnsi="Nirmala UI" w:eastAsia="Nirmala UI"/>
          <w:b/>
        </w:rPr>
        <w:t>उत्तर: B — 6–14 वर्ष</w:t>
      </w:r>
    </w:p>
    <w:p>
      <w:r>
        <w:rPr>
          <w:rFonts w:ascii="Nirmala UI" w:hAnsi="Nirmala UI" w:eastAsia="Nirmala UI"/>
          <w:b w:val="0"/>
        </w:rPr>
        <w:t>5. मौलिक अधिकारों के प्रवर्तन हेतु सर्वोच्च न्यायालय जाने का अधिकार किस अनुच्छेद में है?</w:t>
      </w:r>
    </w:p>
    <w:p>
      <w:pPr>
        <w:pStyle w:val="ListBullet"/>
        <w:spacing w:after="40"/>
      </w:pPr>
      <w:r>
        <w:rPr>
          <w:rFonts w:ascii="Nirmala UI" w:hAnsi="Nirmala UI" w:eastAsia="Nirmala UI"/>
        </w:rPr>
        <w:t>A. 21</w:t>
      </w:r>
    </w:p>
    <w:p>
      <w:pPr>
        <w:pStyle w:val="ListBullet"/>
        <w:spacing w:after="40"/>
      </w:pPr>
      <w:r>
        <w:rPr>
          <w:rFonts w:ascii="Nirmala UI" w:hAnsi="Nirmala UI" w:eastAsia="Nirmala UI"/>
        </w:rPr>
        <w:t>B. 25</w:t>
      </w:r>
    </w:p>
    <w:p>
      <w:pPr>
        <w:pStyle w:val="ListBullet"/>
        <w:spacing w:after="40"/>
      </w:pPr>
      <w:r>
        <w:rPr>
          <w:rFonts w:ascii="Nirmala UI" w:hAnsi="Nirmala UI" w:eastAsia="Nirmala UI"/>
        </w:rPr>
        <w:t>C. 32</w:t>
      </w:r>
    </w:p>
    <w:p>
      <w:pPr>
        <w:pStyle w:val="ListBullet"/>
        <w:spacing w:after="40"/>
      </w:pPr>
      <w:r>
        <w:rPr>
          <w:rFonts w:ascii="Nirmala UI" w:hAnsi="Nirmala UI" w:eastAsia="Nirmala UI"/>
        </w:rPr>
        <w:t>D. 226</w:t>
      </w:r>
    </w:p>
    <w:p>
      <w:r>
        <w:rPr>
          <w:rFonts w:ascii="Nirmala UI" w:hAnsi="Nirmala UI" w:eastAsia="Nirmala UI"/>
          <w:b/>
        </w:rPr>
        <w:t>उत्तर: C — अनुच्छेद 32</w:t>
      </w:r>
    </w:p>
    <w:p>
      <w:r>
        <w:rPr>
          <w:rFonts w:ascii="Nirmala UI" w:hAnsi="Nirmala UI" w:eastAsia="Nirmala UI"/>
          <w:b w:val="0"/>
        </w:rPr>
        <w:t>6. संपत्ति का अधिकार वर्तमान में किस अनुच्छेद में है?</w:t>
      </w:r>
    </w:p>
    <w:p>
      <w:pPr>
        <w:pStyle w:val="ListBullet"/>
        <w:spacing w:after="40"/>
      </w:pPr>
      <w:r>
        <w:rPr>
          <w:rFonts w:ascii="Nirmala UI" w:hAnsi="Nirmala UI" w:eastAsia="Nirmala UI"/>
        </w:rPr>
        <w:t>A. 19</w:t>
      </w:r>
    </w:p>
    <w:p>
      <w:pPr>
        <w:pStyle w:val="ListBullet"/>
        <w:spacing w:after="40"/>
      </w:pPr>
      <w:r>
        <w:rPr>
          <w:rFonts w:ascii="Nirmala UI" w:hAnsi="Nirmala UI" w:eastAsia="Nirmala UI"/>
        </w:rPr>
        <w:t>B. 31</w:t>
      </w:r>
    </w:p>
    <w:p>
      <w:pPr>
        <w:pStyle w:val="ListBullet"/>
        <w:spacing w:after="40"/>
      </w:pPr>
      <w:r>
        <w:rPr>
          <w:rFonts w:ascii="Nirmala UI" w:hAnsi="Nirmala UI" w:eastAsia="Nirmala UI"/>
        </w:rPr>
        <w:t>C. 300A</w:t>
      </w:r>
    </w:p>
    <w:p>
      <w:pPr>
        <w:pStyle w:val="ListBullet"/>
        <w:spacing w:after="40"/>
      </w:pPr>
      <w:r>
        <w:rPr>
          <w:rFonts w:ascii="Nirmala UI" w:hAnsi="Nirmala UI" w:eastAsia="Nirmala UI"/>
        </w:rPr>
        <w:t>D. 368</w:t>
      </w:r>
    </w:p>
    <w:p>
      <w:r>
        <w:rPr>
          <w:rFonts w:ascii="Nirmala UI" w:hAnsi="Nirmala UI" w:eastAsia="Nirmala UI"/>
          <w:b/>
        </w:rPr>
        <w:t>उत्तर: C — अनुच्छेद 300A</w:t>
      </w:r>
    </w:p>
    <w:p>
      <w:r>
        <w:rPr>
          <w:rFonts w:ascii="Nirmala UI" w:hAnsi="Nirmala UI" w:eastAsia="Nirmala UI"/>
          <w:b w:val="0"/>
        </w:rPr>
        <w:t>7. मानव तस्करी और बेगार का निषेध किस अनुच्छेद में है?</w:t>
      </w:r>
    </w:p>
    <w:p>
      <w:pPr>
        <w:pStyle w:val="ListBullet"/>
        <w:spacing w:after="40"/>
      </w:pPr>
      <w:r>
        <w:rPr>
          <w:rFonts w:ascii="Nirmala UI" w:hAnsi="Nirmala UI" w:eastAsia="Nirmala UI"/>
        </w:rPr>
        <w:t>A. 21A</w:t>
      </w:r>
    </w:p>
    <w:p>
      <w:pPr>
        <w:pStyle w:val="ListBullet"/>
        <w:spacing w:after="40"/>
      </w:pPr>
      <w:r>
        <w:rPr>
          <w:rFonts w:ascii="Nirmala UI" w:hAnsi="Nirmala UI" w:eastAsia="Nirmala UI"/>
        </w:rPr>
        <w:t>B. 23</w:t>
      </w:r>
    </w:p>
    <w:p>
      <w:pPr>
        <w:pStyle w:val="ListBullet"/>
        <w:spacing w:after="40"/>
      </w:pPr>
      <w:r>
        <w:rPr>
          <w:rFonts w:ascii="Nirmala UI" w:hAnsi="Nirmala UI" w:eastAsia="Nirmala UI"/>
        </w:rPr>
        <w:t>C. 24</w:t>
      </w:r>
    </w:p>
    <w:p>
      <w:pPr>
        <w:pStyle w:val="ListBullet"/>
        <w:spacing w:after="40"/>
      </w:pPr>
      <w:r>
        <w:rPr>
          <w:rFonts w:ascii="Nirmala UI" w:hAnsi="Nirmala UI" w:eastAsia="Nirmala UI"/>
        </w:rPr>
        <w:t>D. 29</w:t>
      </w:r>
    </w:p>
    <w:p>
      <w:r>
        <w:rPr>
          <w:rFonts w:ascii="Nirmala UI" w:hAnsi="Nirmala UI" w:eastAsia="Nirmala UI"/>
          <w:b/>
        </w:rPr>
        <w:t>उत्तर: B — अनुच्छेद 23</w:t>
      </w:r>
    </w:p>
    <w:p>
      <w:r>
        <w:br w:type="page"/>
      </w:r>
    </w:p>
    <w:p>
      <w:pPr>
        <w:pStyle w:val="Heading1"/>
      </w:pPr>
      <w:r>
        <w:t>Part 2: English Notes</w:t>
      </w:r>
    </w:p>
    <w:p>
      <w:pPr>
        <w:pStyle w:val="Heading2"/>
      </w:pPr>
      <w:r>
        <w:t>1. Introduction to Fundamental Rights</w:t>
      </w:r>
    </w:p>
    <w:p>
      <w:pPr>
        <w:pStyle w:val="ListBullet"/>
        <w:spacing w:after="40"/>
      </w:pPr>
      <w:r>
        <w:rPr>
          <w:rFonts w:ascii="Nirmala UI" w:hAnsi="Nirmala UI" w:eastAsia="Nirmala UI"/>
        </w:rPr>
        <w:t>Fundamental Rights are contained in Part III of the Constitution, Articles 12–35. They protect liberty, equality and human dignity.</w:t>
      </w:r>
    </w:p>
    <w:p>
      <w:pPr>
        <w:pStyle w:val="ListBullet"/>
        <w:spacing w:after="40"/>
      </w:pPr>
      <w:r>
        <w:rPr>
          <w:rFonts w:ascii="Nirmala UI" w:hAnsi="Nirmala UI" w:eastAsia="Nirmala UI"/>
        </w:rPr>
        <w:t>They are commonly grouped into six categories under the present constitutional framework.</w:t>
      </w:r>
    </w:p>
    <w:p>
      <w:pPr>
        <w:pStyle w:val="ListBullet"/>
        <w:spacing w:after="40"/>
      </w:pPr>
      <w:r>
        <w:rPr>
          <w:rFonts w:ascii="Nirmala UI" w:hAnsi="Nirmala UI" w:eastAsia="Nirmala UI"/>
        </w:rPr>
        <w:t>These rights are not absolute; constitutional exceptions and reasonable restrictions may apply.</w:t>
      </w:r>
    </w:p>
    <w:p>
      <w:pPr>
        <w:pStyle w:val="ListBullet"/>
        <w:spacing w:after="40"/>
      </w:pPr>
      <w:r>
        <w:rPr>
          <w:rFonts w:ascii="Nirmala UI" w:hAnsi="Nirmala UI" w:eastAsia="Nirmala UI"/>
        </w:rPr>
        <w:t>Article 12 defines ‘State’ for Part III; Article 13 deals with laws inconsistent with Fundamental Rights.</w:t>
      </w:r>
    </w:p>
    <w:p>
      <w:pPr>
        <w:pStyle w:val="ListBullet"/>
        <w:spacing w:after="40"/>
      </w:pPr>
      <w:r>
        <w:rPr>
          <w:rFonts w:ascii="Nirmala UI" w:hAnsi="Nirmala UI" w:eastAsia="Nirmala UI"/>
        </w:rPr>
        <w:t>Some rights are available only to citizens, while others apply to every person—for example, Articles 14 and 21.</w:t>
      </w:r>
    </w:p>
    <w:p>
      <w:pPr>
        <w:pStyle w:val="Heading2"/>
      </w:pPr>
      <w:r>
        <w:t>2. Six categories and Articles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pPr>
              <w:spacing w:after="0"/>
            </w:pPr>
            <w:r/>
            <w:r>
              <w:rPr>
                <w:rFonts w:ascii="Nirmala UI" w:hAnsi="Nirmala UI" w:eastAsia="Nirmala UI"/>
                <w:b/>
                <w:sz w:val="18"/>
              </w:rPr>
              <w:t>Right</w:t>
            </w:r>
          </w:p>
        </w:tc>
        <w:tc>
          <w:tcPr>
            <w:tcW w:type="dxa" w:w="3408"/>
            <w:shd w:fill="D9EAF7"/>
          </w:tcPr>
          <w:p>
            <w:pPr>
              <w:spacing w:after="0"/>
            </w:pPr>
            <w:r/>
            <w:r>
              <w:rPr>
                <w:rFonts w:ascii="Nirmala UI" w:hAnsi="Nirmala UI" w:eastAsia="Nirmala UI"/>
                <w:b/>
                <w:sz w:val="18"/>
              </w:rPr>
              <w:t>Articles</w:t>
            </w:r>
          </w:p>
        </w:tc>
        <w:tc>
          <w:tcPr>
            <w:tcW w:type="dxa" w:w="3408"/>
            <w:shd w:fill="D9EAF7"/>
          </w:tcPr>
          <w:p>
            <w:pPr>
              <w:spacing w:after="0"/>
            </w:pPr>
            <w:r/>
            <w:r>
              <w:rPr>
                <w:rFonts w:ascii="Nirmala UI" w:hAnsi="Nirmala UI" w:eastAsia="Nirmala UI"/>
                <w:b/>
                <w:sz w:val="18"/>
              </w:rPr>
              <w:t>Core coverage</w:t>
            </w:r>
          </w:p>
        </w:tc>
      </w:tr>
      <w:tr>
        <w:tc>
          <w:tcPr>
            <w:tcW w:type="dxa" w:w="3408"/>
          </w:tcPr>
          <w:p>
            <w:pPr>
              <w:spacing w:after="0"/>
            </w:pPr>
            <w:r/>
            <w:r>
              <w:rPr>
                <w:rFonts w:ascii="Nirmala UI" w:hAnsi="Nirmala UI" w:eastAsia="Nirmala UI"/>
                <w:b w:val="0"/>
                <w:sz w:val="18"/>
              </w:rPr>
              <w:t>Right to Equality</w:t>
            </w:r>
          </w:p>
        </w:tc>
        <w:tc>
          <w:tcPr>
            <w:tcW w:type="dxa" w:w="3408"/>
          </w:tcPr>
          <w:p>
            <w:pPr>
              <w:spacing w:after="0"/>
            </w:pPr>
            <w:r/>
            <w:r>
              <w:rPr>
                <w:rFonts w:ascii="Nirmala UI" w:hAnsi="Nirmala UI" w:eastAsia="Nirmala UI"/>
                <w:b w:val="0"/>
                <w:sz w:val="18"/>
              </w:rPr>
              <w:t>14–18</w:t>
            </w:r>
          </w:p>
        </w:tc>
        <w:tc>
          <w:tcPr>
            <w:tcW w:type="dxa" w:w="3408"/>
          </w:tcPr>
          <w:p>
            <w:pPr>
              <w:spacing w:after="0"/>
            </w:pPr>
            <w:r/>
            <w:r>
              <w:rPr>
                <w:rFonts w:ascii="Nirmala UI" w:hAnsi="Nirmala UI" w:eastAsia="Nirmala UI"/>
                <w:b w:val="0"/>
                <w:sz w:val="18"/>
              </w:rPr>
              <w:t>Equality before law, non-discrimination, equality of opportunity in public employment, abolition of untouchability and titles</w:t>
            </w:r>
          </w:p>
        </w:tc>
      </w:tr>
      <w:tr>
        <w:tc>
          <w:tcPr>
            <w:tcW w:type="dxa" w:w="3408"/>
          </w:tcPr>
          <w:p>
            <w:pPr>
              <w:spacing w:after="0"/>
            </w:pPr>
            <w:r/>
            <w:r>
              <w:rPr>
                <w:rFonts w:ascii="Nirmala UI" w:hAnsi="Nirmala UI" w:eastAsia="Nirmala UI"/>
                <w:b w:val="0"/>
                <w:sz w:val="18"/>
              </w:rPr>
              <w:t>Right to Freedom</w:t>
            </w:r>
          </w:p>
        </w:tc>
        <w:tc>
          <w:tcPr>
            <w:tcW w:type="dxa" w:w="3408"/>
          </w:tcPr>
          <w:p>
            <w:pPr>
              <w:spacing w:after="0"/>
            </w:pPr>
            <w:r/>
            <w:r>
              <w:rPr>
                <w:rFonts w:ascii="Nirmala UI" w:hAnsi="Nirmala UI" w:eastAsia="Nirmala UI"/>
                <w:b w:val="0"/>
                <w:sz w:val="18"/>
              </w:rPr>
              <w:t>19–22; 21A</w:t>
            </w:r>
          </w:p>
        </w:tc>
        <w:tc>
          <w:tcPr>
            <w:tcW w:type="dxa" w:w="3408"/>
          </w:tcPr>
          <w:p>
            <w:pPr>
              <w:spacing w:after="0"/>
            </w:pPr>
            <w:r/>
            <w:r>
              <w:rPr>
                <w:rFonts w:ascii="Nirmala UI" w:hAnsi="Nirmala UI" w:eastAsia="Nirmala UI"/>
                <w:b w:val="0"/>
                <w:sz w:val="18"/>
              </w:rPr>
              <w:t>Six freedoms, safeguards in criminal conviction, life and personal liberty, education, arrest/detention safeguards</w:t>
            </w:r>
          </w:p>
        </w:tc>
      </w:tr>
      <w:tr>
        <w:tc>
          <w:tcPr>
            <w:tcW w:type="dxa" w:w="3408"/>
          </w:tcPr>
          <w:p>
            <w:pPr>
              <w:spacing w:after="0"/>
            </w:pPr>
            <w:r/>
            <w:r>
              <w:rPr>
                <w:rFonts w:ascii="Nirmala UI" w:hAnsi="Nirmala UI" w:eastAsia="Nirmala UI"/>
                <w:b w:val="0"/>
                <w:sz w:val="18"/>
              </w:rPr>
              <w:t>Right against Exploitation</w:t>
            </w:r>
          </w:p>
        </w:tc>
        <w:tc>
          <w:tcPr>
            <w:tcW w:type="dxa" w:w="3408"/>
          </w:tcPr>
          <w:p>
            <w:pPr>
              <w:spacing w:after="0"/>
            </w:pPr>
            <w:r/>
            <w:r>
              <w:rPr>
                <w:rFonts w:ascii="Nirmala UI" w:hAnsi="Nirmala UI" w:eastAsia="Nirmala UI"/>
                <w:b w:val="0"/>
                <w:sz w:val="18"/>
              </w:rPr>
              <w:t>23–24</w:t>
            </w:r>
          </w:p>
        </w:tc>
        <w:tc>
          <w:tcPr>
            <w:tcW w:type="dxa" w:w="3408"/>
          </w:tcPr>
          <w:p>
            <w:pPr>
              <w:spacing w:after="0"/>
            </w:pPr>
            <w:r/>
            <w:r>
              <w:rPr>
                <w:rFonts w:ascii="Nirmala UI" w:hAnsi="Nirmala UI" w:eastAsia="Nirmala UI"/>
                <w:b w:val="0"/>
                <w:sz w:val="18"/>
              </w:rPr>
              <w:t>Prohibition of trafficking, forced labour and specified child labour</w:t>
            </w:r>
          </w:p>
        </w:tc>
      </w:tr>
      <w:tr>
        <w:tc>
          <w:tcPr>
            <w:tcW w:type="dxa" w:w="3408"/>
          </w:tcPr>
          <w:p>
            <w:pPr>
              <w:spacing w:after="0"/>
            </w:pPr>
            <w:r/>
            <w:r>
              <w:rPr>
                <w:rFonts w:ascii="Nirmala UI" w:hAnsi="Nirmala UI" w:eastAsia="Nirmala UI"/>
                <w:b w:val="0"/>
                <w:sz w:val="18"/>
              </w:rPr>
              <w:t>Right to Freedom of Religion</w:t>
            </w:r>
          </w:p>
        </w:tc>
        <w:tc>
          <w:tcPr>
            <w:tcW w:type="dxa" w:w="3408"/>
          </w:tcPr>
          <w:p>
            <w:pPr>
              <w:spacing w:after="0"/>
            </w:pPr>
            <w:r/>
            <w:r>
              <w:rPr>
                <w:rFonts w:ascii="Nirmala UI" w:hAnsi="Nirmala UI" w:eastAsia="Nirmala UI"/>
                <w:b w:val="0"/>
                <w:sz w:val="18"/>
              </w:rPr>
              <w:t>25–28</w:t>
            </w:r>
          </w:p>
        </w:tc>
        <w:tc>
          <w:tcPr>
            <w:tcW w:type="dxa" w:w="3408"/>
          </w:tcPr>
          <w:p>
            <w:pPr>
              <w:spacing w:after="0"/>
            </w:pPr>
            <w:r/>
            <w:r>
              <w:rPr>
                <w:rFonts w:ascii="Nirmala UI" w:hAnsi="Nirmala UI" w:eastAsia="Nirmala UI"/>
                <w:b w:val="0"/>
                <w:sz w:val="18"/>
              </w:rPr>
              <w:t>Conscience, profession/practice/propagation of religion, management of religious affairs, religious taxes/instruction</w:t>
            </w:r>
          </w:p>
        </w:tc>
      </w:tr>
      <w:tr>
        <w:tc>
          <w:tcPr>
            <w:tcW w:type="dxa" w:w="3408"/>
          </w:tcPr>
          <w:p>
            <w:pPr>
              <w:spacing w:after="0"/>
            </w:pPr>
            <w:r/>
            <w:r>
              <w:rPr>
                <w:rFonts w:ascii="Nirmala UI" w:hAnsi="Nirmala UI" w:eastAsia="Nirmala UI"/>
                <w:b w:val="0"/>
                <w:sz w:val="18"/>
              </w:rPr>
              <w:t>Cultural and Educational Rights</w:t>
            </w:r>
          </w:p>
        </w:tc>
        <w:tc>
          <w:tcPr>
            <w:tcW w:type="dxa" w:w="3408"/>
          </w:tcPr>
          <w:p>
            <w:pPr>
              <w:spacing w:after="0"/>
            </w:pPr>
            <w:r/>
            <w:r>
              <w:rPr>
                <w:rFonts w:ascii="Nirmala UI" w:hAnsi="Nirmala UI" w:eastAsia="Nirmala UI"/>
                <w:b w:val="0"/>
                <w:sz w:val="18"/>
              </w:rPr>
              <w:t>29–30</w:t>
            </w:r>
          </w:p>
        </w:tc>
        <w:tc>
          <w:tcPr>
            <w:tcW w:type="dxa" w:w="3408"/>
          </w:tcPr>
          <w:p>
            <w:pPr>
              <w:spacing w:after="0"/>
            </w:pPr>
            <w:r/>
            <w:r>
              <w:rPr>
                <w:rFonts w:ascii="Nirmala UI" w:hAnsi="Nirmala UI" w:eastAsia="Nirmala UI"/>
                <w:b w:val="0"/>
                <w:sz w:val="18"/>
              </w:rPr>
              <w:t>Protection of language, script and culture; minority educational institutions</w:t>
            </w:r>
          </w:p>
        </w:tc>
      </w:tr>
      <w:tr>
        <w:tc>
          <w:tcPr>
            <w:tcW w:type="dxa" w:w="3408"/>
          </w:tcPr>
          <w:p>
            <w:pPr>
              <w:spacing w:after="0"/>
            </w:pPr>
            <w:r/>
            <w:r>
              <w:rPr>
                <w:rFonts w:ascii="Nirmala UI" w:hAnsi="Nirmala UI" w:eastAsia="Nirmala UI"/>
                <w:b w:val="0"/>
                <w:sz w:val="18"/>
              </w:rPr>
              <w:t>Right to Constitutional Remedies</w:t>
            </w:r>
          </w:p>
        </w:tc>
        <w:tc>
          <w:tcPr>
            <w:tcW w:type="dxa" w:w="3408"/>
          </w:tcPr>
          <w:p>
            <w:pPr>
              <w:spacing w:after="0"/>
            </w:pPr>
            <w:r/>
            <w:r>
              <w:rPr>
                <w:rFonts w:ascii="Nirmala UI" w:hAnsi="Nirmala UI" w:eastAsia="Nirmala UI"/>
                <w:b w:val="0"/>
                <w:sz w:val="18"/>
              </w:rPr>
              <w:t>32</w:t>
            </w:r>
          </w:p>
        </w:tc>
        <w:tc>
          <w:tcPr>
            <w:tcW w:type="dxa" w:w="3408"/>
          </w:tcPr>
          <w:p>
            <w:pPr>
              <w:spacing w:after="0"/>
            </w:pPr>
            <w:r/>
            <w:r>
              <w:rPr>
                <w:rFonts w:ascii="Nirmala UI" w:hAnsi="Nirmala UI" w:eastAsia="Nirmala UI"/>
                <w:b w:val="0"/>
                <w:sz w:val="18"/>
              </w:rPr>
              <w:t>Approach the Supreme Court to enforce Fundamental Rights; writ jurisdiction</w:t>
            </w:r>
          </w:p>
        </w:tc>
      </w:tr>
    </w:tbl>
    <w:p/>
    <w:p>
      <w:pPr>
        <w:pStyle w:val="Heading2"/>
      </w:pPr>
      <w:r>
        <w:t>3. Right to Equality (Articles 14–18)</w:t>
      </w:r>
    </w:p>
    <w:p>
      <w:pPr>
        <w:pStyle w:val="ListBullet"/>
        <w:spacing w:after="40"/>
      </w:pPr>
      <w:r>
        <w:rPr>
          <w:rFonts w:ascii="Nirmala UI" w:hAnsi="Nirmala UI" w:eastAsia="Nirmala UI"/>
        </w:rPr>
        <w:t>Article 14: Equality before the law and equal protection of the laws; applies to every person.</w:t>
      </w:r>
    </w:p>
    <w:p>
      <w:pPr>
        <w:pStyle w:val="ListBullet"/>
        <w:spacing w:after="40"/>
      </w:pPr>
      <w:r>
        <w:rPr>
          <w:rFonts w:ascii="Nirmala UI" w:hAnsi="Nirmala UI" w:eastAsia="Nirmala UI"/>
        </w:rPr>
        <w:t>Article 15: Prohibits discrimination against citizens on grounds only of religion, race, caste, sex or place of birth. The Constitution permits specified special provisions for women, children and disadvantaged groups.</w:t>
      </w:r>
    </w:p>
    <w:p>
      <w:pPr>
        <w:pStyle w:val="ListBullet"/>
        <w:spacing w:after="40"/>
      </w:pPr>
      <w:r>
        <w:rPr>
          <w:rFonts w:ascii="Nirmala UI" w:hAnsi="Nirmala UI" w:eastAsia="Nirmala UI"/>
        </w:rPr>
        <w:t>Article 16: Equality of opportunity in public employment, subject to constitutional provisions including permitted reservation measures.</w:t>
      </w:r>
    </w:p>
    <w:p>
      <w:pPr>
        <w:pStyle w:val="ListBullet"/>
        <w:spacing w:after="40"/>
      </w:pPr>
      <w:r>
        <w:rPr>
          <w:rFonts w:ascii="Nirmala UI" w:hAnsi="Nirmala UI" w:eastAsia="Nirmala UI"/>
        </w:rPr>
        <w:t>Article 17: Abolishes untouchability and forbids its practice in any form.</w:t>
      </w:r>
    </w:p>
    <w:p>
      <w:pPr>
        <w:pStyle w:val="ListBullet"/>
        <w:spacing w:after="40"/>
      </w:pPr>
      <w:r>
        <w:rPr>
          <w:rFonts w:ascii="Nirmala UI" w:hAnsi="Nirmala UI" w:eastAsia="Nirmala UI"/>
        </w:rPr>
        <w:t>Article 18: Prohibits State-conferred titles, subject to exceptions such as military and academic distinctions; acceptance of foreign titles is constitutionally restricted.</w:t>
      </w:r>
    </w:p>
    <w:p>
      <w:pPr>
        <w:pStyle w:val="Heading2"/>
      </w:pPr>
      <w:r>
        <w:t>4. Right to Freedom (Articles 19–22 and 21A)</w:t>
      </w:r>
    </w:p>
    <w:p>
      <w:pPr>
        <w:pStyle w:val="ListBullet"/>
        <w:spacing w:after="40"/>
      </w:pPr>
      <w:r>
        <w:rPr>
          <w:rFonts w:ascii="Nirmala UI" w:hAnsi="Nirmala UI" w:eastAsia="Nirmala UI"/>
        </w:rPr>
        <w:t>Article 19(1) gives citizens six freedoms: speech and expression; peaceful assembly without arms; forming associations, unions or co-operative societies; movement throughout India; residence and settlement anywhere in India; and practising a profession or carrying on an occupation, trade or business. These are subject to reasonable restrictions.</w:t>
      </w:r>
    </w:p>
    <w:p>
      <w:pPr>
        <w:pStyle w:val="ListBullet"/>
        <w:spacing w:after="40"/>
      </w:pPr>
      <w:r>
        <w:rPr>
          <w:rFonts w:ascii="Nirmala UI" w:hAnsi="Nirmala UI" w:eastAsia="Nirmala UI"/>
        </w:rPr>
        <w:t>Article 20 provides three safeguards in respect of conviction for offences: protection against retrospective criminal punishment, double jeopardy, and compelled self-incrimination.</w:t>
      </w:r>
    </w:p>
    <w:p>
      <w:pPr>
        <w:pStyle w:val="ListBullet"/>
        <w:spacing w:after="40"/>
      </w:pPr>
      <w:r>
        <w:rPr>
          <w:rFonts w:ascii="Nirmala UI" w:hAnsi="Nirmala UI" w:eastAsia="Nirmala UI"/>
        </w:rPr>
        <w:t>Article 21 protects life and personal liberty. A person cannot be deprived of them except according to procedure established by law; judicial interpretation includes aspects such as dignity and privacy.</w:t>
      </w:r>
    </w:p>
    <w:p>
      <w:pPr>
        <w:pStyle w:val="ListBullet"/>
        <w:spacing w:after="40"/>
      </w:pPr>
      <w:r>
        <w:rPr>
          <w:rFonts w:ascii="Nirmala UI" w:hAnsi="Nirmala UI" w:eastAsia="Nirmala UI"/>
        </w:rPr>
        <w:t>Article 21A provides free and compulsory education for children aged 6–14 years.</w:t>
      </w:r>
    </w:p>
    <w:p>
      <w:pPr>
        <w:pStyle w:val="ListBullet"/>
        <w:spacing w:after="40"/>
      </w:pPr>
      <w:r>
        <w:rPr>
          <w:rFonts w:ascii="Nirmala UI" w:hAnsi="Nirmala UI" w:eastAsia="Nirmala UI"/>
        </w:rPr>
        <w:t>Article 22 provides safeguards in cases of arrest and detention, with separate constitutional provisions and limitations for preventive detention.</w:t>
      </w:r>
    </w:p>
    <w:p>
      <w:pPr>
        <w:pStyle w:val="Heading2"/>
      </w:pPr>
      <w:r>
        <w:t>5. Right against Exploitation (Articles 23–24)</w:t>
      </w:r>
    </w:p>
    <w:p>
      <w:pPr>
        <w:pStyle w:val="ListBullet"/>
        <w:spacing w:after="40"/>
      </w:pPr>
      <w:r>
        <w:rPr>
          <w:rFonts w:ascii="Nirmala UI" w:hAnsi="Nirmala UI" w:eastAsia="Nirmala UI"/>
        </w:rPr>
        <w:t>Article 23 prohibits trafficking in human beings, begar and other similar forms of forced labour. It can apply against the State and private individuals.</w:t>
      </w:r>
    </w:p>
    <w:p>
      <w:pPr>
        <w:pStyle w:val="ListBullet"/>
        <w:spacing w:after="40"/>
      </w:pPr>
      <w:r>
        <w:rPr>
          <w:rFonts w:ascii="Nirmala UI" w:hAnsi="Nirmala UI" w:eastAsia="Nirmala UI"/>
        </w:rPr>
        <w:t>Article 24 prohibits employment of children below 14 years in factories, mines or other hazardous employment.</w:t>
      </w:r>
    </w:p>
    <w:p>
      <w:pPr>
        <w:pStyle w:val="Heading2"/>
      </w:pPr>
      <w:r>
        <w:t>6. Right to Freedom of Religion (Articles 25–28)</w:t>
      </w:r>
    </w:p>
    <w:p>
      <w:pPr>
        <w:pStyle w:val="ListBullet"/>
        <w:spacing w:after="40"/>
      </w:pPr>
      <w:r>
        <w:rPr>
          <w:rFonts w:ascii="Nirmala UI" w:hAnsi="Nirmala UI" w:eastAsia="Nirmala UI"/>
        </w:rPr>
        <w:t>Article 25 protects freedom of conscience and the right to profess, practise and propagate religion, subject to public order, morality, health and other constitutional provisions.</w:t>
      </w:r>
    </w:p>
    <w:p>
      <w:pPr>
        <w:pStyle w:val="ListBullet"/>
        <w:spacing w:after="40"/>
      </w:pPr>
      <w:r>
        <w:rPr>
          <w:rFonts w:ascii="Nirmala UI" w:hAnsi="Nirmala UI" w:eastAsia="Nirmala UI"/>
        </w:rPr>
        <w:t>Article 26 grants religious denominations certain rights to manage religious affairs.</w:t>
      </w:r>
    </w:p>
    <w:p>
      <w:pPr>
        <w:pStyle w:val="ListBullet"/>
        <w:spacing w:after="40"/>
      </w:pPr>
      <w:r>
        <w:rPr>
          <w:rFonts w:ascii="Nirmala UI" w:hAnsi="Nirmala UI" w:eastAsia="Nirmala UI"/>
        </w:rPr>
        <w:t>Article 27 protects against being compelled to pay taxes specifically appropriated for promotion or maintenance of a particular religion.</w:t>
      </w:r>
    </w:p>
    <w:p>
      <w:pPr>
        <w:pStyle w:val="ListBullet"/>
        <w:spacing w:after="40"/>
      </w:pPr>
      <w:r>
        <w:rPr>
          <w:rFonts w:ascii="Nirmala UI" w:hAnsi="Nirmala UI" w:eastAsia="Nirmala UI"/>
        </w:rPr>
        <w:t>Article 28 regulates religious instruction or worship in specified educational institutions; the rules are not identical for every institution.</w:t>
      </w:r>
    </w:p>
    <w:p>
      <w:pPr>
        <w:pStyle w:val="Heading2"/>
      </w:pPr>
      <w:r>
        <w:t>7. Cultural and Educational Rights (Articles 29–30)</w:t>
      </w:r>
    </w:p>
    <w:p>
      <w:pPr>
        <w:pStyle w:val="ListBullet"/>
        <w:spacing w:after="40"/>
      </w:pPr>
      <w:r>
        <w:rPr>
          <w:rFonts w:ascii="Nirmala UI" w:hAnsi="Nirmala UI" w:eastAsia="Nirmala UI"/>
        </w:rPr>
        <w:t>Article 29 protects the right of a section of citizens to conserve its distinct language, script or culture and contains admission-related safeguards in State-maintained or State-aided institutions.</w:t>
      </w:r>
    </w:p>
    <w:p>
      <w:pPr>
        <w:pStyle w:val="ListBullet"/>
        <w:spacing w:after="40"/>
      </w:pPr>
      <w:r>
        <w:rPr>
          <w:rFonts w:ascii="Nirmala UI" w:hAnsi="Nirmala UI" w:eastAsia="Nirmala UI"/>
        </w:rPr>
        <w:t>Article 30 allows religious and linguistic minorities to establish and administer educational institutions of their choice, subject to constitutional provisions.</w:t>
      </w:r>
    </w:p>
    <w:p>
      <w:pPr>
        <w:pStyle w:val="Heading2"/>
      </w:pPr>
      <w:r>
        <w:t>8. Right to Constitutional Remedies (Article 32)</w:t>
      </w:r>
    </w:p>
    <w:p>
      <w:pPr>
        <w:pStyle w:val="ListBullet"/>
        <w:spacing w:after="40"/>
      </w:pPr>
      <w:r>
        <w:rPr>
          <w:rFonts w:ascii="Nirmala UI" w:hAnsi="Nirmala UI" w:eastAsia="Nirmala UI"/>
        </w:rPr>
        <w:t>Article 32 allows a person to approach the Supreme Court for enforcement of Fundamental Rights. The Court may issue writs, orders or directions.</w:t>
      </w:r>
    </w:p>
    <w:tbl>
      <w:tblPr>
        <w:tblStyle w:val="TableGrid"/>
        <w:tblW w:type="auto" w:w="0"/>
        <w:tblLook w:firstColumn="1" w:firstRow="1" w:lastColumn="0" w:lastRow="0" w:noHBand="0" w:noVBand="1" w:val="04A0"/>
      </w:tblPr>
      <w:tblGrid>
        <w:gridCol w:w="5112"/>
        <w:gridCol w:w="5112"/>
      </w:tblGrid>
      <w:tr>
        <w:tc>
          <w:tcPr>
            <w:tcW w:type="dxa" w:w="5112"/>
            <w:shd w:fill="D9EAF7"/>
          </w:tcPr>
          <w:p>
            <w:pPr>
              <w:spacing w:after="0"/>
            </w:pPr>
            <w:r/>
            <w:r>
              <w:rPr>
                <w:rFonts w:ascii="Nirmala UI" w:hAnsi="Nirmala UI" w:eastAsia="Nirmala UI"/>
                <w:b/>
                <w:sz w:val="18"/>
              </w:rPr>
              <w:t>Writ</w:t>
            </w:r>
          </w:p>
        </w:tc>
        <w:tc>
          <w:tcPr>
            <w:tcW w:type="dxa" w:w="5112"/>
            <w:shd w:fill="D9EAF7"/>
          </w:tcPr>
          <w:p>
            <w:pPr>
              <w:spacing w:after="0"/>
            </w:pPr>
            <w:r/>
            <w:r>
              <w:rPr>
                <w:rFonts w:ascii="Nirmala UI" w:hAnsi="Nirmala UI" w:eastAsia="Nirmala UI"/>
                <w:b/>
                <w:sz w:val="18"/>
              </w:rPr>
              <w:t>Purpose</w:t>
            </w:r>
          </w:p>
        </w:tc>
      </w:tr>
      <w:tr>
        <w:tc>
          <w:tcPr>
            <w:tcW w:type="dxa" w:w="5112"/>
          </w:tcPr>
          <w:p>
            <w:pPr>
              <w:spacing w:after="0"/>
            </w:pPr>
            <w:r/>
            <w:r>
              <w:rPr>
                <w:rFonts w:ascii="Nirmala UI" w:hAnsi="Nirmala UI" w:eastAsia="Nirmala UI"/>
                <w:b w:val="0"/>
                <w:sz w:val="18"/>
              </w:rPr>
              <w:t>Habeas Corpus</w:t>
            </w:r>
          </w:p>
        </w:tc>
        <w:tc>
          <w:tcPr>
            <w:tcW w:type="dxa" w:w="5112"/>
          </w:tcPr>
          <w:p>
            <w:pPr>
              <w:spacing w:after="0"/>
            </w:pPr>
            <w:r/>
            <w:r>
              <w:rPr>
                <w:rFonts w:ascii="Nirmala UI" w:hAnsi="Nirmala UI" w:eastAsia="Nirmala UI"/>
                <w:b w:val="0"/>
                <w:sz w:val="18"/>
              </w:rPr>
              <w:t>Requires a detained person to be brought before the court to examine legality of detention</w:t>
            </w:r>
          </w:p>
        </w:tc>
      </w:tr>
      <w:tr>
        <w:tc>
          <w:tcPr>
            <w:tcW w:type="dxa" w:w="5112"/>
          </w:tcPr>
          <w:p>
            <w:pPr>
              <w:spacing w:after="0"/>
            </w:pPr>
            <w:r/>
            <w:r>
              <w:rPr>
                <w:rFonts w:ascii="Nirmala UI" w:hAnsi="Nirmala UI" w:eastAsia="Nirmala UI"/>
                <w:b w:val="0"/>
                <w:sz w:val="18"/>
              </w:rPr>
              <w:t>Mandamus</w:t>
            </w:r>
          </w:p>
        </w:tc>
        <w:tc>
          <w:tcPr>
            <w:tcW w:type="dxa" w:w="5112"/>
          </w:tcPr>
          <w:p>
            <w:pPr>
              <w:spacing w:after="0"/>
            </w:pPr>
            <w:r/>
            <w:r>
              <w:rPr>
                <w:rFonts w:ascii="Nirmala UI" w:hAnsi="Nirmala UI" w:eastAsia="Nirmala UI"/>
                <w:b w:val="0"/>
                <w:sz w:val="18"/>
              </w:rPr>
              <w:t>Directs a public authority to perform a legal duty</w:t>
            </w:r>
          </w:p>
        </w:tc>
      </w:tr>
      <w:tr>
        <w:tc>
          <w:tcPr>
            <w:tcW w:type="dxa" w:w="5112"/>
          </w:tcPr>
          <w:p>
            <w:pPr>
              <w:spacing w:after="0"/>
            </w:pPr>
            <w:r/>
            <w:r>
              <w:rPr>
                <w:rFonts w:ascii="Nirmala UI" w:hAnsi="Nirmala UI" w:eastAsia="Nirmala UI"/>
                <w:b w:val="0"/>
                <w:sz w:val="18"/>
              </w:rPr>
              <w:t>Prohibition</w:t>
            </w:r>
          </w:p>
        </w:tc>
        <w:tc>
          <w:tcPr>
            <w:tcW w:type="dxa" w:w="5112"/>
          </w:tcPr>
          <w:p>
            <w:pPr>
              <w:spacing w:after="0"/>
            </w:pPr>
            <w:r/>
            <w:r>
              <w:rPr>
                <w:rFonts w:ascii="Nirmala UI" w:hAnsi="Nirmala UI" w:eastAsia="Nirmala UI"/>
                <w:b w:val="0"/>
                <w:sz w:val="18"/>
              </w:rPr>
              <w:t>Prevents a lower court/tribunal from continuing proceedings beyond its jurisdiction</w:t>
            </w:r>
          </w:p>
        </w:tc>
      </w:tr>
      <w:tr>
        <w:tc>
          <w:tcPr>
            <w:tcW w:type="dxa" w:w="5112"/>
          </w:tcPr>
          <w:p>
            <w:pPr>
              <w:spacing w:after="0"/>
            </w:pPr>
            <w:r/>
            <w:r>
              <w:rPr>
                <w:rFonts w:ascii="Nirmala UI" w:hAnsi="Nirmala UI" w:eastAsia="Nirmala UI"/>
                <w:b w:val="0"/>
                <w:sz w:val="18"/>
              </w:rPr>
              <w:t>Certiorari</w:t>
            </w:r>
          </w:p>
        </w:tc>
        <w:tc>
          <w:tcPr>
            <w:tcW w:type="dxa" w:w="5112"/>
          </w:tcPr>
          <w:p>
            <w:pPr>
              <w:spacing w:after="0"/>
            </w:pPr>
            <w:r/>
            <w:r>
              <w:rPr>
                <w:rFonts w:ascii="Nirmala UI" w:hAnsi="Nirmala UI" w:eastAsia="Nirmala UI"/>
                <w:b w:val="0"/>
                <w:sz w:val="18"/>
              </w:rPr>
              <w:t>Quashes an order of a lower court/tribunal on recognised grounds</w:t>
            </w:r>
          </w:p>
        </w:tc>
      </w:tr>
      <w:tr>
        <w:tc>
          <w:tcPr>
            <w:tcW w:type="dxa" w:w="5112"/>
          </w:tcPr>
          <w:p>
            <w:pPr>
              <w:spacing w:after="0"/>
            </w:pPr>
            <w:r/>
            <w:r>
              <w:rPr>
                <w:rFonts w:ascii="Nirmala UI" w:hAnsi="Nirmala UI" w:eastAsia="Nirmala UI"/>
                <w:b w:val="0"/>
                <w:sz w:val="18"/>
              </w:rPr>
              <w:t>Quo Warranto</w:t>
            </w:r>
          </w:p>
        </w:tc>
        <w:tc>
          <w:tcPr>
            <w:tcW w:type="dxa" w:w="5112"/>
          </w:tcPr>
          <w:p>
            <w:pPr>
              <w:spacing w:after="0"/>
            </w:pPr>
            <w:r/>
            <w:r>
              <w:rPr>
                <w:rFonts w:ascii="Nirmala UI" w:hAnsi="Nirmala UI" w:eastAsia="Nirmala UI"/>
                <w:b w:val="0"/>
                <w:sz w:val="18"/>
              </w:rPr>
              <w:t>Questions the legal authority by which a person holds a public office</w:t>
            </w:r>
          </w:p>
        </w:tc>
      </w:tr>
    </w:tbl>
    <w:p/>
    <w:p>
      <w:pPr>
        <w:pStyle w:val="ListBullet"/>
        <w:spacing w:after="40"/>
      </w:pPr>
      <w:r>
        <w:rPr>
          <w:rFonts w:ascii="Nirmala UI" w:hAnsi="Nirmala UI" w:eastAsia="Nirmala UI"/>
        </w:rPr>
        <w:t>Under Article 226, High Courts may issue writs for Fundamental Rights and for other legal rights too; its scope is therefore wider than Article 32.</w:t>
      </w:r>
    </w:p>
    <w:p>
      <w:pPr>
        <w:pStyle w:val="Heading2"/>
      </w:pPr>
      <w:r>
        <w:t>9. Important exam facts</w:t>
      </w:r>
    </w:p>
    <w:p>
      <w:pPr>
        <w:pStyle w:val="ListBullet"/>
        <w:spacing w:after="40"/>
      </w:pPr>
      <w:r>
        <w:rPr>
          <w:rFonts w:ascii="Nirmala UI" w:hAnsi="Nirmala UI" w:eastAsia="Nirmala UI"/>
        </w:rPr>
        <w:t>Right to Property is no longer a Fundamental Right. It is a constitutional right under Article 300A; the 44th Constitutional Amendment Act, 1978 removed it from the list of Fundamental Rights.</w:t>
      </w:r>
    </w:p>
    <w:p>
      <w:pPr>
        <w:pStyle w:val="ListBullet"/>
        <w:spacing w:after="40"/>
      </w:pPr>
      <w:r>
        <w:rPr>
          <w:rFonts w:ascii="Nirmala UI" w:hAnsi="Nirmala UI" w:eastAsia="Nirmala UI"/>
        </w:rPr>
        <w:t>Article 33 empowers Parliament to modify the application of Fundamental Rights to members of the armed forces and certain other services, to ensure proper discharge of duties and discipline.</w:t>
      </w:r>
    </w:p>
    <w:p>
      <w:pPr>
        <w:pStyle w:val="ListBullet"/>
        <w:spacing w:after="40"/>
      </w:pPr>
      <w:r>
        <w:rPr>
          <w:rFonts w:ascii="Nirmala UI" w:hAnsi="Nirmala UI" w:eastAsia="Nirmala UI"/>
        </w:rPr>
        <w:t>Article 34 concerns restrictions on rights while martial law is in force in an area and related indemnity provisions.</w:t>
      </w:r>
    </w:p>
    <w:p>
      <w:pPr>
        <w:pStyle w:val="ListBullet"/>
        <w:spacing w:after="40"/>
      </w:pPr>
      <w:r>
        <w:rPr>
          <w:rFonts w:ascii="Nirmala UI" w:hAnsi="Nirmala UI" w:eastAsia="Nirmala UI"/>
        </w:rPr>
        <w:t>Article 35 gives Parliament exclusive legislative power on specified matters related to Part III.</w:t>
      </w:r>
    </w:p>
    <w:p>
      <w:pPr>
        <w:pStyle w:val="ListBullet"/>
        <w:spacing w:after="40"/>
      </w:pPr>
      <w:r>
        <w:rPr>
          <w:rFonts w:ascii="Nirmala UI" w:hAnsi="Nirmala UI" w:eastAsia="Nirmala UI"/>
        </w:rPr>
        <w:t>During a National Emergency, Article 19 may be affected under Article 358. Under Article 359, enforcement of specified Fundamental Rights may be suspended by Presidential order; the right to move courts for enforcement of Articles 20 and 21 cannot be suspended under Article 359.</w:t>
      </w:r>
    </w:p>
    <w:p>
      <w:pPr>
        <w:pStyle w:val="Heading2"/>
      </w:pPr>
      <w:r>
        <w:t>10. UPPCS Prelims MCQs — English</w:t>
      </w:r>
    </w:p>
    <w:p>
      <w:r>
        <w:rPr>
          <w:rFonts w:ascii="Nirmala UI" w:hAnsi="Nirmala UI" w:eastAsia="Nirmala UI"/>
          <w:b w:val="0"/>
        </w:rPr>
        <w:t>1. Fundamental Rights are contained in which Part of the Constitution?</w:t>
      </w:r>
    </w:p>
    <w:p>
      <w:pPr>
        <w:pStyle w:val="ListBullet"/>
        <w:spacing w:after="40"/>
      </w:pPr>
      <w:r>
        <w:rPr>
          <w:rFonts w:ascii="Nirmala UI" w:hAnsi="Nirmala UI" w:eastAsia="Nirmala UI"/>
        </w:rPr>
        <w:t>A. Part II</w:t>
      </w:r>
    </w:p>
    <w:p>
      <w:pPr>
        <w:pStyle w:val="ListBullet"/>
        <w:spacing w:after="40"/>
      </w:pPr>
      <w:r>
        <w:rPr>
          <w:rFonts w:ascii="Nirmala UI" w:hAnsi="Nirmala UI" w:eastAsia="Nirmala UI"/>
        </w:rPr>
        <w:t>B. Part III</w:t>
      </w:r>
    </w:p>
    <w:p>
      <w:pPr>
        <w:pStyle w:val="ListBullet"/>
        <w:spacing w:after="40"/>
      </w:pPr>
      <w:r>
        <w:rPr>
          <w:rFonts w:ascii="Nirmala UI" w:hAnsi="Nirmala UI" w:eastAsia="Nirmala UI"/>
        </w:rPr>
        <w:t>C. Part IV</w:t>
      </w:r>
    </w:p>
    <w:p>
      <w:pPr>
        <w:pStyle w:val="ListBullet"/>
        <w:spacing w:after="40"/>
      </w:pPr>
      <w:r>
        <w:rPr>
          <w:rFonts w:ascii="Nirmala UI" w:hAnsi="Nirmala UI" w:eastAsia="Nirmala UI"/>
        </w:rPr>
        <w:t>D. Part IVA</w:t>
      </w:r>
    </w:p>
    <w:p>
      <w:r>
        <w:rPr>
          <w:rFonts w:ascii="Nirmala UI" w:hAnsi="Nirmala UI" w:eastAsia="Nirmala UI"/>
          <w:b/>
        </w:rPr>
        <w:t>Answer: B — Part III</w:t>
      </w:r>
    </w:p>
    <w:p>
      <w:r>
        <w:rPr>
          <w:rFonts w:ascii="Nirmala UI" w:hAnsi="Nirmala UI" w:eastAsia="Nirmala UI"/>
          <w:b w:val="0"/>
        </w:rPr>
        <w:t>2. Equality before law is guaranteed under:</w:t>
      </w:r>
    </w:p>
    <w:p>
      <w:pPr>
        <w:pStyle w:val="ListBullet"/>
        <w:spacing w:after="40"/>
      </w:pPr>
      <w:r>
        <w:rPr>
          <w:rFonts w:ascii="Nirmala UI" w:hAnsi="Nirmala UI" w:eastAsia="Nirmala UI"/>
        </w:rPr>
        <w:t>A. Article 14</w:t>
      </w:r>
    </w:p>
    <w:p>
      <w:pPr>
        <w:pStyle w:val="ListBullet"/>
        <w:spacing w:after="40"/>
      </w:pPr>
      <w:r>
        <w:rPr>
          <w:rFonts w:ascii="Nirmala UI" w:hAnsi="Nirmala UI" w:eastAsia="Nirmala UI"/>
        </w:rPr>
        <w:t>B. Article 17</w:t>
      </w:r>
    </w:p>
    <w:p>
      <w:pPr>
        <w:pStyle w:val="ListBullet"/>
        <w:spacing w:after="40"/>
      </w:pPr>
      <w:r>
        <w:rPr>
          <w:rFonts w:ascii="Nirmala UI" w:hAnsi="Nirmala UI" w:eastAsia="Nirmala UI"/>
        </w:rPr>
        <w:t>C. Article 19</w:t>
      </w:r>
    </w:p>
    <w:p>
      <w:pPr>
        <w:pStyle w:val="ListBullet"/>
        <w:spacing w:after="40"/>
      </w:pPr>
      <w:r>
        <w:rPr>
          <w:rFonts w:ascii="Nirmala UI" w:hAnsi="Nirmala UI" w:eastAsia="Nirmala UI"/>
        </w:rPr>
        <w:t>D. Article 21</w:t>
      </w:r>
    </w:p>
    <w:p>
      <w:r>
        <w:rPr>
          <w:rFonts w:ascii="Nirmala UI" w:hAnsi="Nirmala UI" w:eastAsia="Nirmala UI"/>
          <w:b/>
        </w:rPr>
        <w:t>Answer: A — Article 14</w:t>
      </w:r>
    </w:p>
    <w:p>
      <w:r>
        <w:rPr>
          <w:rFonts w:ascii="Nirmala UI" w:hAnsi="Nirmala UI" w:eastAsia="Nirmala UI"/>
          <w:b w:val="0"/>
        </w:rPr>
        <w:t>3. Abolition of untouchability is provided under:</w:t>
      </w:r>
    </w:p>
    <w:p>
      <w:pPr>
        <w:pStyle w:val="ListBullet"/>
        <w:spacing w:after="40"/>
      </w:pPr>
      <w:r>
        <w:rPr>
          <w:rFonts w:ascii="Nirmala UI" w:hAnsi="Nirmala UI" w:eastAsia="Nirmala UI"/>
        </w:rPr>
        <w:t>A. Article 15</w:t>
      </w:r>
    </w:p>
    <w:p>
      <w:pPr>
        <w:pStyle w:val="ListBullet"/>
        <w:spacing w:after="40"/>
      </w:pPr>
      <w:r>
        <w:rPr>
          <w:rFonts w:ascii="Nirmala UI" w:hAnsi="Nirmala UI" w:eastAsia="Nirmala UI"/>
        </w:rPr>
        <w:t>B. Article 16</w:t>
      </w:r>
    </w:p>
    <w:p>
      <w:pPr>
        <w:pStyle w:val="ListBullet"/>
        <w:spacing w:after="40"/>
      </w:pPr>
      <w:r>
        <w:rPr>
          <w:rFonts w:ascii="Nirmala UI" w:hAnsi="Nirmala UI" w:eastAsia="Nirmala UI"/>
        </w:rPr>
        <w:t>C. Article 17</w:t>
      </w:r>
    </w:p>
    <w:p>
      <w:pPr>
        <w:pStyle w:val="ListBullet"/>
        <w:spacing w:after="40"/>
      </w:pPr>
      <w:r>
        <w:rPr>
          <w:rFonts w:ascii="Nirmala UI" w:hAnsi="Nirmala UI" w:eastAsia="Nirmala UI"/>
        </w:rPr>
        <w:t>D. Article 18</w:t>
      </w:r>
    </w:p>
    <w:p>
      <w:r>
        <w:rPr>
          <w:rFonts w:ascii="Nirmala UI" w:hAnsi="Nirmala UI" w:eastAsia="Nirmala UI"/>
          <w:b/>
        </w:rPr>
        <w:t>Answer: C — Article 17</w:t>
      </w:r>
    </w:p>
    <w:p>
      <w:r>
        <w:rPr>
          <w:rFonts w:ascii="Nirmala UI" w:hAnsi="Nirmala UI" w:eastAsia="Nirmala UI"/>
          <w:b w:val="0"/>
        </w:rPr>
        <w:t>4. The Right to Education under Article 21A covers children aged:</w:t>
      </w:r>
    </w:p>
    <w:p>
      <w:pPr>
        <w:pStyle w:val="ListBullet"/>
        <w:spacing w:after="40"/>
      </w:pPr>
      <w:r>
        <w:rPr>
          <w:rFonts w:ascii="Nirmala UI" w:hAnsi="Nirmala UI" w:eastAsia="Nirmala UI"/>
        </w:rPr>
        <w:t>A. 3–6 years</w:t>
      </w:r>
    </w:p>
    <w:p>
      <w:pPr>
        <w:pStyle w:val="ListBullet"/>
        <w:spacing w:after="40"/>
      </w:pPr>
      <w:r>
        <w:rPr>
          <w:rFonts w:ascii="Nirmala UI" w:hAnsi="Nirmala UI" w:eastAsia="Nirmala UI"/>
        </w:rPr>
        <w:t>B. 6–14 years</w:t>
      </w:r>
    </w:p>
    <w:p>
      <w:pPr>
        <w:pStyle w:val="ListBullet"/>
        <w:spacing w:after="40"/>
      </w:pPr>
      <w:r>
        <w:rPr>
          <w:rFonts w:ascii="Nirmala UI" w:hAnsi="Nirmala UI" w:eastAsia="Nirmala UI"/>
        </w:rPr>
        <w:t>C. 14–18 years</w:t>
      </w:r>
    </w:p>
    <w:p>
      <w:pPr>
        <w:pStyle w:val="ListBullet"/>
        <w:spacing w:after="40"/>
      </w:pPr>
      <w:r>
        <w:rPr>
          <w:rFonts w:ascii="Nirmala UI" w:hAnsi="Nirmala UI" w:eastAsia="Nirmala UI"/>
        </w:rPr>
        <w:t>D. All ages</w:t>
      </w:r>
    </w:p>
    <w:p>
      <w:r>
        <w:rPr>
          <w:rFonts w:ascii="Nirmala UI" w:hAnsi="Nirmala UI" w:eastAsia="Nirmala UI"/>
          <w:b/>
        </w:rPr>
        <w:t>Answer: B — 6–14 years</w:t>
      </w:r>
    </w:p>
    <w:p>
      <w:r>
        <w:rPr>
          <w:rFonts w:ascii="Nirmala UI" w:hAnsi="Nirmala UI" w:eastAsia="Nirmala UI"/>
          <w:b w:val="0"/>
        </w:rPr>
        <w:t>5. The right to move the Supreme Court to enforce Fundamental Rights is under:</w:t>
      </w:r>
    </w:p>
    <w:p>
      <w:pPr>
        <w:pStyle w:val="ListBullet"/>
        <w:spacing w:after="40"/>
      </w:pPr>
      <w:r>
        <w:rPr>
          <w:rFonts w:ascii="Nirmala UI" w:hAnsi="Nirmala UI" w:eastAsia="Nirmala UI"/>
        </w:rPr>
        <w:t>A. Article 21</w:t>
      </w:r>
    </w:p>
    <w:p>
      <w:pPr>
        <w:pStyle w:val="ListBullet"/>
        <w:spacing w:after="40"/>
      </w:pPr>
      <w:r>
        <w:rPr>
          <w:rFonts w:ascii="Nirmala UI" w:hAnsi="Nirmala UI" w:eastAsia="Nirmala UI"/>
        </w:rPr>
        <w:t>B. Article 25</w:t>
      </w:r>
    </w:p>
    <w:p>
      <w:pPr>
        <w:pStyle w:val="ListBullet"/>
        <w:spacing w:after="40"/>
      </w:pPr>
      <w:r>
        <w:rPr>
          <w:rFonts w:ascii="Nirmala UI" w:hAnsi="Nirmala UI" w:eastAsia="Nirmala UI"/>
        </w:rPr>
        <w:t>C. Article 32</w:t>
      </w:r>
    </w:p>
    <w:p>
      <w:pPr>
        <w:pStyle w:val="ListBullet"/>
        <w:spacing w:after="40"/>
      </w:pPr>
      <w:r>
        <w:rPr>
          <w:rFonts w:ascii="Nirmala UI" w:hAnsi="Nirmala UI" w:eastAsia="Nirmala UI"/>
        </w:rPr>
        <w:t>D. Article 226</w:t>
      </w:r>
    </w:p>
    <w:p>
      <w:r>
        <w:rPr>
          <w:rFonts w:ascii="Nirmala UI" w:hAnsi="Nirmala UI" w:eastAsia="Nirmala UI"/>
          <w:b/>
        </w:rPr>
        <w:t>Answer: C — Article 32</w:t>
      </w:r>
    </w:p>
    <w:p>
      <w:r>
        <w:rPr>
          <w:rFonts w:ascii="Nirmala UI" w:hAnsi="Nirmala UI" w:eastAsia="Nirmala UI"/>
          <w:b w:val="0"/>
        </w:rPr>
        <w:t>6. The Right to Property is now protected under:</w:t>
      </w:r>
    </w:p>
    <w:p>
      <w:pPr>
        <w:pStyle w:val="ListBullet"/>
        <w:spacing w:after="40"/>
      </w:pPr>
      <w:r>
        <w:rPr>
          <w:rFonts w:ascii="Nirmala UI" w:hAnsi="Nirmala UI" w:eastAsia="Nirmala UI"/>
        </w:rPr>
        <w:t>A. Article 19</w:t>
      </w:r>
    </w:p>
    <w:p>
      <w:pPr>
        <w:pStyle w:val="ListBullet"/>
        <w:spacing w:after="40"/>
      </w:pPr>
      <w:r>
        <w:rPr>
          <w:rFonts w:ascii="Nirmala UI" w:hAnsi="Nirmala UI" w:eastAsia="Nirmala UI"/>
        </w:rPr>
        <w:t>B. Article 31</w:t>
      </w:r>
    </w:p>
    <w:p>
      <w:pPr>
        <w:pStyle w:val="ListBullet"/>
        <w:spacing w:after="40"/>
      </w:pPr>
      <w:r>
        <w:rPr>
          <w:rFonts w:ascii="Nirmala UI" w:hAnsi="Nirmala UI" w:eastAsia="Nirmala UI"/>
        </w:rPr>
        <w:t>C. Article 300A</w:t>
      </w:r>
    </w:p>
    <w:p>
      <w:pPr>
        <w:pStyle w:val="ListBullet"/>
        <w:spacing w:after="40"/>
      </w:pPr>
      <w:r>
        <w:rPr>
          <w:rFonts w:ascii="Nirmala UI" w:hAnsi="Nirmala UI" w:eastAsia="Nirmala UI"/>
        </w:rPr>
        <w:t>D. Article 368</w:t>
      </w:r>
    </w:p>
    <w:p>
      <w:r>
        <w:rPr>
          <w:rFonts w:ascii="Nirmala UI" w:hAnsi="Nirmala UI" w:eastAsia="Nirmala UI"/>
          <w:b/>
        </w:rPr>
        <w:t>Answer: C — Article 300A</w:t>
      </w:r>
    </w:p>
    <w:p>
      <w:r>
        <w:rPr>
          <w:rFonts w:ascii="Nirmala UI" w:hAnsi="Nirmala UI" w:eastAsia="Nirmala UI"/>
          <w:b w:val="0"/>
        </w:rPr>
        <w:t>7. Prohibition of trafficking and begar is under:</w:t>
      </w:r>
    </w:p>
    <w:p>
      <w:pPr>
        <w:pStyle w:val="ListBullet"/>
        <w:spacing w:after="40"/>
      </w:pPr>
      <w:r>
        <w:rPr>
          <w:rFonts w:ascii="Nirmala UI" w:hAnsi="Nirmala UI" w:eastAsia="Nirmala UI"/>
        </w:rPr>
        <w:t>A. Article 21A</w:t>
      </w:r>
    </w:p>
    <w:p>
      <w:pPr>
        <w:pStyle w:val="ListBullet"/>
        <w:spacing w:after="40"/>
      </w:pPr>
      <w:r>
        <w:rPr>
          <w:rFonts w:ascii="Nirmala UI" w:hAnsi="Nirmala UI" w:eastAsia="Nirmala UI"/>
        </w:rPr>
        <w:t>B. Article 23</w:t>
      </w:r>
    </w:p>
    <w:p>
      <w:pPr>
        <w:pStyle w:val="ListBullet"/>
        <w:spacing w:after="40"/>
      </w:pPr>
      <w:r>
        <w:rPr>
          <w:rFonts w:ascii="Nirmala UI" w:hAnsi="Nirmala UI" w:eastAsia="Nirmala UI"/>
        </w:rPr>
        <w:t>C. Article 24</w:t>
      </w:r>
    </w:p>
    <w:p>
      <w:pPr>
        <w:pStyle w:val="ListBullet"/>
        <w:spacing w:after="40"/>
      </w:pPr>
      <w:r>
        <w:rPr>
          <w:rFonts w:ascii="Nirmala UI" w:hAnsi="Nirmala UI" w:eastAsia="Nirmala UI"/>
        </w:rPr>
        <w:t>D. Article 29</w:t>
      </w:r>
    </w:p>
    <w:p>
      <w:r>
        <w:rPr>
          <w:rFonts w:ascii="Nirmala UI" w:hAnsi="Nirmala UI" w:eastAsia="Nirmala UI"/>
          <w:b/>
        </w:rPr>
        <w:t>Answer: B — Article 23</w:t>
      </w:r>
    </w:p>
    <w:p>
      <w:pPr>
        <w:pStyle w:val="Heading1"/>
      </w:pPr>
      <w:r>
        <w:t>Quick revision chart</w:t>
      </w:r>
    </w:p>
    <w:tbl>
      <w:tblPr>
        <w:tblStyle w:val="TableGrid"/>
        <w:tblW w:type="auto" w:w="0"/>
        <w:tblLook w:firstColumn="1" w:firstRow="1" w:lastColumn="0" w:lastRow="0" w:noHBand="0" w:noVBand="1" w:val="04A0"/>
      </w:tblPr>
      <w:tblGrid>
        <w:gridCol w:w="5112"/>
        <w:gridCol w:w="5112"/>
      </w:tblGrid>
      <w:tr>
        <w:tc>
          <w:tcPr>
            <w:tcW w:type="dxa" w:w="5112"/>
            <w:shd w:fill="D9EAF7"/>
          </w:tcPr>
          <w:p>
            <w:pPr>
              <w:spacing w:after="0"/>
            </w:pPr>
            <w:r/>
            <w:r>
              <w:rPr>
                <w:rFonts w:ascii="Nirmala UI" w:hAnsi="Nirmala UI" w:eastAsia="Nirmala UI"/>
                <w:b/>
                <w:sz w:val="18"/>
              </w:rPr>
              <w:t>Article(s)</w:t>
            </w:r>
          </w:p>
        </w:tc>
        <w:tc>
          <w:tcPr>
            <w:tcW w:type="dxa" w:w="5112"/>
            <w:shd w:fill="D9EAF7"/>
          </w:tcPr>
          <w:p>
            <w:pPr>
              <w:spacing w:after="0"/>
            </w:pPr>
            <w:r/>
            <w:r>
              <w:rPr>
                <w:rFonts w:ascii="Nirmala UI" w:hAnsi="Nirmala UI" w:eastAsia="Nirmala UI"/>
                <w:b/>
                <w:sz w:val="18"/>
              </w:rPr>
              <w:t>Remember</w:t>
            </w:r>
          </w:p>
        </w:tc>
      </w:tr>
      <w:tr>
        <w:tc>
          <w:tcPr>
            <w:tcW w:type="dxa" w:w="5112"/>
          </w:tcPr>
          <w:p>
            <w:pPr>
              <w:spacing w:after="0"/>
            </w:pPr>
            <w:r/>
            <w:r>
              <w:rPr>
                <w:rFonts w:ascii="Nirmala UI" w:hAnsi="Nirmala UI" w:eastAsia="Nirmala UI"/>
                <w:b w:val="0"/>
                <w:sz w:val="18"/>
              </w:rPr>
              <w:t>12–13</w:t>
            </w:r>
          </w:p>
        </w:tc>
        <w:tc>
          <w:tcPr>
            <w:tcW w:type="dxa" w:w="5112"/>
          </w:tcPr>
          <w:p>
            <w:pPr>
              <w:spacing w:after="0"/>
            </w:pPr>
            <w:r/>
            <w:r>
              <w:rPr>
                <w:rFonts w:ascii="Nirmala UI" w:hAnsi="Nirmala UI" w:eastAsia="Nirmala UI"/>
                <w:b w:val="0"/>
                <w:sz w:val="18"/>
              </w:rPr>
              <w:t>Definition of State; laws inconsistent with Fundamental Rights</w:t>
            </w:r>
          </w:p>
        </w:tc>
      </w:tr>
      <w:tr>
        <w:tc>
          <w:tcPr>
            <w:tcW w:type="dxa" w:w="5112"/>
          </w:tcPr>
          <w:p>
            <w:pPr>
              <w:spacing w:after="0"/>
            </w:pPr>
            <w:r/>
            <w:r>
              <w:rPr>
                <w:rFonts w:ascii="Nirmala UI" w:hAnsi="Nirmala UI" w:eastAsia="Nirmala UI"/>
                <w:b w:val="0"/>
                <w:sz w:val="18"/>
              </w:rPr>
              <w:t>14–18</w:t>
            </w:r>
          </w:p>
        </w:tc>
        <w:tc>
          <w:tcPr>
            <w:tcW w:type="dxa" w:w="5112"/>
          </w:tcPr>
          <w:p>
            <w:pPr>
              <w:spacing w:after="0"/>
            </w:pPr>
            <w:r/>
            <w:r>
              <w:rPr>
                <w:rFonts w:ascii="Nirmala UI" w:hAnsi="Nirmala UI" w:eastAsia="Nirmala UI"/>
                <w:b w:val="0"/>
                <w:sz w:val="18"/>
              </w:rPr>
              <w:t>Right to Equality</w:t>
            </w:r>
          </w:p>
        </w:tc>
      </w:tr>
      <w:tr>
        <w:tc>
          <w:tcPr>
            <w:tcW w:type="dxa" w:w="5112"/>
          </w:tcPr>
          <w:p>
            <w:pPr>
              <w:spacing w:after="0"/>
            </w:pPr>
            <w:r/>
            <w:r>
              <w:rPr>
                <w:rFonts w:ascii="Nirmala UI" w:hAnsi="Nirmala UI" w:eastAsia="Nirmala UI"/>
                <w:b w:val="0"/>
                <w:sz w:val="18"/>
              </w:rPr>
              <w:t>19–22 + 21A</w:t>
            </w:r>
          </w:p>
        </w:tc>
        <w:tc>
          <w:tcPr>
            <w:tcW w:type="dxa" w:w="5112"/>
          </w:tcPr>
          <w:p>
            <w:pPr>
              <w:spacing w:after="0"/>
            </w:pPr>
            <w:r/>
            <w:r>
              <w:rPr>
                <w:rFonts w:ascii="Nirmala UI" w:hAnsi="Nirmala UI" w:eastAsia="Nirmala UI"/>
                <w:b w:val="0"/>
                <w:sz w:val="18"/>
              </w:rPr>
              <w:t>Right to Freedom and Education</w:t>
            </w:r>
          </w:p>
        </w:tc>
      </w:tr>
      <w:tr>
        <w:tc>
          <w:tcPr>
            <w:tcW w:type="dxa" w:w="5112"/>
          </w:tcPr>
          <w:p>
            <w:pPr>
              <w:spacing w:after="0"/>
            </w:pPr>
            <w:r/>
            <w:r>
              <w:rPr>
                <w:rFonts w:ascii="Nirmala UI" w:hAnsi="Nirmala UI" w:eastAsia="Nirmala UI"/>
                <w:b w:val="0"/>
                <w:sz w:val="18"/>
              </w:rPr>
              <w:t>23–24</w:t>
            </w:r>
          </w:p>
        </w:tc>
        <w:tc>
          <w:tcPr>
            <w:tcW w:type="dxa" w:w="5112"/>
          </w:tcPr>
          <w:p>
            <w:pPr>
              <w:spacing w:after="0"/>
            </w:pPr>
            <w:r/>
            <w:r>
              <w:rPr>
                <w:rFonts w:ascii="Nirmala UI" w:hAnsi="Nirmala UI" w:eastAsia="Nirmala UI"/>
                <w:b w:val="0"/>
                <w:sz w:val="18"/>
              </w:rPr>
              <w:t>Right against Exploitation</w:t>
            </w:r>
          </w:p>
        </w:tc>
      </w:tr>
      <w:tr>
        <w:tc>
          <w:tcPr>
            <w:tcW w:type="dxa" w:w="5112"/>
          </w:tcPr>
          <w:p>
            <w:pPr>
              <w:spacing w:after="0"/>
            </w:pPr>
            <w:r/>
            <w:r>
              <w:rPr>
                <w:rFonts w:ascii="Nirmala UI" w:hAnsi="Nirmala UI" w:eastAsia="Nirmala UI"/>
                <w:b w:val="0"/>
                <w:sz w:val="18"/>
              </w:rPr>
              <w:t>25–28</w:t>
            </w:r>
          </w:p>
        </w:tc>
        <w:tc>
          <w:tcPr>
            <w:tcW w:type="dxa" w:w="5112"/>
          </w:tcPr>
          <w:p>
            <w:pPr>
              <w:spacing w:after="0"/>
            </w:pPr>
            <w:r/>
            <w:r>
              <w:rPr>
                <w:rFonts w:ascii="Nirmala UI" w:hAnsi="Nirmala UI" w:eastAsia="Nirmala UI"/>
                <w:b w:val="0"/>
                <w:sz w:val="18"/>
              </w:rPr>
              <w:t>Freedom of Religion</w:t>
            </w:r>
          </w:p>
        </w:tc>
      </w:tr>
      <w:tr>
        <w:tc>
          <w:tcPr>
            <w:tcW w:type="dxa" w:w="5112"/>
          </w:tcPr>
          <w:p>
            <w:pPr>
              <w:spacing w:after="0"/>
            </w:pPr>
            <w:r/>
            <w:r>
              <w:rPr>
                <w:rFonts w:ascii="Nirmala UI" w:hAnsi="Nirmala UI" w:eastAsia="Nirmala UI"/>
                <w:b w:val="0"/>
                <w:sz w:val="18"/>
              </w:rPr>
              <w:t>29–30</w:t>
            </w:r>
          </w:p>
        </w:tc>
        <w:tc>
          <w:tcPr>
            <w:tcW w:type="dxa" w:w="5112"/>
          </w:tcPr>
          <w:p>
            <w:pPr>
              <w:spacing w:after="0"/>
            </w:pPr>
            <w:r/>
            <w:r>
              <w:rPr>
                <w:rFonts w:ascii="Nirmala UI" w:hAnsi="Nirmala UI" w:eastAsia="Nirmala UI"/>
                <w:b w:val="0"/>
                <w:sz w:val="18"/>
              </w:rPr>
              <w:t>Cultural and Educational Rights</w:t>
            </w:r>
          </w:p>
        </w:tc>
      </w:tr>
      <w:tr>
        <w:tc>
          <w:tcPr>
            <w:tcW w:type="dxa" w:w="5112"/>
          </w:tcPr>
          <w:p>
            <w:pPr>
              <w:spacing w:after="0"/>
            </w:pPr>
            <w:r/>
            <w:r>
              <w:rPr>
                <w:rFonts w:ascii="Nirmala UI" w:hAnsi="Nirmala UI" w:eastAsia="Nirmala UI"/>
                <w:b w:val="0"/>
                <w:sz w:val="18"/>
              </w:rPr>
              <w:t>32</w:t>
            </w:r>
          </w:p>
        </w:tc>
        <w:tc>
          <w:tcPr>
            <w:tcW w:type="dxa" w:w="5112"/>
          </w:tcPr>
          <w:p>
            <w:pPr>
              <w:spacing w:after="0"/>
            </w:pPr>
            <w:r/>
            <w:r>
              <w:rPr>
                <w:rFonts w:ascii="Nirmala UI" w:hAnsi="Nirmala UI" w:eastAsia="Nirmala UI"/>
                <w:b w:val="0"/>
                <w:sz w:val="18"/>
              </w:rPr>
              <w:t>Constitutional Remedies; Supreme Court writs</w:t>
            </w:r>
          </w:p>
        </w:tc>
      </w:tr>
      <w:tr>
        <w:tc>
          <w:tcPr>
            <w:tcW w:type="dxa" w:w="5112"/>
          </w:tcPr>
          <w:p>
            <w:pPr>
              <w:spacing w:after="0"/>
            </w:pPr>
            <w:r/>
            <w:r>
              <w:rPr>
                <w:rFonts w:ascii="Nirmala UI" w:hAnsi="Nirmala UI" w:eastAsia="Nirmala UI"/>
                <w:b w:val="0"/>
                <w:sz w:val="18"/>
              </w:rPr>
              <w:t>33–35</w:t>
            </w:r>
          </w:p>
        </w:tc>
        <w:tc>
          <w:tcPr>
            <w:tcW w:type="dxa" w:w="5112"/>
          </w:tcPr>
          <w:p>
            <w:pPr>
              <w:spacing w:after="0"/>
            </w:pPr>
            <w:r/>
            <w:r>
              <w:rPr>
                <w:rFonts w:ascii="Nirmala UI" w:hAnsi="Nirmala UI" w:eastAsia="Nirmala UI"/>
                <w:b w:val="0"/>
                <w:sz w:val="18"/>
              </w:rPr>
              <w:t>Special provisions relating to application/implementation of Part III</w:t>
            </w:r>
          </w:p>
        </w:tc>
      </w:tr>
      <w:tr>
        <w:tc>
          <w:tcPr>
            <w:tcW w:type="dxa" w:w="5112"/>
          </w:tcPr>
          <w:p>
            <w:pPr>
              <w:spacing w:after="0"/>
            </w:pPr>
            <w:r/>
            <w:r>
              <w:rPr>
                <w:rFonts w:ascii="Nirmala UI" w:hAnsi="Nirmala UI" w:eastAsia="Nirmala UI"/>
                <w:b w:val="0"/>
                <w:sz w:val="18"/>
              </w:rPr>
              <w:t>300A</w:t>
            </w:r>
          </w:p>
        </w:tc>
        <w:tc>
          <w:tcPr>
            <w:tcW w:type="dxa" w:w="5112"/>
          </w:tcPr>
          <w:p>
            <w:pPr>
              <w:spacing w:after="0"/>
            </w:pPr>
            <w:r/>
            <w:r>
              <w:rPr>
                <w:rFonts w:ascii="Nirmala UI" w:hAnsi="Nirmala UI" w:eastAsia="Nirmala UI"/>
                <w:b w:val="0"/>
                <w:sz w:val="18"/>
              </w:rPr>
              <w:t>Right to Property: constitutional right, not a Fundamental Right</w:t>
            </w:r>
          </w:p>
        </w:tc>
      </w:tr>
    </w:tbl>
    <w:p/>
    <w:p>
      <w:pPr>
        <w:pStyle w:val="Heading1"/>
      </w:pPr>
      <w:r>
        <w:t>Official sources</w:t>
      </w:r>
    </w:p>
    <w:p>
      <w:r>
        <w:rPr>
          <w:rFonts w:ascii="Nirmala UI" w:hAnsi="Nirmala UI" w:eastAsia="Nirmala UI"/>
          <w:b w:val="0"/>
        </w:rPr>
        <w:t>Constitution of India, Legislative Department, Ministry of Law &amp; Justice: https://www.legislative.gov.in/</w:t>
      </w:r>
    </w:p>
    <w:p>
      <w:r>
        <w:rPr>
          <w:rFonts w:ascii="Nirmala UI" w:hAnsi="Nirmala UI" w:eastAsia="Nirmala UI"/>
          <w:b w:val="0"/>
        </w:rPr>
        <w:t>Supreme Court of India — Jurisdiction (Article 32): https://www.sci.gov.in/jurisdiction/</w:t>
      </w:r>
    </w:p>
    <w:p>
      <w:r>
        <w:rPr>
          <w:rFonts w:ascii="Nirmala UI" w:hAnsi="Nirmala UI" w:eastAsia="Nirmala UI"/>
          <w:b w:val="0"/>
        </w:rPr>
        <w:t>These notes are a revision aid. For exact legal wording and amendments, consult the latest official Constitution.</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Nirmala UI" w:hAnsi="Nirmala UI" w:eastAsia="Nirmala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irmala UI" w:hAnsi="Nirmala UI" w:eastAsia="Nirmala U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irmala UI" w:hAnsi="Nirmala UI" w:eastAsia="Nirmala U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irmala UI" w:hAnsi="Nirmala UI" w:eastAsia="Nirmala U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irmala UI" w:hAnsi="Nirmala UI" w:eastAsia="Nirmala U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