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3A5B"/>
          <w:sz w:val="40"/>
          <w:szCs w:val="40"/>
        </w:rPr>
        <w:t xml:space="preserve">Key Findings</w:t>
      </w:r>
    </w:p>
    <w:p>
      <w:pPr>
        <w:spacing w:after="60"/>
      </w:pPr>
      <w:r>
        <w:rPr>
          <w:rFonts w:ascii="Calibri" w:cs="Calibri" w:eastAsia="Calibri" w:hAnsi="Calibri"/>
          <w:b/>
          <w:bCs/>
          <w:color w:val="1A2733"/>
          <w:sz w:val="24"/>
          <w:szCs w:val="24"/>
        </w:rPr>
        <w:t xml:space="preserve">Interfacing an Inspire RH56F1-E2R-T1 Dexterous Hand with a Universal Robots UR5e</w:t>
      </w:r>
    </w:p>
    <w:p>
      <w:pPr>
        <w:pBdr>
          <w:bottom w:val="single" w:color="C9D6E3" w:sz="6" w:space="6"/>
        </w:pBdr>
        <w:spacing w:after="60"/>
      </w:pPr>
      <w:r>
        <w:rPr>
          <w:rFonts w:ascii="Calibri" w:cs="Calibri" w:eastAsia="Calibri" w:hAnsi="Calibri"/>
          <w:i/>
          <w:iCs/>
          <w:color w:val="5A6B7A"/>
          <w:sz w:val="18"/>
          <w:szCs w:val="18"/>
        </w:rPr>
        <w:t xml:space="preserve">Siddharth Patni  ·  Ostfalia University of Applied Sciences  ·  Seminar Autonomous Systems (Prof. Dr.-Ing. Sebastian Ohl)</w:t>
      </w:r>
    </w:p>
    <w:p>
      <w:pPr>
        <w:spacing w:after="180" w:line="288"/>
        <w:jc w:val="both"/>
      </w:pPr>
      <w:r>
        <w:rPr>
          <w:rFonts w:ascii="Calibri" w:cs="Calibri" w:eastAsia="Calibri" w:hAnsi="Calibri"/>
          <w:color w:val="1A2733"/>
          <w:sz w:val="22"/>
          <w:szCs w:val="22"/>
        </w:rPr>
        <w:t xml:space="preserve">This note summarises the findings of a design-stage study on attaching a five-finger dexterous hand to a collaborative robot arm. The hardware has been ordered but not yet integrated, so the findings below are the result of specification analysis and engineering reasoning rather than physical experiments; no measured results are reported. The value of the study is a verified integration design and a concrete plan for validating it.</w:t>
      </w:r>
    </w:p>
    <w:p>
      <w:pPr>
        <w:spacing w:after="120" w:before="260"/>
      </w:pPr>
      <w:r>
        <w:rPr>
          <w:rFonts w:ascii="Calibri" w:cs="Calibri" w:eastAsia="Calibri" w:hAnsi="Calibri"/>
          <w:b/>
          <w:bCs/>
          <w:color w:val="1B3A5B"/>
          <w:sz w:val="26"/>
          <w:szCs w:val="26"/>
        </w:rPr>
        <w:t xml:space="preserve">Principal findings</w:t>
      </w:r>
    </w:p>
    <w:p>
      <w:pPr>
        <w:spacing w:after="130" w:line="288"/>
        <w:jc w:val="both"/>
      </w:pPr>
      <w:r>
        <w:rPr>
          <w:rFonts w:ascii="Calibri" w:cs="Calibri" w:eastAsia="Calibri" w:hAnsi="Calibri"/>
          <w:b/>
          <w:bCs/>
          <w:color w:val="B5670F"/>
          <w:sz w:val="22"/>
          <w:szCs w:val="22"/>
        </w:rPr>
        <w:t xml:space="preserve">1.  </w:t>
      </w:r>
      <w:r>
        <w:rPr>
          <w:rFonts w:ascii="Calibri" w:cs="Calibri" w:eastAsia="Calibri" w:hAnsi="Calibri"/>
          <w:b/>
          <w:bCs/>
          <w:color w:val="1B3A5B"/>
          <w:sz w:val="22"/>
          <w:szCs w:val="22"/>
        </w:rPr>
        <w:t xml:space="preserve">The two platforms are compatible at the tool-flange interface. </w:t>
      </w:r>
      <w:r>
        <w:rPr>
          <w:rFonts w:ascii="Calibri" w:cs="Calibri" w:eastAsia="Calibri" w:hAnsi="Calibri"/>
          <w:color w:val="1A2733"/>
          <w:sz w:val="22"/>
          <w:szCs w:val="22"/>
        </w:rPr>
        <w:t xml:space="preserve">The ordered hand exposes an RS-485 serial control interface, and the UR5e presents an RS-485 bus at its tool flange through the Tool Communication Interface (TCI). The hand can therefore be attached at the tool centre point and driven over the robot's own serial channel, without adding a separate fieldbus. The vendor-supplied forwarding URCap and the ROS 2 driver expose that channel to the control PC as a virtual serial device, so the software effort reduces to a thin register-level hand driver.</w:t>
      </w:r>
    </w:p>
    <w:p>
      <w:pPr>
        <w:spacing w:after="130" w:line="288"/>
        <w:jc w:val="both"/>
      </w:pPr>
      <w:r>
        <w:rPr>
          <w:rFonts w:ascii="Calibri" w:cs="Calibri" w:eastAsia="Calibri" w:hAnsi="Calibri"/>
          <w:b/>
          <w:bCs/>
          <w:color w:val="B5670F"/>
          <w:sz w:val="22"/>
          <w:szCs w:val="22"/>
        </w:rPr>
        <w:t xml:space="preserve">2.  </w:t>
      </w:r>
      <w:r>
        <w:rPr>
          <w:rFonts w:ascii="Calibri" w:cs="Calibri" w:eastAsia="Calibri" w:hAnsi="Calibri"/>
          <w:b/>
          <w:bCs/>
          <w:color w:val="1B3A5B"/>
          <w:sz w:val="22"/>
          <w:szCs w:val="22"/>
        </w:rPr>
        <w:t xml:space="preserve">The single binding constraint is electrical, not informational. </w:t>
      </w:r>
      <w:r>
        <w:rPr>
          <w:rFonts w:ascii="Calibri" w:cs="Calibri" w:eastAsia="Calibri" w:hAnsi="Calibri"/>
          <w:color w:val="1A2733"/>
          <w:sz w:val="22"/>
          <w:szCs w:val="22"/>
        </w:rPr>
        <w:t xml:space="preserve">The hand's specified peak draw is 5 A at 24 V (120 W), whereas the UR5e tool connector supplies at most 1.5 A on paired pins (36 W). The flange can therefore deliver only about 30 % of the hand's peak electrical power. This mismatch — not communication, mounting, or software — is the one hard limit that shapes the whole integration, and it generalises to any high-current end-effector attached through an e-Series tool connector.</w:t>
      </w:r>
    </w:p>
    <w:p>
      <w:pPr>
        <w:spacing w:after="130" w:line="288"/>
        <w:jc w:val="both"/>
      </w:pPr>
      <w:r>
        <w:rPr>
          <w:rFonts w:ascii="Calibri" w:cs="Calibri" w:eastAsia="Calibri" w:hAnsi="Calibri"/>
          <w:b/>
          <w:bCs/>
          <w:color w:val="B5670F"/>
          <w:sz w:val="22"/>
          <w:szCs w:val="22"/>
        </w:rPr>
        <w:t xml:space="preserve">3.  </w:t>
      </w:r>
      <w:r>
        <w:rPr>
          <w:rFonts w:ascii="Calibri" w:cs="Calibri" w:eastAsia="Calibri" w:hAnsi="Calibri"/>
          <w:b/>
          <w:bCs/>
          <w:color w:val="1B3A5B"/>
          <w:sz w:val="22"/>
          <w:szCs w:val="22"/>
        </w:rPr>
        <w:t xml:space="preserve">The power mismatch has two clean resolutions, and an external supply is the recommended default. </w:t>
      </w:r>
      <w:r>
        <w:rPr>
          <w:rFonts w:ascii="Calibri" w:cs="Calibri" w:eastAsia="Calibri" w:hAnsi="Calibri"/>
          <w:color w:val="1A2733"/>
          <w:sz w:val="22"/>
          <w:szCs w:val="22"/>
        </w:rPr>
        <w:t xml:space="preserve">Concept A powers the hand entirely from the tool connector and caps its current through the hand's own register settings; it is mechanically simplest but limits the hand to light, low-force grasping. Concept B powers the hand from a dedicated 24 V supply rated above 5 A while still carrying RS-485 through the TCI; it preserves the hand's full force and speed envelope at the cost of one extra cable. Because grasp-force experiments are an intended use, Concept B is the recommended default, with Concept A retained as a demonstrator once the true current profile has been measured.</w:t>
      </w:r>
    </w:p>
    <w:p>
      <w:pPr>
        <w:spacing w:after="130" w:line="288"/>
        <w:jc w:val="both"/>
      </w:pPr>
      <w:r>
        <w:rPr>
          <w:rFonts w:ascii="Calibri" w:cs="Calibri" w:eastAsia="Calibri" w:hAnsi="Calibri"/>
          <w:b/>
          <w:bCs/>
          <w:color w:val="B5670F"/>
          <w:sz w:val="22"/>
          <w:szCs w:val="22"/>
        </w:rPr>
        <w:t xml:space="preserve">4.  </w:t>
      </w:r>
      <w:r>
        <w:rPr>
          <w:rFonts w:ascii="Calibri" w:cs="Calibri" w:eastAsia="Calibri" w:hAnsi="Calibri"/>
          <w:b/>
          <w:bCs/>
          <w:color w:val="1B3A5B"/>
          <w:sz w:val="22"/>
          <w:szCs w:val="22"/>
        </w:rPr>
        <w:t xml:space="preserve">The correct hand variant is uniquely determined by the arm. </w:t>
      </w:r>
      <w:r>
        <w:rPr>
          <w:rFonts w:ascii="Calibri" w:cs="Calibri" w:eastAsia="Calibri" w:hAnsi="Calibri"/>
          <w:color w:val="1A2733"/>
          <w:sz w:val="22"/>
          <w:szCs w:val="22"/>
        </w:rPr>
        <w:t xml:space="preserve">The RH56F1 series ships in four builds. Only the E2 variants expose RS-485 (the E4 variants use CAN FD, which the tool connector cannot carry), and only the tactile “-T1” build supports the force-controlled grasping use case. Together with the ordered right-handedness, these constraints select the RH56F1-E2R-T1 uniquely — the arm's interface, not the application, drives the choice.</w:t>
      </w:r>
    </w:p>
    <w:p>
      <w:pPr>
        <w:spacing w:after="130" w:line="288"/>
        <w:jc w:val="both"/>
      </w:pPr>
      <w:r>
        <w:rPr>
          <w:rFonts w:ascii="Calibri" w:cs="Calibri" w:eastAsia="Calibri" w:hAnsi="Calibri"/>
          <w:b/>
          <w:bCs/>
          <w:color w:val="B5670F"/>
          <w:sz w:val="22"/>
          <w:szCs w:val="22"/>
        </w:rPr>
        <w:t xml:space="preserve">5.  </w:t>
      </w:r>
      <w:r>
        <w:rPr>
          <w:rFonts w:ascii="Calibri" w:cs="Calibri" w:eastAsia="Calibri" w:hAnsi="Calibri"/>
          <w:b/>
          <w:bCs/>
          <w:color w:val="1B3A5B"/>
          <w:sz w:val="22"/>
          <w:szCs w:val="22"/>
        </w:rPr>
        <w:t xml:space="preserve">Register polling is not expected to be a bottleneck. </w:t>
      </w:r>
      <w:r>
        <w:rPr>
          <w:rFonts w:ascii="Calibri" w:cs="Calibri" w:eastAsia="Calibri" w:hAnsi="Calibri"/>
          <w:color w:val="1A2733"/>
          <w:sz w:val="22"/>
          <w:szCs w:val="22"/>
        </w:rPr>
        <w:t xml:space="preserve">A first-order bandwidth analysis indicates that a full posture command and a feedback read occupy only a small fraction of a representative RS-485 link, leaving ample margin for a control loop of tens of hertz. This is an illustrative estimate: the exact serial rate is set in the hand's manual, and the true round-trip latency over the tunnelled interface is one of the first quantities to be measured.</w:t>
      </w:r>
    </w:p>
    <w:p>
      <w:pPr>
        <w:spacing w:after="130" w:line="288"/>
        <w:jc w:val="both"/>
      </w:pPr>
      <w:r>
        <w:rPr>
          <w:rFonts w:ascii="Calibri" w:cs="Calibri" w:eastAsia="Calibri" w:hAnsi="Calibri"/>
          <w:b/>
          <w:bCs/>
          <w:color w:val="B5670F"/>
          <w:sz w:val="22"/>
          <w:szCs w:val="22"/>
        </w:rPr>
        <w:t xml:space="preserve">6.  </w:t>
      </w:r>
      <w:r>
        <w:rPr>
          <w:rFonts w:ascii="Calibri" w:cs="Calibri" w:eastAsia="Calibri" w:hAnsi="Calibri"/>
          <w:b/>
          <w:bCs/>
          <w:color w:val="1B3A5B"/>
          <w:sz w:val="22"/>
          <w:szCs w:val="22"/>
        </w:rPr>
        <w:t xml:space="preserve">The combined system enables application classes a parallel gripper cannot reach. </w:t>
      </w:r>
      <w:r>
        <w:rPr>
          <w:rFonts w:ascii="Calibri" w:cs="Calibri" w:eastAsia="Calibri" w:hAnsi="Calibri"/>
          <w:color w:val="1A2733"/>
          <w:sz w:val="22"/>
          <w:szCs w:val="22"/>
        </w:rPr>
        <w:t xml:space="preserve">Five families are supported by the hand's verified capabilities: grasp-taxonomy benchmarking, force-controlled grasping of fragile objects, teleoperation and demonstration collection, tactile-triggered human–robot handover, and laboratory handling of objects whose geometry defeats two-finger grippers. The distinguishing capability across all of them is integrated, distributed contact sensing in the control loop.</w:t>
      </w:r>
    </w:p>
    <w:p>
      <w:pPr>
        <w:spacing w:after="130" w:line="288"/>
        <w:jc w:val="both"/>
      </w:pPr>
      <w:r>
        <w:rPr>
          <w:rFonts w:ascii="Calibri" w:cs="Calibri" w:eastAsia="Calibri" w:hAnsi="Calibri"/>
          <w:b/>
          <w:bCs/>
          <w:color w:val="B5670F"/>
          <w:sz w:val="22"/>
          <w:szCs w:val="22"/>
        </w:rPr>
        <w:t xml:space="preserve">7.  </w:t>
      </w:r>
      <w:r>
        <w:rPr>
          <w:rFonts w:ascii="Calibri" w:cs="Calibri" w:eastAsia="Calibri" w:hAnsi="Calibri"/>
          <w:b/>
          <w:bCs/>
          <w:color w:val="1B3A5B"/>
          <w:sz w:val="22"/>
          <w:szCs w:val="22"/>
        </w:rPr>
        <w:t xml:space="preserve">A measurable, pre-registered evaluation plan is in place. </w:t>
      </w:r>
      <w:r>
        <w:rPr>
          <w:rFonts w:ascii="Calibri" w:cs="Calibri" w:eastAsia="Calibri" w:hAnsi="Calibri"/>
          <w:color w:val="1A2733"/>
          <w:sz w:val="22"/>
          <w:szCs w:val="22"/>
        </w:rPr>
        <w:t xml:space="preserve">A three-stage protocol translates the design into testable claims: Stage 1 verifies the electrical budget and the communication latency, Stage 2 benchmarks grasp success across a taxonomy and object set, and Stage 3 compares force-controlled against position-controlled grasping of fragile objects. Each stage is tied to a specific claim so that its execution will confirm or refute that claim.</w:t>
      </w:r>
    </w:p>
    <w:p>
      <w:pPr>
        <w:spacing w:after="120" w:before="260"/>
      </w:pPr>
      <w:r>
        <w:rPr>
          <w:rFonts w:ascii="Calibri" w:cs="Calibri" w:eastAsia="Calibri" w:hAnsi="Calibri"/>
          <w:b/>
          <w:bCs/>
          <w:color w:val="1B3A5B"/>
          <w:sz w:val="26"/>
          <w:szCs w:val="26"/>
        </w:rPr>
        <w:t xml:space="preserve">What this means</w:t>
      </w:r>
    </w:p>
    <w:p>
      <w:pPr>
        <w:spacing w:after="150" w:line="288"/>
        <w:jc w:val="both"/>
      </w:pPr>
      <w:r>
        <w:rPr>
          <w:rFonts w:ascii="Calibri" w:cs="Calibri" w:eastAsia="Calibri" w:hAnsi="Calibri"/>
          <w:color w:val="1A2733"/>
          <w:sz w:val="22"/>
          <w:szCs w:val="22"/>
        </w:rPr>
        <w:t xml:space="preserve">The study shows that the integration is technically well-supported and that its one genuine risk is quantifiable and bounded. The main engineering contribution is framing the whole design around the power budget and providing two concrete, comparable ways to satisfy it. Because the analysis rests on vendor specifications, it is sufficient to commit to a design and a wiring plan now, while the numbers that require hardware are deferred to the evaluation.</w:t>
      </w:r>
    </w:p>
    <w:p>
      <w:pPr>
        <w:spacing w:after="120" w:before="260"/>
      </w:pPr>
      <w:r>
        <w:rPr>
          <w:rFonts w:ascii="Calibri" w:cs="Calibri" w:eastAsia="Calibri" w:hAnsi="Calibri"/>
          <w:b/>
          <w:bCs/>
          <w:color w:val="1B3A5B"/>
          <w:sz w:val="26"/>
          <w:szCs w:val="26"/>
        </w:rPr>
        <w:t xml:space="preserve">Status and next step</w:t>
      </w:r>
    </w:p>
    <w:p>
      <w:pPr>
        <w:spacing w:after="60" w:line="288"/>
        <w:jc w:val="both"/>
      </w:pPr>
      <w:r>
        <w:rPr>
          <w:rFonts w:ascii="Calibri" w:cs="Calibri" w:eastAsia="Calibri" w:hAnsi="Calibri"/>
          <w:b/>
          <w:bCs/>
          <w:color w:val="B5670F"/>
          <w:sz w:val="22"/>
          <w:szCs w:val="22"/>
        </w:rPr>
        <w:t xml:space="preserve">No measurements have been taken. </w:t>
      </w:r>
      <w:r>
        <w:rPr>
          <w:rFonts w:ascii="Calibri" w:cs="Calibri" w:eastAsia="Calibri" w:hAnsi="Calibri"/>
          <w:color w:val="1A2733"/>
          <w:sz w:val="22"/>
          <w:szCs w:val="22"/>
        </w:rPr>
        <w:t xml:space="preserve">The immediate next step is to execute Stage 1 once the hardware arrives — the current-draw measurement that decides whether the flange-only configuration is viable and, if not, confirms the external-supply design. The adapter geometry, the register-level driver, and the ROS 2 configuration will then be documented as a reusable package for subsequent projects on the same arm.</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2026-07-26T16:29:27.592Z</dcterms:created>
  <dcterms:modified xsi:type="dcterms:W3CDTF">2026-07-26T16:29:27.615Z</dcterms:modified>
</cp:coreProperties>
</file>

<file path=docProps/custom.xml><?xml version="1.0" encoding="utf-8"?>
<Properties xmlns="http://schemas.openxmlformats.org/officeDocument/2006/custom-properties" xmlns:vt="http://schemas.openxmlformats.org/officeDocument/2006/docPropsVTypes"/>
</file>