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4"/>
          <w:szCs w:val="44"/>
        </w:rPr>
        <w:t xml:space="preserve">POWER TRANSFORMER HEALTH</w:t>
      </w:r>
    </w:p>
    <w:p>
      <w:pPr>
        <w:spacing w:after="300"/>
        <w:jc w:val="center"/>
      </w:pPr>
      <w:r>
        <w:rPr>
          <w:b/>
          <w:bCs/>
          <w:color w:val="2E6E9E"/>
          <w:sz w:val="32"/>
          <w:szCs w:val="32"/>
        </w:rPr>
        <w:t xml:space="preserve">CONDITION-MONITORING DATASET — ENGINEERING ANALYSIS REPORT</w:t>
      </w:r>
    </w:p>
    <w:p>
      <w:pPr>
        <w:spacing w:after="60"/>
        <w:jc w:val="center"/>
      </w:pPr>
      <w:r>
        <w:rPr>
          <w:color w:val="666666"/>
          <w:sz w:val="20"/>
          <w:szCs w:val="20"/>
        </w:rPr>
        <w:t xml:space="preserve">Dataset: transformer_health_dataset_500_records.csv  |  500 records, 15 fields</w:t>
      </w:r>
    </w:p>
    <w:p>
      <w:pPr>
        <w:spacing w:after="500"/>
        <w:jc w:val="center"/>
      </w:pPr>
      <w:r>
        <w:rPr>
          <w:i/>
          <w:iCs/>
          <w:color w:val="666666"/>
          <w:sz w:val="20"/>
          <w:szCs w:val="20"/>
        </w:rPr>
        <w:t xml:space="preserve">Prepared as a Senior Electrical Design Engineering review</w:t>
      </w:r>
    </w:p>
    <w:p>
      <w:pPr>
        <w:pStyle w:val="Heading1"/>
        <w:pBdr>
          <w:bottom w:val="single" w:color="1F3864" w:sz="8" w:space="4"/>
        </w:pBdr>
        <w:spacing w:after="200" w:before="400"/>
      </w:pPr>
      <w:r>
        <w:rPr>
          <w:b/>
          <w:bCs/>
          <w:color w:val="1F3864"/>
          <w:sz w:val="30"/>
          <w:szCs w:val="30"/>
        </w:rPr>
        <w:t xml:space="preserve">1. Executive Summary</w:t>
      </w:r>
    </w:p>
    <w:p>
      <w:pPr>
        <w:spacing w:after="160" w:line="276"/>
      </w:pPr>
      <w:r>
        <w:rPr>
          <w:sz w:val="21"/>
          <w:szCs w:val="21"/>
        </w:rPr>
        <w:t xml:space="preserve">This report analyzes a 500-record condition-monitoring dataset for distribution-class power transformers (11 kV class). Each record represents one transformer's instantaneous electrical, thermal, and mechanical sensor readings, together with an assigned health label: Healthy, Warning, or Critical.</w:t>
      </w:r>
    </w:p>
    <w:p>
      <w:pPr>
        <w:pStyle w:val="Heading2"/>
        <w:spacing w:after="140" w:before="280"/>
      </w:pPr>
      <w:r>
        <w:rPr>
          <w:b/>
          <w:bCs/>
          <w:color w:val="2E6E9E"/>
          <w:sz w:val="24"/>
          <w:szCs w:val="24"/>
        </w:rPr>
        <w:t xml:space="preserve">What this dataset represents</w:t>
      </w:r>
    </w:p>
    <w:p>
      <w:pPr>
        <w:spacing w:after="160" w:line="276"/>
      </w:pPr>
      <w:r>
        <w:rPr>
          <w:sz w:val="21"/>
          <w:szCs w:val="21"/>
        </w:rPr>
        <w:t xml:space="preserve">It is not a component datasheet — there is no single physical device being specified. It is field/SCADA-style telemetry of the kind collected by an online transformer condition-monitoring system (temperature RTDs, dissolved-gas-in-oil sensors, vibration sensors, and partial-discharge sensors feeding a health-scoring or asset-management platform).</w:t>
      </w:r>
    </w:p>
    <w:p>
      <w:pPr>
        <w:pStyle w:val="Heading2"/>
        <w:spacing w:after="140" w:before="280"/>
      </w:pPr>
      <w:r>
        <w:rPr>
          <w:b/>
          <w:bCs/>
          <w:color w:val="2E6E9E"/>
          <w:sz w:val="24"/>
          <w:szCs w:val="24"/>
        </w:rPr>
        <w:t xml:space="preserve">Primary purpose</w:t>
      </w:r>
    </w:p>
    <w:p>
      <w:pPr>
        <w:spacing w:after="160" w:line="276"/>
      </w:pPr>
      <w:r>
        <w:rPr>
          <w:sz w:val="21"/>
          <w:szCs w:val="21"/>
        </w:rPr>
        <w:t xml:space="preserve">To support predictive maintenance: identifying which transformers are trending toward failure before they trip or fail catastrophically, and prioritizing maintenance/replacement budget accordingly.</w:t>
      </w:r>
    </w:p>
    <w:p>
      <w:pPr>
        <w:pStyle w:val="Heading2"/>
        <w:spacing w:after="140" w:before="280"/>
      </w:pPr>
      <w:r>
        <w:rPr>
          <w:b/>
          <w:bCs/>
          <w:color w:val="2E6E9E"/>
          <w:sz w:val="24"/>
          <w:szCs w:val="24"/>
        </w:rPr>
        <w:t xml:space="preserve">Industries that use this kind of data</w:t>
      </w:r>
    </w:p>
    <w:p>
      <w:pPr>
        <w:pStyle w:val="ListParagraph"/>
        <w:numPr>
          <w:ilvl w:val="0"/>
          <w:numId w:val="2"/>
        </w:numPr>
        <w:spacing w:after="80"/>
      </w:pPr>
      <w:r>
        <w:rPr>
          <w:sz w:val="21"/>
          <w:szCs w:val="21"/>
        </w:rPr>
        <w:t xml:space="preserve">Electric utilities (distribution and sub-transmission substations)</w:t>
      </w:r>
    </w:p>
    <w:p>
      <w:pPr>
        <w:pStyle w:val="ListParagraph"/>
        <w:numPr>
          <w:ilvl w:val="0"/>
          <w:numId w:val="2"/>
        </w:numPr>
        <w:spacing w:after="80"/>
      </w:pPr>
      <w:r>
        <w:rPr>
          <w:sz w:val="21"/>
          <w:szCs w:val="21"/>
        </w:rPr>
        <w:t xml:space="preserve">Industrial plants with dedicated step-down transformers (steel, cement, chemical, data centers)</w:t>
      </w:r>
    </w:p>
    <w:p>
      <w:pPr>
        <w:pStyle w:val="ListParagraph"/>
        <w:numPr>
          <w:ilvl w:val="0"/>
          <w:numId w:val="2"/>
        </w:numPr>
        <w:spacing w:after="80"/>
      </w:pPr>
      <w:r>
        <w:rPr>
          <w:sz w:val="21"/>
          <w:szCs w:val="21"/>
        </w:rPr>
        <w:t xml:space="preserve">Renewable energy sites (wind/solar step-up transformers)</w:t>
      </w:r>
    </w:p>
    <w:p>
      <w:pPr>
        <w:pStyle w:val="ListParagraph"/>
        <w:numPr>
          <w:ilvl w:val="0"/>
          <w:numId w:val="2"/>
        </w:numPr>
        <w:spacing w:after="80"/>
      </w:pPr>
      <w:r>
        <w:rPr>
          <w:sz w:val="21"/>
          <w:szCs w:val="21"/>
        </w:rPr>
        <w:t xml:space="preserve">Railways and metro traction power substations</w:t>
      </w:r>
    </w:p>
    <w:p>
      <w:pPr>
        <w:pStyle w:val="Heading2"/>
        <w:spacing w:after="140" w:before="280"/>
      </w:pPr>
      <w:r>
        <w:rPr>
          <w:b/>
          <w:bCs/>
          <w:color w:val="2E6E9E"/>
          <w:sz w:val="24"/>
          <w:szCs w:val="24"/>
        </w:rPr>
        <w:t xml:space="preserve">Key advantages of this style of monitoring</w:t>
      </w:r>
    </w:p>
    <w:p>
      <w:pPr>
        <w:pStyle w:val="ListParagraph"/>
        <w:numPr>
          <w:ilvl w:val="0"/>
          <w:numId w:val="2"/>
        </w:numPr>
        <w:spacing w:after="80"/>
      </w:pPr>
      <w:r>
        <w:rPr>
          <w:sz w:val="21"/>
          <w:szCs w:val="21"/>
        </w:rPr>
        <w:t xml:space="preserve">Early detection of insulation degradation via dissolved-gas trends</w:t>
      </w:r>
    </w:p>
    <w:p>
      <w:pPr>
        <w:pStyle w:val="ListParagraph"/>
        <w:numPr>
          <w:ilvl w:val="0"/>
          <w:numId w:val="2"/>
        </w:numPr>
        <w:spacing w:after="80"/>
      </w:pPr>
      <w:r>
        <w:rPr>
          <w:sz w:val="21"/>
          <w:szCs w:val="21"/>
        </w:rPr>
        <w:t xml:space="preserve">Avoids unplanned outages by flagging 'Warning' units before they become 'Critical'</w:t>
      </w:r>
    </w:p>
    <w:p>
      <w:pPr>
        <w:pStyle w:val="ListParagraph"/>
        <w:numPr>
          <w:ilvl w:val="0"/>
          <w:numId w:val="2"/>
        </w:numPr>
        <w:spacing w:after="80"/>
      </w:pPr>
      <w:r>
        <w:rPr>
          <w:sz w:val="21"/>
          <w:szCs w:val="21"/>
        </w:rPr>
        <w:t xml:space="preserve">Enables condition-based maintenance instead of fixed time-based maintenance, reducing cost</w:t>
      </w:r>
    </w:p>
    <w:p>
      <w:pPr>
        <w:pStyle w:val="Heading1"/>
        <w:pBdr>
          <w:bottom w:val="single" w:color="1F3864" w:sz="8" w:space="4"/>
        </w:pBdr>
        <w:spacing w:after="200" w:before="400"/>
      </w:pPr>
      <w:r>
        <w:rPr>
          <w:b/>
          <w:bCs/>
          <w:color w:val="1F3864"/>
          <w:sz w:val="30"/>
          <w:szCs w:val="30"/>
        </w:rPr>
        <w:t xml:space="preserve">2. Dataset Overview</w:t>
      </w:r>
    </w:p>
    <w:p>
      <w:pPr>
        <w:pStyle w:val="Heading2"/>
        <w:spacing w:after="140" w:before="280"/>
      </w:pPr>
      <w:r>
        <w:rPr>
          <w:b/>
          <w:bCs/>
          <w:color w:val="2E6E9E"/>
          <w:sz w:val="24"/>
          <w:szCs w:val="24"/>
        </w:rPr>
        <w:t xml:space="preserve">Structure</w:t>
      </w:r>
    </w:p>
    <w:p>
      <w:pPr>
        <w:spacing w:after="160" w:line="276"/>
      </w:pPr>
      <w:r>
        <w:rPr>
          <w:sz w:val="21"/>
          <w:szCs w:val="21"/>
        </w:rPr>
        <w:t xml:space="preserve">500 rows, one per transformer (IDs T0001–T0500). 15 columns: 1 identifier, 11 continuous sensor/operational parameters, 1 categorical cooling-mode field, and 1 categorical target label (Health_Status).</w:t>
      </w:r>
    </w:p>
    <w:p>
      <w:pPr>
        <w:pStyle w:val="Heading2"/>
        <w:spacing w:after="140" w:before="280"/>
      </w:pPr>
      <w:r>
        <w:rPr>
          <w:b/>
          <w:bCs/>
          <w:color w:val="2E6E9E"/>
          <w:sz w:val="24"/>
          <w:szCs w:val="24"/>
        </w:rPr>
        <w:t xml:space="preserve">How the health label likely relates to the sensors</w:t>
      </w:r>
    </w:p>
    <w:p>
      <w:pPr>
        <w:spacing w:after="160" w:line="276"/>
      </w:pPr>
      <w:r>
        <w:rPr>
          <w:sz w:val="21"/>
          <w:szCs w:val="21"/>
        </w:rPr>
        <w:t xml:space="preserve">The labeling follows the classic transformer condition-monitoring logic used in the industry: thermal loading (oil/winding temperature, current, load %), insulation condition (dissolved gas, moisture in oil), mechanical condition (vibration), and dielectric condition (partial discharge) are combined into an overall health tier. This mirrors how real Dissolved Gas Analysis (DGA) and thermal-model based monitoring systems classify assets.</w:t>
      </w:r>
    </w:p>
    <w:p>
      <w:pPr>
        <w:pStyle w:val="Heading2"/>
        <w:spacing w:after="140" w:before="280"/>
      </w:pPr>
      <w:r>
        <w:rPr>
          <w:b/>
          <w:bCs/>
          <w:color w:val="2E6E9E"/>
          <w:sz w:val="24"/>
          <w:szCs w:val="24"/>
        </w:rPr>
        <w:t xml:space="preserve">Fields in the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88"/>
        <w:gridCol w:w="2016"/>
        <w:gridCol w:w="5376"/>
      </w:tblGrid>
      <w:tr>
        <w:trPr>
          <w:tblHeader/>
        </w:trPr>
        <w:tc>
          <w:tcPr>
            <w:tcW w:type="dxa" w:w="2688"/>
            <w:shd w:fill="1F3864" w:val="clear"/>
            <w:tcMar>
              <w:top w:type="dxa" w:w="80"/>
              <w:left w:type="dxa" w:w="120"/>
              <w:bottom w:type="dxa" w:w="80"/>
              <w:right w:type="dxa" w:w="120"/>
            </w:tcMar>
          </w:tcPr>
          <w:p>
            <w:pPr>
              <w:jc w:val="left"/>
            </w:pPr>
            <w:r>
              <w:rPr>
                <w:b/>
                <w:bCs/>
                <w:color w:val="FFFFFF"/>
                <w:sz w:val="19"/>
                <w:szCs w:val="19"/>
              </w:rPr>
              <w:t xml:space="preserve">Field</w:t>
            </w:r>
          </w:p>
        </w:tc>
        <w:tc>
          <w:tcPr>
            <w:tcW w:type="dxa" w:w="2016"/>
            <w:shd w:fill="1F3864" w:val="clear"/>
            <w:tcMar>
              <w:top w:type="dxa" w:w="80"/>
              <w:left w:type="dxa" w:w="120"/>
              <w:bottom w:type="dxa" w:w="80"/>
              <w:right w:type="dxa" w:w="120"/>
            </w:tcMar>
          </w:tcPr>
          <w:p>
            <w:pPr>
              <w:jc w:val="left"/>
            </w:pPr>
            <w:r>
              <w:rPr>
                <w:b/>
                <w:bCs/>
                <w:color w:val="FFFFFF"/>
                <w:sz w:val="19"/>
                <w:szCs w:val="19"/>
              </w:rPr>
              <w:t xml:space="preserve">Type</w:t>
            </w:r>
          </w:p>
        </w:tc>
        <w:tc>
          <w:tcPr>
            <w:tcW w:type="dxa" w:w="5376"/>
            <w:shd w:fill="1F3864" w:val="clear"/>
            <w:tcMar>
              <w:top w:type="dxa" w:w="80"/>
              <w:left w:type="dxa" w:w="120"/>
              <w:bottom w:type="dxa" w:w="80"/>
              <w:right w:type="dxa" w:w="120"/>
            </w:tcMar>
          </w:tcPr>
          <w:p>
            <w:pPr>
              <w:jc w:val="left"/>
            </w:pPr>
            <w:r>
              <w:rPr>
                <w:b/>
                <w:bCs/>
                <w:color w:val="FFFFFF"/>
                <w:sz w:val="19"/>
                <w:szCs w:val="19"/>
              </w:rPr>
              <w:t xml:space="preserve">Engineering Meaning</w:t>
            </w:r>
          </w:p>
        </w:tc>
      </w:tr>
      <w:tr>
        <w:tc>
          <w:tcPr>
            <w:tcW w:type="dxa" w:w="2688"/>
            <w:shd w:fill="FFFFFF" w:val="clear"/>
            <w:tcMar>
              <w:top w:type="dxa" w:w="80"/>
              <w:left w:type="dxa" w:w="120"/>
              <w:bottom w:type="dxa" w:w="80"/>
              <w:right w:type="dxa" w:w="120"/>
            </w:tcMar>
          </w:tcPr>
          <w:p>
            <w:pPr>
              <w:jc w:val="left"/>
            </w:pPr>
            <w:r>
              <w:rPr>
                <w:b w:val="false"/>
                <w:bCs w:val="false"/>
                <w:color w:val="1A1A1A"/>
                <w:sz w:val="19"/>
                <w:szCs w:val="19"/>
              </w:rPr>
              <w:t xml:space="preserve">Transformer_ID</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ID</w:t>
            </w:r>
          </w:p>
        </w:tc>
        <w:tc>
          <w:tcPr>
            <w:tcW w:type="dxa" w:w="5376"/>
            <w:shd w:fill="FFFFFF" w:val="clear"/>
            <w:tcMar>
              <w:top w:type="dxa" w:w="80"/>
              <w:left w:type="dxa" w:w="120"/>
              <w:bottom w:type="dxa" w:w="80"/>
              <w:right w:type="dxa" w:w="120"/>
            </w:tcMar>
          </w:tcPr>
          <w:p>
            <w:pPr>
              <w:jc w:val="left"/>
            </w:pPr>
            <w:r>
              <w:rPr>
                <w:b w:val="false"/>
                <w:bCs w:val="false"/>
                <w:color w:val="1A1A1A"/>
                <w:sz w:val="19"/>
                <w:szCs w:val="19"/>
              </w:rPr>
              <w:t xml:space="preserve">Unique asset identifier</w:t>
            </w:r>
          </w:p>
        </w:tc>
      </w:tr>
      <w:tr>
        <w:tc>
          <w:tcPr>
            <w:tcW w:type="dxa" w:w="2688"/>
            <w:shd w:fill="EEF3F8" w:val="clear"/>
            <w:tcMar>
              <w:top w:type="dxa" w:w="80"/>
              <w:left w:type="dxa" w:w="120"/>
              <w:bottom w:type="dxa" w:w="80"/>
              <w:right w:type="dxa" w:w="120"/>
            </w:tcMar>
          </w:tcPr>
          <w:p>
            <w:pPr>
              <w:jc w:val="left"/>
            </w:pPr>
            <w:r>
              <w:rPr>
                <w:b w:val="false"/>
                <w:bCs w:val="false"/>
                <w:color w:val="1A1A1A"/>
                <w:sz w:val="19"/>
                <w:szCs w:val="19"/>
              </w:rPr>
              <w:t xml:space="preserve">Age_Years</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EEF3F8" w:val="clear"/>
            <w:tcMar>
              <w:top w:type="dxa" w:w="80"/>
              <w:left w:type="dxa" w:w="120"/>
              <w:bottom w:type="dxa" w:w="80"/>
              <w:right w:type="dxa" w:w="120"/>
            </w:tcMar>
          </w:tcPr>
          <w:p>
            <w:pPr>
              <w:jc w:val="left"/>
            </w:pPr>
            <w:r>
              <w:rPr>
                <w:b w:val="false"/>
                <w:bCs w:val="false"/>
                <w:color w:val="1A1A1A"/>
                <w:sz w:val="19"/>
                <w:szCs w:val="19"/>
              </w:rPr>
              <w:t xml:space="preserve">Years in service — proxy for cumulative insulation aging</w:t>
            </w:r>
          </w:p>
        </w:tc>
      </w:tr>
      <w:tr>
        <w:tc>
          <w:tcPr>
            <w:tcW w:type="dxa" w:w="2688"/>
            <w:shd w:fill="FFFFFF" w:val="clear"/>
            <w:tcMar>
              <w:top w:type="dxa" w:w="80"/>
              <w:left w:type="dxa" w:w="120"/>
              <w:bottom w:type="dxa" w:w="80"/>
              <w:right w:type="dxa" w:w="120"/>
            </w:tcMar>
          </w:tcPr>
          <w:p>
            <w:pPr>
              <w:jc w:val="left"/>
            </w:pPr>
            <w:r>
              <w:rPr>
                <w:b w:val="false"/>
                <w:bCs w:val="false"/>
                <w:color w:val="1A1A1A"/>
                <w:sz w:val="19"/>
                <w:szCs w:val="19"/>
              </w:rPr>
              <w:t xml:space="preserve">Oil_Temperature_C</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FFFFFF" w:val="clear"/>
            <w:tcMar>
              <w:top w:type="dxa" w:w="80"/>
              <w:left w:type="dxa" w:w="120"/>
              <w:bottom w:type="dxa" w:w="80"/>
              <w:right w:type="dxa" w:w="120"/>
            </w:tcMar>
          </w:tcPr>
          <w:p>
            <w:pPr>
              <w:jc w:val="left"/>
            </w:pPr>
            <w:r>
              <w:rPr>
                <w:b w:val="false"/>
                <w:bCs w:val="false"/>
                <w:color w:val="1A1A1A"/>
                <w:sz w:val="19"/>
                <w:szCs w:val="19"/>
              </w:rPr>
              <w:t xml:space="preserve">Top-oil temperature — thermal loading indicator</w:t>
            </w:r>
          </w:p>
        </w:tc>
      </w:tr>
      <w:tr>
        <w:tc>
          <w:tcPr>
            <w:tcW w:type="dxa" w:w="2688"/>
            <w:shd w:fill="EEF3F8" w:val="clear"/>
            <w:tcMar>
              <w:top w:type="dxa" w:w="80"/>
              <w:left w:type="dxa" w:w="120"/>
              <w:bottom w:type="dxa" w:w="80"/>
              <w:right w:type="dxa" w:w="120"/>
            </w:tcMar>
          </w:tcPr>
          <w:p>
            <w:pPr>
              <w:jc w:val="left"/>
            </w:pPr>
            <w:r>
              <w:rPr>
                <w:b w:val="false"/>
                <w:bCs w:val="false"/>
                <w:color w:val="1A1A1A"/>
                <w:sz w:val="19"/>
                <w:szCs w:val="19"/>
              </w:rPr>
              <w:t xml:space="preserve">Winding_Temperature_C</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EEF3F8" w:val="clear"/>
            <w:tcMar>
              <w:top w:type="dxa" w:w="80"/>
              <w:left w:type="dxa" w:w="120"/>
              <w:bottom w:type="dxa" w:w="80"/>
              <w:right w:type="dxa" w:w="120"/>
            </w:tcMar>
          </w:tcPr>
          <w:p>
            <w:pPr>
              <w:jc w:val="left"/>
            </w:pPr>
            <w:r>
              <w:rPr>
                <w:b w:val="false"/>
                <w:bCs w:val="false"/>
                <w:color w:val="1A1A1A"/>
                <w:sz w:val="19"/>
                <w:szCs w:val="19"/>
              </w:rPr>
              <w:t xml:space="preserve">Hot-spot winding temperature — dominant life-consumption driver</w:t>
            </w:r>
          </w:p>
        </w:tc>
      </w:tr>
      <w:tr>
        <w:tc>
          <w:tcPr>
            <w:tcW w:type="dxa" w:w="2688"/>
            <w:shd w:fill="FFFFFF" w:val="clear"/>
            <w:tcMar>
              <w:top w:type="dxa" w:w="80"/>
              <w:left w:type="dxa" w:w="120"/>
              <w:bottom w:type="dxa" w:w="80"/>
              <w:right w:type="dxa" w:w="120"/>
            </w:tcMar>
          </w:tcPr>
          <w:p>
            <w:pPr>
              <w:jc w:val="left"/>
            </w:pPr>
            <w:r>
              <w:rPr>
                <w:b w:val="false"/>
                <w:bCs w:val="false"/>
                <w:color w:val="1A1A1A"/>
                <w:sz w:val="19"/>
                <w:szCs w:val="19"/>
              </w:rPr>
              <w:t xml:space="preserve">Ambient_Temperature_C</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FFFFFF" w:val="clear"/>
            <w:tcMar>
              <w:top w:type="dxa" w:w="80"/>
              <w:left w:type="dxa" w:w="120"/>
              <w:bottom w:type="dxa" w:w="80"/>
              <w:right w:type="dxa" w:w="120"/>
            </w:tcMar>
          </w:tcPr>
          <w:p>
            <w:pPr>
              <w:jc w:val="left"/>
            </w:pPr>
            <w:r>
              <w:rPr>
                <w:b w:val="false"/>
                <w:bCs w:val="false"/>
                <w:color w:val="1A1A1A"/>
                <w:sz w:val="19"/>
                <w:szCs w:val="19"/>
              </w:rPr>
              <w:t xml:space="preserve">Site ambient temperature — baseline for temperature rise</w:t>
            </w:r>
          </w:p>
        </w:tc>
      </w:tr>
      <w:tr>
        <w:tc>
          <w:tcPr>
            <w:tcW w:type="dxa" w:w="2688"/>
            <w:shd w:fill="EEF3F8" w:val="clear"/>
            <w:tcMar>
              <w:top w:type="dxa" w:w="80"/>
              <w:left w:type="dxa" w:w="120"/>
              <w:bottom w:type="dxa" w:w="80"/>
              <w:right w:type="dxa" w:w="120"/>
            </w:tcMar>
          </w:tcPr>
          <w:p>
            <w:pPr>
              <w:jc w:val="left"/>
            </w:pPr>
            <w:r>
              <w:rPr>
                <w:b w:val="false"/>
                <w:bCs w:val="false"/>
                <w:color w:val="1A1A1A"/>
                <w:sz w:val="19"/>
                <w:szCs w:val="19"/>
              </w:rPr>
              <w:t xml:space="preserve">Voltage_kV</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EEF3F8" w:val="clear"/>
            <w:tcMar>
              <w:top w:type="dxa" w:w="80"/>
              <w:left w:type="dxa" w:w="120"/>
              <w:bottom w:type="dxa" w:w="80"/>
              <w:right w:type="dxa" w:w="120"/>
            </w:tcMar>
          </w:tcPr>
          <w:p>
            <w:pPr>
              <w:jc w:val="left"/>
            </w:pPr>
            <w:r>
              <w:rPr>
                <w:b w:val="false"/>
                <w:bCs w:val="false"/>
                <w:color w:val="1A1A1A"/>
                <w:sz w:val="19"/>
                <w:szCs w:val="19"/>
              </w:rPr>
              <w:t xml:space="preserve">Rated/operating voltage class (constant at 11 kV in this set)</w:t>
            </w:r>
          </w:p>
        </w:tc>
      </w:tr>
      <w:tr>
        <w:tc>
          <w:tcPr>
            <w:tcW w:type="dxa" w:w="2688"/>
            <w:shd w:fill="FFFFFF" w:val="clear"/>
            <w:tcMar>
              <w:top w:type="dxa" w:w="80"/>
              <w:left w:type="dxa" w:w="120"/>
              <w:bottom w:type="dxa" w:w="80"/>
              <w:right w:type="dxa" w:w="120"/>
            </w:tcMar>
          </w:tcPr>
          <w:p>
            <w:pPr>
              <w:jc w:val="left"/>
            </w:pPr>
            <w:r>
              <w:rPr>
                <w:b w:val="false"/>
                <w:bCs w:val="false"/>
                <w:color w:val="1A1A1A"/>
                <w:sz w:val="19"/>
                <w:szCs w:val="19"/>
              </w:rPr>
              <w:t xml:space="preserve">Current_A</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FFFFFF" w:val="clear"/>
            <w:tcMar>
              <w:top w:type="dxa" w:w="80"/>
              <w:left w:type="dxa" w:w="120"/>
              <w:bottom w:type="dxa" w:w="80"/>
              <w:right w:type="dxa" w:w="120"/>
            </w:tcMar>
          </w:tcPr>
          <w:p>
            <w:pPr>
              <w:jc w:val="left"/>
            </w:pPr>
            <w:r>
              <w:rPr>
                <w:b w:val="false"/>
                <w:bCs w:val="false"/>
                <w:color w:val="1A1A1A"/>
                <w:sz w:val="19"/>
                <w:szCs w:val="19"/>
              </w:rPr>
              <w:t xml:space="preserve">Load current through the winding</w:t>
            </w:r>
          </w:p>
        </w:tc>
      </w:tr>
      <w:tr>
        <w:tc>
          <w:tcPr>
            <w:tcW w:type="dxa" w:w="2688"/>
            <w:shd w:fill="EEF3F8" w:val="clear"/>
            <w:tcMar>
              <w:top w:type="dxa" w:w="80"/>
              <w:left w:type="dxa" w:w="120"/>
              <w:bottom w:type="dxa" w:w="80"/>
              <w:right w:type="dxa" w:w="120"/>
            </w:tcMar>
          </w:tcPr>
          <w:p>
            <w:pPr>
              <w:jc w:val="left"/>
            </w:pPr>
            <w:r>
              <w:rPr>
                <w:b w:val="false"/>
                <w:bCs w:val="false"/>
                <w:color w:val="1A1A1A"/>
                <w:sz w:val="19"/>
                <w:szCs w:val="19"/>
              </w:rPr>
              <w:t xml:space="preserve">Load_Percentage</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EEF3F8" w:val="clear"/>
            <w:tcMar>
              <w:top w:type="dxa" w:w="80"/>
              <w:left w:type="dxa" w:w="120"/>
              <w:bottom w:type="dxa" w:w="80"/>
              <w:right w:type="dxa" w:w="120"/>
            </w:tcMar>
          </w:tcPr>
          <w:p>
            <w:pPr>
              <w:jc w:val="left"/>
            </w:pPr>
            <w:r>
              <w:rPr>
                <w:b w:val="false"/>
                <w:bCs w:val="false"/>
                <w:color w:val="1A1A1A"/>
                <w:sz w:val="19"/>
                <w:szCs w:val="19"/>
              </w:rPr>
              <w:t xml:space="preserve">Loading as % of nameplate rating</w:t>
            </w:r>
          </w:p>
        </w:tc>
      </w:tr>
      <w:tr>
        <w:tc>
          <w:tcPr>
            <w:tcW w:type="dxa" w:w="2688"/>
            <w:shd w:fill="FFFFFF" w:val="clear"/>
            <w:tcMar>
              <w:top w:type="dxa" w:w="80"/>
              <w:left w:type="dxa" w:w="120"/>
              <w:bottom w:type="dxa" w:w="80"/>
              <w:right w:type="dxa" w:w="120"/>
            </w:tcMar>
          </w:tcPr>
          <w:p>
            <w:pPr>
              <w:jc w:val="left"/>
            </w:pPr>
            <w:r>
              <w:rPr>
                <w:b w:val="false"/>
                <w:bCs w:val="false"/>
                <w:color w:val="1A1A1A"/>
                <w:sz w:val="19"/>
                <w:szCs w:val="19"/>
              </w:rPr>
              <w:t xml:space="preserve">Oil_Level_Percentage</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FFFFFF" w:val="clear"/>
            <w:tcMar>
              <w:top w:type="dxa" w:w="80"/>
              <w:left w:type="dxa" w:w="120"/>
              <w:bottom w:type="dxa" w:w="80"/>
              <w:right w:type="dxa" w:w="120"/>
            </w:tcMar>
          </w:tcPr>
          <w:p>
            <w:pPr>
              <w:jc w:val="left"/>
            </w:pPr>
            <w:r>
              <w:rPr>
                <w:b w:val="false"/>
                <w:bCs w:val="false"/>
                <w:color w:val="1A1A1A"/>
                <w:sz w:val="19"/>
                <w:szCs w:val="19"/>
              </w:rPr>
              <w:t xml:space="preserve">Oil tank fill level — leak/seal integrity indicator</w:t>
            </w:r>
          </w:p>
        </w:tc>
      </w:tr>
      <w:tr>
        <w:tc>
          <w:tcPr>
            <w:tcW w:type="dxa" w:w="2688"/>
            <w:shd w:fill="EEF3F8" w:val="clear"/>
            <w:tcMar>
              <w:top w:type="dxa" w:w="80"/>
              <w:left w:type="dxa" w:w="120"/>
              <w:bottom w:type="dxa" w:w="80"/>
              <w:right w:type="dxa" w:w="120"/>
            </w:tcMar>
          </w:tcPr>
          <w:p>
            <w:pPr>
              <w:jc w:val="left"/>
            </w:pPr>
            <w:r>
              <w:rPr>
                <w:b w:val="false"/>
                <w:bCs w:val="false"/>
                <w:color w:val="1A1A1A"/>
                <w:sz w:val="19"/>
                <w:szCs w:val="19"/>
              </w:rPr>
              <w:t xml:space="preserve">Moisture_ppm</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EEF3F8" w:val="clear"/>
            <w:tcMar>
              <w:top w:type="dxa" w:w="80"/>
              <w:left w:type="dxa" w:w="120"/>
              <w:bottom w:type="dxa" w:w="80"/>
              <w:right w:type="dxa" w:w="120"/>
            </w:tcMar>
          </w:tcPr>
          <w:p>
            <w:pPr>
              <w:jc w:val="left"/>
            </w:pPr>
            <w:r>
              <w:rPr>
                <w:b w:val="false"/>
                <w:bCs w:val="false"/>
                <w:color w:val="1A1A1A"/>
                <w:sz w:val="19"/>
                <w:szCs w:val="19"/>
              </w:rPr>
              <w:t xml:space="preserve">Moisture content in oil — insulation degradation indicator</w:t>
            </w:r>
          </w:p>
        </w:tc>
      </w:tr>
      <w:tr>
        <w:tc>
          <w:tcPr>
            <w:tcW w:type="dxa" w:w="2688"/>
            <w:shd w:fill="FFFFFF" w:val="clear"/>
            <w:tcMar>
              <w:top w:type="dxa" w:w="80"/>
              <w:left w:type="dxa" w:w="120"/>
              <w:bottom w:type="dxa" w:w="80"/>
              <w:right w:type="dxa" w:w="120"/>
            </w:tcMar>
          </w:tcPr>
          <w:p>
            <w:pPr>
              <w:jc w:val="left"/>
            </w:pPr>
            <w:r>
              <w:rPr>
                <w:b w:val="false"/>
                <w:bCs w:val="false"/>
                <w:color w:val="1A1A1A"/>
                <w:sz w:val="19"/>
                <w:szCs w:val="19"/>
              </w:rPr>
              <w:t xml:space="preserve">Dissolved_Gas_ppm</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FFFFFF" w:val="clear"/>
            <w:tcMar>
              <w:top w:type="dxa" w:w="80"/>
              <w:left w:type="dxa" w:w="120"/>
              <w:bottom w:type="dxa" w:w="80"/>
              <w:right w:type="dxa" w:w="120"/>
            </w:tcMar>
          </w:tcPr>
          <w:p>
            <w:pPr>
              <w:jc w:val="left"/>
            </w:pPr>
            <w:r>
              <w:rPr>
                <w:b w:val="false"/>
                <w:bCs w:val="false"/>
                <w:color w:val="1A1A1A"/>
                <w:sz w:val="19"/>
                <w:szCs w:val="19"/>
              </w:rPr>
              <w:t xml:space="preserve">Total combustible/dissolved gas — internal fault signature (DGA)</w:t>
            </w:r>
          </w:p>
        </w:tc>
      </w:tr>
      <w:tr>
        <w:tc>
          <w:tcPr>
            <w:tcW w:type="dxa" w:w="2688"/>
            <w:shd w:fill="EEF3F8" w:val="clear"/>
            <w:tcMar>
              <w:top w:type="dxa" w:w="80"/>
              <w:left w:type="dxa" w:w="120"/>
              <w:bottom w:type="dxa" w:w="80"/>
              <w:right w:type="dxa" w:w="120"/>
            </w:tcMar>
          </w:tcPr>
          <w:p>
            <w:pPr>
              <w:jc w:val="left"/>
            </w:pPr>
            <w:r>
              <w:rPr>
                <w:b w:val="false"/>
                <w:bCs w:val="false"/>
                <w:color w:val="1A1A1A"/>
                <w:sz w:val="19"/>
                <w:szCs w:val="19"/>
              </w:rPr>
              <w:t xml:space="preserve">Vibration_mm_s</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EEF3F8" w:val="clear"/>
            <w:tcMar>
              <w:top w:type="dxa" w:w="80"/>
              <w:left w:type="dxa" w:w="120"/>
              <w:bottom w:type="dxa" w:w="80"/>
              <w:right w:type="dxa" w:w="120"/>
            </w:tcMar>
          </w:tcPr>
          <w:p>
            <w:pPr>
              <w:jc w:val="left"/>
            </w:pPr>
            <w:r>
              <w:rPr>
                <w:b w:val="false"/>
                <w:bCs w:val="false"/>
                <w:color w:val="1A1A1A"/>
                <w:sz w:val="19"/>
                <w:szCs w:val="19"/>
              </w:rPr>
              <w:t xml:space="preserve">Tank/core vibration velocity — mechanical looseness/core issues</w:t>
            </w:r>
          </w:p>
        </w:tc>
      </w:tr>
      <w:tr>
        <w:tc>
          <w:tcPr>
            <w:tcW w:type="dxa" w:w="2688"/>
            <w:shd w:fill="FFFFFF" w:val="clear"/>
            <w:tcMar>
              <w:top w:type="dxa" w:w="80"/>
              <w:left w:type="dxa" w:w="120"/>
              <w:bottom w:type="dxa" w:w="80"/>
              <w:right w:type="dxa" w:w="120"/>
            </w:tcMar>
          </w:tcPr>
          <w:p>
            <w:pPr>
              <w:jc w:val="left"/>
            </w:pPr>
            <w:r>
              <w:rPr>
                <w:b w:val="false"/>
                <w:bCs w:val="false"/>
                <w:color w:val="1A1A1A"/>
                <w:sz w:val="19"/>
                <w:szCs w:val="19"/>
              </w:rPr>
              <w:t xml:space="preserve">Partial_Discharge_pC</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Numeric</w:t>
            </w:r>
          </w:p>
        </w:tc>
        <w:tc>
          <w:tcPr>
            <w:tcW w:type="dxa" w:w="5376"/>
            <w:shd w:fill="FFFFFF" w:val="clear"/>
            <w:tcMar>
              <w:top w:type="dxa" w:w="80"/>
              <w:left w:type="dxa" w:w="120"/>
              <w:bottom w:type="dxa" w:w="80"/>
              <w:right w:type="dxa" w:w="120"/>
            </w:tcMar>
          </w:tcPr>
          <w:p>
            <w:pPr>
              <w:jc w:val="left"/>
            </w:pPr>
            <w:r>
              <w:rPr>
                <w:b w:val="false"/>
                <w:bCs w:val="false"/>
                <w:color w:val="1A1A1A"/>
                <w:sz w:val="19"/>
                <w:szCs w:val="19"/>
              </w:rPr>
              <w:t xml:space="preserve">Partial discharge magnitude — insulation void/dielectric stress</w:t>
            </w:r>
          </w:p>
        </w:tc>
      </w:tr>
      <w:tr>
        <w:tc>
          <w:tcPr>
            <w:tcW w:type="dxa" w:w="2688"/>
            <w:shd w:fill="EEF3F8" w:val="clear"/>
            <w:tcMar>
              <w:top w:type="dxa" w:w="80"/>
              <w:left w:type="dxa" w:w="120"/>
              <w:bottom w:type="dxa" w:w="80"/>
              <w:right w:type="dxa" w:w="120"/>
            </w:tcMar>
          </w:tcPr>
          <w:p>
            <w:pPr>
              <w:jc w:val="left"/>
            </w:pPr>
            <w:r>
              <w:rPr>
                <w:b w:val="false"/>
                <w:bCs w:val="false"/>
                <w:color w:val="1A1A1A"/>
                <w:sz w:val="19"/>
                <w:szCs w:val="19"/>
              </w:rPr>
              <w:t xml:space="preserve">Cooling_Status</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Categorical</w:t>
            </w:r>
          </w:p>
        </w:tc>
        <w:tc>
          <w:tcPr>
            <w:tcW w:type="dxa" w:w="5376"/>
            <w:shd w:fill="EEF3F8" w:val="clear"/>
            <w:tcMar>
              <w:top w:type="dxa" w:w="80"/>
              <w:left w:type="dxa" w:w="120"/>
              <w:bottom w:type="dxa" w:w="80"/>
              <w:right w:type="dxa" w:w="120"/>
            </w:tcMar>
          </w:tcPr>
          <w:p>
            <w:pPr>
              <w:jc w:val="left"/>
            </w:pPr>
            <w:r>
              <w:rPr>
                <w:b w:val="false"/>
                <w:bCs w:val="false"/>
                <w:color w:val="1A1A1A"/>
                <w:sz w:val="19"/>
                <w:szCs w:val="19"/>
              </w:rPr>
              <w:t xml:space="preserve">Normal / Fan Running / Oil Pump Running — active cooling stage</w:t>
            </w:r>
          </w:p>
        </w:tc>
      </w:tr>
      <w:tr>
        <w:tc>
          <w:tcPr>
            <w:tcW w:type="dxa" w:w="2688"/>
            <w:shd w:fill="FFFFFF" w:val="clear"/>
            <w:tcMar>
              <w:top w:type="dxa" w:w="80"/>
              <w:left w:type="dxa" w:w="120"/>
              <w:bottom w:type="dxa" w:w="80"/>
              <w:right w:type="dxa" w:w="120"/>
            </w:tcMar>
          </w:tcPr>
          <w:p>
            <w:pPr>
              <w:jc w:val="left"/>
            </w:pPr>
            <w:r>
              <w:rPr>
                <w:b w:val="false"/>
                <w:bCs w:val="false"/>
                <w:color w:val="1A1A1A"/>
                <w:sz w:val="19"/>
                <w:szCs w:val="19"/>
              </w:rPr>
              <w:t xml:space="preserve">Health_Status</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Categorical (target)</w:t>
            </w:r>
          </w:p>
        </w:tc>
        <w:tc>
          <w:tcPr>
            <w:tcW w:type="dxa" w:w="5376"/>
            <w:shd w:fill="FFFFFF" w:val="clear"/>
            <w:tcMar>
              <w:top w:type="dxa" w:w="80"/>
              <w:left w:type="dxa" w:w="120"/>
              <w:bottom w:type="dxa" w:w="80"/>
              <w:right w:type="dxa" w:w="120"/>
            </w:tcMar>
          </w:tcPr>
          <w:p>
            <w:pPr>
              <w:jc w:val="left"/>
            </w:pPr>
            <w:r>
              <w:rPr>
                <w:b w:val="false"/>
                <w:bCs w:val="false"/>
                <w:color w:val="1A1A1A"/>
                <w:sz w:val="19"/>
                <w:szCs w:val="19"/>
              </w:rPr>
              <w:t xml:space="preserve">Healthy / Warning / Critical — overall condition label</w:t>
            </w:r>
          </w:p>
        </w:tc>
      </w:tr>
    </w:tbl>
    <w:p>
      <w:pPr>
        <w:pStyle w:val="Heading1"/>
        <w:pBdr>
          <w:bottom w:val="single" w:color="1F3864" w:sz="8" w:space="4"/>
        </w:pBdr>
        <w:spacing w:after="200" w:before="400"/>
      </w:pPr>
      <w:r>
        <w:rPr>
          <w:b/>
          <w:bCs/>
          <w:color w:val="1F3864"/>
          <w:sz w:val="30"/>
          <w:szCs w:val="30"/>
        </w:rPr>
        <w:t xml:space="preserve">3. Descriptive Statistics</w:t>
      </w:r>
    </w:p>
    <w:p>
      <w:pPr>
        <w:spacing w:after="160" w:line="276"/>
      </w:pPr>
      <w:r>
        <w:rPr>
          <w:sz w:val="21"/>
          <w:szCs w:val="21"/>
        </w:rPr>
        <w:t xml:space="preserve">Summary statistics across all 500 records. Values are reasonable for an 11 kV distribution transformer fleet with mixed ages (2–30 years).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1680"/>
        <w:gridCol w:w="1680"/>
      </w:tblGrid>
      <w:tr>
        <w:trPr>
          <w:tblHeader/>
        </w:trPr>
        <w:tc>
          <w:tcPr>
            <w:tcW w:type="dxa" w:w="3360"/>
            <w:shd w:fill="1F3864" w:val="clear"/>
            <w:tcMar>
              <w:top w:type="dxa" w:w="80"/>
              <w:left w:type="dxa" w:w="120"/>
              <w:bottom w:type="dxa" w:w="80"/>
              <w:right w:type="dxa" w:w="120"/>
            </w:tcMar>
          </w:tcPr>
          <w:p>
            <w:pPr>
              <w:jc w:val="left"/>
            </w:pPr>
            <w:r>
              <w:rPr>
                <w:b/>
                <w:bCs/>
                <w:color w:val="FFFFFF"/>
                <w:sz w:val="19"/>
                <w:szCs w:val="19"/>
              </w:rPr>
              <w:t xml:space="preserve">Parameter</w:t>
            </w:r>
          </w:p>
        </w:tc>
        <w:tc>
          <w:tcPr>
            <w:tcW w:type="dxa" w:w="1680"/>
            <w:shd w:fill="1F3864" w:val="clear"/>
            <w:tcMar>
              <w:top w:type="dxa" w:w="80"/>
              <w:left w:type="dxa" w:w="120"/>
              <w:bottom w:type="dxa" w:w="80"/>
              <w:right w:type="dxa" w:w="120"/>
            </w:tcMar>
          </w:tcPr>
          <w:p>
            <w:pPr>
              <w:jc w:val="left"/>
            </w:pPr>
            <w:r>
              <w:rPr>
                <w:b/>
                <w:bCs/>
                <w:color w:val="FFFFFF"/>
                <w:sz w:val="19"/>
                <w:szCs w:val="19"/>
              </w:rPr>
              <w:t xml:space="preserve">Mean</w:t>
            </w:r>
          </w:p>
        </w:tc>
        <w:tc>
          <w:tcPr>
            <w:tcW w:type="dxa" w:w="1680"/>
            <w:shd w:fill="1F3864" w:val="clear"/>
            <w:tcMar>
              <w:top w:type="dxa" w:w="80"/>
              <w:left w:type="dxa" w:w="120"/>
              <w:bottom w:type="dxa" w:w="80"/>
              <w:right w:type="dxa" w:w="120"/>
            </w:tcMar>
          </w:tcPr>
          <w:p>
            <w:pPr>
              <w:jc w:val="left"/>
            </w:pPr>
            <w:r>
              <w:rPr>
                <w:b/>
                <w:bCs/>
                <w:color w:val="FFFFFF"/>
                <w:sz w:val="19"/>
                <w:szCs w:val="19"/>
              </w:rPr>
              <w:t xml:space="preserve">Std Dev</w:t>
            </w:r>
          </w:p>
        </w:tc>
        <w:tc>
          <w:tcPr>
            <w:tcW w:type="dxa" w:w="1680"/>
            <w:shd w:fill="1F3864" w:val="clear"/>
            <w:tcMar>
              <w:top w:type="dxa" w:w="80"/>
              <w:left w:type="dxa" w:w="120"/>
              <w:bottom w:type="dxa" w:w="80"/>
              <w:right w:type="dxa" w:w="120"/>
            </w:tcMar>
          </w:tcPr>
          <w:p>
            <w:pPr>
              <w:jc w:val="left"/>
            </w:pPr>
            <w:r>
              <w:rPr>
                <w:b/>
                <w:bCs/>
                <w:color w:val="FFFFFF"/>
                <w:sz w:val="19"/>
                <w:szCs w:val="19"/>
              </w:rPr>
              <w:t xml:space="preserve">Min</w:t>
            </w:r>
          </w:p>
        </w:tc>
        <w:tc>
          <w:tcPr>
            <w:tcW w:type="dxa" w:w="1680"/>
            <w:shd w:fill="1F3864" w:val="clear"/>
            <w:tcMar>
              <w:top w:type="dxa" w:w="80"/>
              <w:left w:type="dxa" w:w="120"/>
              <w:bottom w:type="dxa" w:w="80"/>
              <w:right w:type="dxa" w:w="120"/>
            </w:tcMar>
          </w:tcPr>
          <w:p>
            <w:pPr>
              <w:jc w:val="left"/>
            </w:pPr>
            <w:r>
              <w:rPr>
                <w:b/>
                <w:bCs/>
                <w:color w:val="FFFFFF"/>
                <w:sz w:val="19"/>
                <w:szCs w:val="19"/>
              </w:rPr>
              <w:t xml:space="preserve">Max</w:t>
            </w:r>
          </w:p>
        </w:tc>
      </w:tr>
      <w:tr>
        <w:tc>
          <w:tcPr>
            <w:tcW w:type="dxa" w:w="3360"/>
            <w:shd w:fill="FFFFFF" w:val="clear"/>
            <w:tcMar>
              <w:top w:type="dxa" w:w="80"/>
              <w:left w:type="dxa" w:w="120"/>
              <w:bottom w:type="dxa" w:w="80"/>
              <w:right w:type="dxa" w:w="120"/>
            </w:tcMar>
          </w:tcPr>
          <w:p>
            <w:pPr>
              <w:jc w:val="left"/>
            </w:pPr>
            <w:r>
              <w:rPr>
                <w:b w:val="false"/>
                <w:bCs w:val="false"/>
                <w:color w:val="1A1A1A"/>
                <w:sz w:val="19"/>
                <w:szCs w:val="19"/>
              </w:rPr>
              <w:t xml:space="preserve">Age (Years)</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15.0</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8.83</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2</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30</w:t>
            </w:r>
          </w:p>
        </w:tc>
      </w:tr>
      <w:tr>
        <w:tc>
          <w:tcPr>
            <w:tcW w:type="dxa" w:w="3360"/>
            <w:shd w:fill="EEF3F8" w:val="clear"/>
            <w:tcMar>
              <w:top w:type="dxa" w:w="80"/>
              <w:left w:type="dxa" w:w="120"/>
              <w:bottom w:type="dxa" w:w="80"/>
              <w:right w:type="dxa" w:w="120"/>
            </w:tcMar>
          </w:tcPr>
          <w:p>
            <w:pPr>
              <w:jc w:val="left"/>
            </w:pPr>
            <w:r>
              <w:rPr>
                <w:b w:val="false"/>
                <w:bCs w:val="false"/>
                <w:color w:val="1A1A1A"/>
                <w:sz w:val="19"/>
                <w:szCs w:val="19"/>
              </w:rPr>
              <w:t xml:space="preserve">Oil Temperature (°C)</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77.0</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8.04</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96.4</w:t>
            </w:r>
          </w:p>
        </w:tc>
      </w:tr>
      <w:tr>
        <w:tc>
          <w:tcPr>
            <w:tcW w:type="dxa" w:w="3360"/>
            <w:shd w:fill="FFFFFF" w:val="clear"/>
            <w:tcMar>
              <w:top w:type="dxa" w:w="80"/>
              <w:left w:type="dxa" w:w="120"/>
              <w:bottom w:type="dxa" w:w="80"/>
              <w:right w:type="dxa" w:w="120"/>
            </w:tcMar>
          </w:tcPr>
          <w:p>
            <w:pPr>
              <w:jc w:val="left"/>
            </w:pPr>
            <w:r>
              <w:rPr>
                <w:b w:val="false"/>
                <w:bCs w:val="false"/>
                <w:color w:val="1A1A1A"/>
                <w:sz w:val="19"/>
                <w:szCs w:val="19"/>
              </w:rPr>
              <w:t xml:space="preserve">Winding Temperature (°C)</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86.8</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8.28</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105.8</w:t>
            </w:r>
          </w:p>
        </w:tc>
      </w:tr>
      <w:tr>
        <w:tc>
          <w:tcPr>
            <w:tcW w:type="dxa" w:w="3360"/>
            <w:shd w:fill="EEF3F8" w:val="clear"/>
            <w:tcMar>
              <w:top w:type="dxa" w:w="80"/>
              <w:left w:type="dxa" w:w="120"/>
              <w:bottom w:type="dxa" w:w="80"/>
              <w:right w:type="dxa" w:w="120"/>
            </w:tcMar>
          </w:tcPr>
          <w:p>
            <w:pPr>
              <w:jc w:val="left"/>
            </w:pPr>
            <w:r>
              <w:rPr>
                <w:b w:val="false"/>
                <w:bCs w:val="false"/>
                <w:color w:val="1A1A1A"/>
                <w:sz w:val="19"/>
                <w:szCs w:val="19"/>
              </w:rPr>
              <w:t xml:space="preserve">Ambient Temperature (°C)</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30.2</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6.91</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42</w:t>
            </w:r>
          </w:p>
        </w:tc>
      </w:tr>
      <w:tr>
        <w:tc>
          <w:tcPr>
            <w:tcW w:type="dxa" w:w="3360"/>
            <w:shd w:fill="FFFFFF" w:val="clear"/>
            <w:tcMar>
              <w:top w:type="dxa" w:w="80"/>
              <w:left w:type="dxa" w:w="120"/>
              <w:bottom w:type="dxa" w:w="80"/>
              <w:right w:type="dxa" w:w="120"/>
            </w:tcMar>
          </w:tcPr>
          <w:p>
            <w:pPr>
              <w:jc w:val="left"/>
            </w:pPr>
            <w:r>
              <w:rPr>
                <w:b w:val="false"/>
                <w:bCs w:val="false"/>
                <w:color w:val="1A1A1A"/>
                <w:sz w:val="19"/>
                <w:szCs w:val="19"/>
              </w:rPr>
              <w:t xml:space="preserve">Current (A)</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302.2</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86.8</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457.3</w:t>
            </w:r>
          </w:p>
        </w:tc>
      </w:tr>
      <w:tr>
        <w:tc>
          <w:tcPr>
            <w:tcW w:type="dxa" w:w="3360"/>
            <w:shd w:fill="EEF3F8" w:val="clear"/>
            <w:tcMar>
              <w:top w:type="dxa" w:w="80"/>
              <w:left w:type="dxa" w:w="120"/>
              <w:bottom w:type="dxa" w:w="80"/>
              <w:right w:type="dxa" w:w="120"/>
            </w:tcMar>
          </w:tcPr>
          <w:p>
            <w:pPr>
              <w:jc w:val="left"/>
            </w:pPr>
            <w:r>
              <w:rPr>
                <w:b w:val="false"/>
                <w:bCs w:val="false"/>
                <w:color w:val="1A1A1A"/>
                <w:sz w:val="19"/>
                <w:szCs w:val="19"/>
              </w:rPr>
              <w:t xml:space="preserve">Load (%)</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67.2</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19.3</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100</w:t>
            </w:r>
          </w:p>
        </w:tc>
      </w:tr>
      <w:tr>
        <w:tc>
          <w:tcPr>
            <w:tcW w:type="dxa" w:w="3360"/>
            <w:shd w:fill="FFFFFF" w:val="clear"/>
            <w:tcMar>
              <w:top w:type="dxa" w:w="80"/>
              <w:left w:type="dxa" w:w="120"/>
              <w:bottom w:type="dxa" w:w="80"/>
              <w:right w:type="dxa" w:w="120"/>
            </w:tcMar>
          </w:tcPr>
          <w:p>
            <w:pPr>
              <w:jc w:val="left"/>
            </w:pPr>
            <w:r>
              <w:rPr>
                <w:b w:val="false"/>
                <w:bCs w:val="false"/>
                <w:color w:val="1A1A1A"/>
                <w:sz w:val="19"/>
                <w:szCs w:val="19"/>
              </w:rPr>
              <w:t xml:space="preserve">Oil Level (%)</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93.5</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3.77</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100</w:t>
            </w:r>
          </w:p>
        </w:tc>
      </w:tr>
      <w:tr>
        <w:tc>
          <w:tcPr>
            <w:tcW w:type="dxa" w:w="3360"/>
            <w:shd w:fill="EEF3F8" w:val="clear"/>
            <w:tcMar>
              <w:top w:type="dxa" w:w="80"/>
              <w:left w:type="dxa" w:w="120"/>
              <w:bottom w:type="dxa" w:w="80"/>
              <w:right w:type="dxa" w:w="120"/>
            </w:tcMar>
          </w:tcPr>
          <w:p>
            <w:pPr>
              <w:jc w:val="left"/>
            </w:pPr>
            <w:r>
              <w:rPr>
                <w:b w:val="false"/>
                <w:bCs w:val="false"/>
                <w:color w:val="1A1A1A"/>
                <w:sz w:val="19"/>
                <w:szCs w:val="19"/>
              </w:rPr>
              <w:t xml:space="preserve">Moisture (ppm)</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21.1</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7.40</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36</w:t>
            </w:r>
          </w:p>
        </w:tc>
      </w:tr>
      <w:tr>
        <w:tc>
          <w:tcPr>
            <w:tcW w:type="dxa" w:w="3360"/>
            <w:shd w:fill="FFFFFF" w:val="clear"/>
            <w:tcMar>
              <w:top w:type="dxa" w:w="80"/>
              <w:left w:type="dxa" w:w="120"/>
              <w:bottom w:type="dxa" w:w="80"/>
              <w:right w:type="dxa" w:w="120"/>
            </w:tcMar>
          </w:tcPr>
          <w:p>
            <w:pPr>
              <w:jc w:val="left"/>
            </w:pPr>
            <w:r>
              <w:rPr>
                <w:b w:val="false"/>
                <w:bCs w:val="false"/>
                <w:color w:val="1A1A1A"/>
                <w:sz w:val="19"/>
                <w:szCs w:val="19"/>
              </w:rPr>
              <w:t xml:space="preserve">Dissolved Gas (ppm)</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323.0</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98.7</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557</w:t>
            </w:r>
          </w:p>
        </w:tc>
      </w:tr>
      <w:tr>
        <w:tc>
          <w:tcPr>
            <w:tcW w:type="dxa" w:w="3360"/>
            <w:shd w:fill="EEF3F8" w:val="clear"/>
            <w:tcMar>
              <w:top w:type="dxa" w:w="80"/>
              <w:left w:type="dxa" w:w="120"/>
              <w:bottom w:type="dxa" w:w="80"/>
              <w:right w:type="dxa" w:w="120"/>
            </w:tcMar>
          </w:tcPr>
          <w:p>
            <w:pPr>
              <w:jc w:val="left"/>
            </w:pPr>
            <w:r>
              <w:rPr>
                <w:b w:val="false"/>
                <w:bCs w:val="false"/>
                <w:color w:val="1A1A1A"/>
                <w:sz w:val="19"/>
                <w:szCs w:val="19"/>
              </w:rPr>
              <w:t xml:space="preserve">Vibration (mm/s)</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3.19</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0.81</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EEF3F8" w:val="clear"/>
            <w:tcMar>
              <w:top w:type="dxa" w:w="80"/>
              <w:left w:type="dxa" w:w="120"/>
              <w:bottom w:type="dxa" w:w="80"/>
              <w:right w:type="dxa" w:w="120"/>
            </w:tcMar>
          </w:tcPr>
          <w:p>
            <w:pPr>
              <w:jc w:val="left"/>
            </w:pPr>
            <w:r>
              <w:rPr>
                <w:b w:val="false"/>
                <w:bCs w:val="false"/>
                <w:color w:val="1A1A1A"/>
                <w:sz w:val="19"/>
                <w:szCs w:val="19"/>
              </w:rPr>
              <w:t xml:space="preserve">5.04</w:t>
            </w:r>
          </w:p>
        </w:tc>
      </w:tr>
      <w:tr>
        <w:tc>
          <w:tcPr>
            <w:tcW w:type="dxa" w:w="3360"/>
            <w:shd w:fill="FFFFFF" w:val="clear"/>
            <w:tcMar>
              <w:top w:type="dxa" w:w="80"/>
              <w:left w:type="dxa" w:w="120"/>
              <w:bottom w:type="dxa" w:w="80"/>
              <w:right w:type="dxa" w:w="120"/>
            </w:tcMar>
          </w:tcPr>
          <w:p>
            <w:pPr>
              <w:jc w:val="left"/>
            </w:pPr>
            <w:r>
              <w:rPr>
                <w:b w:val="false"/>
                <w:bCs w:val="false"/>
                <w:color w:val="1A1A1A"/>
                <w:sz w:val="19"/>
                <w:szCs w:val="19"/>
              </w:rPr>
              <w:t xml:space="preserve">Partial Discharge (pC)</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51.9</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19.0</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w:t>
            </w:r>
          </w:p>
        </w:tc>
        <w:tc>
          <w:tcPr>
            <w:tcW w:type="dxa" w:w="1680"/>
            <w:shd w:fill="FFFFFF" w:val="clear"/>
            <w:tcMar>
              <w:top w:type="dxa" w:w="80"/>
              <w:left w:type="dxa" w:w="120"/>
              <w:bottom w:type="dxa" w:w="80"/>
              <w:right w:type="dxa" w:w="120"/>
            </w:tcMar>
          </w:tcPr>
          <w:p>
            <w:pPr>
              <w:jc w:val="left"/>
            </w:pPr>
            <w:r>
              <w:rPr>
                <w:b w:val="false"/>
                <w:bCs w:val="false"/>
                <w:color w:val="1A1A1A"/>
                <w:sz w:val="19"/>
                <w:szCs w:val="19"/>
              </w:rPr>
              <w:t xml:space="preserve">94.4</w:t>
            </w:r>
          </w:p>
        </w:tc>
      </w:tr>
    </w:tbl>
    <w:p>
      <w:pPr>
        <w:pStyle w:val="Heading2"/>
        <w:spacing w:after="140" w:before="280"/>
      </w:pPr>
      <w:r>
        <w:rPr>
          <w:b/>
          <w:bCs/>
          <w:color w:val="2E6E9E"/>
          <w:sz w:val="24"/>
          <w:szCs w:val="24"/>
        </w:rPr>
        <w:t xml:space="preserve">Class distribution</w:t>
      </w:r>
    </w:p>
    <w:p>
      <w:pPr>
        <w:spacing w:after="8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300"/>
        <w:jc w:val="center"/>
      </w:pPr>
      <w:r>
        <w:rPr>
          <w:i/>
          <w:iCs/>
          <w:color w:val="666666"/>
          <w:sz w:val="19"/>
          <w:szCs w:val="19"/>
        </w:rPr>
        <w:t xml:space="preserve">Figure 1 — Healthy: 155 (31%) | Warning: 223 (44.6%) | Critical: 122 (24.4%)</w:t>
      </w:r>
    </w:p>
    <w:p>
      <w:pPr>
        <w:spacing w:after="160" w:line="276"/>
      </w:pPr>
      <w:r>
        <w:rPr>
          <w:sz w:val="21"/>
          <w:szCs w:val="21"/>
        </w:rPr>
        <w:t xml:space="preserve">Nearly a quarter of the fleet is already in a Critical state and almost half are in Warning — a distribution consistent with an aging fleet that has been under-maintained, or a dataset deliberately built to demonstrate a full range of conditions for model training.</w:t>
      </w:r>
    </w:p>
    <w:p>
      <w:pPr>
        <w:pStyle w:val="Heading1"/>
        <w:pBdr>
          <w:bottom w:val="single" w:color="1F3864" w:sz="8" w:space="4"/>
        </w:pBdr>
        <w:spacing w:after="200" w:before="400"/>
      </w:pPr>
      <w:r>
        <w:rPr>
          <w:b/>
          <w:bCs/>
          <w:color w:val="1F3864"/>
          <w:sz w:val="30"/>
          <w:szCs w:val="30"/>
        </w:rPr>
        <w:t xml:space="preserve">4. Parameter Behavior by Health Status</w:t>
      </w:r>
    </w:p>
    <w:p>
      <w:pPr>
        <w:spacing w:after="160" w:line="276"/>
      </w:pPr>
      <w:r>
        <w:rPr>
          <w:sz w:val="21"/>
          <w:szCs w:val="21"/>
        </w:rPr>
        <w:t xml:space="preserve">The clearest engineering signal in the data: every key stress indicator rises monotonically from Healthy → Warning → 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1814"/>
        <w:gridCol w:w="1814"/>
        <w:gridCol w:w="1814"/>
        <w:gridCol w:w="2016"/>
      </w:tblGrid>
      <w:tr>
        <w:trPr>
          <w:tblHeader/>
        </w:trPr>
        <w:tc>
          <w:tcPr>
            <w:tcW w:type="dxa" w:w="2621"/>
            <w:shd w:fill="1F3864" w:val="clear"/>
            <w:tcMar>
              <w:top w:type="dxa" w:w="80"/>
              <w:left w:type="dxa" w:w="120"/>
              <w:bottom w:type="dxa" w:w="80"/>
              <w:right w:type="dxa" w:w="120"/>
            </w:tcMar>
          </w:tcPr>
          <w:p>
            <w:pPr>
              <w:jc w:val="left"/>
            </w:pPr>
            <w:r>
              <w:rPr>
                <w:b/>
                <w:bCs/>
                <w:color w:val="FFFFFF"/>
                <w:sz w:val="19"/>
                <w:szCs w:val="19"/>
              </w:rPr>
              <w:t xml:space="preserve">Parameter</w:t>
            </w:r>
          </w:p>
        </w:tc>
        <w:tc>
          <w:tcPr>
            <w:tcW w:type="dxa" w:w="1814"/>
            <w:shd w:fill="1F3864" w:val="clear"/>
            <w:tcMar>
              <w:top w:type="dxa" w:w="80"/>
              <w:left w:type="dxa" w:w="120"/>
              <w:bottom w:type="dxa" w:w="80"/>
              <w:right w:type="dxa" w:w="120"/>
            </w:tcMar>
          </w:tcPr>
          <w:p>
            <w:pPr>
              <w:jc w:val="left"/>
            </w:pPr>
            <w:r>
              <w:rPr>
                <w:b/>
                <w:bCs/>
                <w:color w:val="FFFFFF"/>
                <w:sz w:val="19"/>
                <w:szCs w:val="19"/>
              </w:rPr>
              <w:t xml:space="preserve">Healthy (avg)</w:t>
            </w:r>
          </w:p>
        </w:tc>
        <w:tc>
          <w:tcPr>
            <w:tcW w:type="dxa" w:w="1814"/>
            <w:shd w:fill="1F3864" w:val="clear"/>
            <w:tcMar>
              <w:top w:type="dxa" w:w="80"/>
              <w:left w:type="dxa" w:w="120"/>
              <w:bottom w:type="dxa" w:w="80"/>
              <w:right w:type="dxa" w:w="120"/>
            </w:tcMar>
          </w:tcPr>
          <w:p>
            <w:pPr>
              <w:jc w:val="left"/>
            </w:pPr>
            <w:r>
              <w:rPr>
                <w:b/>
                <w:bCs/>
                <w:color w:val="FFFFFF"/>
                <w:sz w:val="19"/>
                <w:szCs w:val="19"/>
              </w:rPr>
              <w:t xml:space="preserve">Warning (avg)</w:t>
            </w:r>
          </w:p>
        </w:tc>
        <w:tc>
          <w:tcPr>
            <w:tcW w:type="dxa" w:w="1814"/>
            <w:shd w:fill="1F3864" w:val="clear"/>
            <w:tcMar>
              <w:top w:type="dxa" w:w="80"/>
              <w:left w:type="dxa" w:w="120"/>
              <w:bottom w:type="dxa" w:w="80"/>
              <w:right w:type="dxa" w:w="120"/>
            </w:tcMar>
          </w:tcPr>
          <w:p>
            <w:pPr>
              <w:jc w:val="left"/>
            </w:pPr>
            <w:r>
              <w:rPr>
                <w:b/>
                <w:bCs/>
                <w:color w:val="FFFFFF"/>
                <w:sz w:val="19"/>
                <w:szCs w:val="19"/>
              </w:rPr>
              <w:t xml:space="preserve">Critical (avg)</w:t>
            </w:r>
          </w:p>
        </w:tc>
        <w:tc>
          <w:tcPr>
            <w:tcW w:type="dxa" w:w="2016"/>
            <w:shd w:fill="1F3864" w:val="clear"/>
            <w:tcMar>
              <w:top w:type="dxa" w:w="80"/>
              <w:left w:type="dxa" w:w="120"/>
              <w:bottom w:type="dxa" w:w="80"/>
              <w:right w:type="dxa" w:w="120"/>
            </w:tcMar>
          </w:tcPr>
          <w:p>
            <w:pPr>
              <w:jc w:val="left"/>
            </w:pPr>
            <w:r>
              <w:rPr>
                <w:b/>
                <w:bCs/>
                <w:color w:val="FFFFFF"/>
                <w:sz w:val="19"/>
                <w:szCs w:val="19"/>
              </w:rPr>
              <w:t xml:space="preserve">Trend</w:t>
            </w:r>
          </w:p>
        </w:tc>
      </w:tr>
      <w:tr>
        <w:tc>
          <w:tcPr>
            <w:tcW w:type="dxa" w:w="2621"/>
            <w:shd w:fill="FFFFFF" w:val="clear"/>
            <w:tcMar>
              <w:top w:type="dxa" w:w="80"/>
              <w:left w:type="dxa" w:w="120"/>
              <w:bottom w:type="dxa" w:w="80"/>
              <w:right w:type="dxa" w:w="120"/>
            </w:tcMar>
          </w:tcPr>
          <w:p>
            <w:pPr>
              <w:jc w:val="left"/>
            </w:pPr>
            <w:r>
              <w:rPr>
                <w:b w:val="false"/>
                <w:bCs w:val="false"/>
                <w:color w:val="1A1A1A"/>
                <w:sz w:val="19"/>
                <w:szCs w:val="19"/>
              </w:rPr>
              <w:t xml:space="preserve">Age (yrs)</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8.3</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14.0</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25.4</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Strong rise</w:t>
            </w:r>
          </w:p>
        </w:tc>
      </w:tr>
      <w:tr>
        <w:tc>
          <w:tcPr>
            <w:tcW w:type="dxa" w:w="2621"/>
            <w:shd w:fill="EEF3F8" w:val="clear"/>
            <w:tcMar>
              <w:top w:type="dxa" w:w="80"/>
              <w:left w:type="dxa" w:w="120"/>
              <w:bottom w:type="dxa" w:w="80"/>
              <w:right w:type="dxa" w:w="120"/>
            </w:tcMar>
          </w:tcPr>
          <w:p>
            <w:pPr>
              <w:jc w:val="left"/>
            </w:pPr>
            <w:r>
              <w:rPr>
                <w:b w:val="false"/>
                <w:bCs w:val="false"/>
                <w:color w:val="1A1A1A"/>
                <w:sz w:val="19"/>
                <w:szCs w:val="19"/>
              </w:rPr>
              <w:t xml:space="preserve">Oil Temp (°C)</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68.1</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79.3</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84.1</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Strong rise</w:t>
            </w:r>
          </w:p>
        </w:tc>
      </w:tr>
      <w:tr>
        <w:tc>
          <w:tcPr>
            <w:tcW w:type="dxa" w:w="2621"/>
            <w:shd w:fill="FFFFFF" w:val="clear"/>
            <w:tcMar>
              <w:top w:type="dxa" w:w="80"/>
              <w:left w:type="dxa" w:w="120"/>
              <w:bottom w:type="dxa" w:w="80"/>
              <w:right w:type="dxa" w:w="120"/>
            </w:tcMar>
          </w:tcPr>
          <w:p>
            <w:pPr>
              <w:jc w:val="left"/>
            </w:pPr>
            <w:r>
              <w:rPr>
                <w:b w:val="false"/>
                <w:bCs w:val="false"/>
                <w:color w:val="1A1A1A"/>
                <w:sz w:val="19"/>
                <w:szCs w:val="19"/>
              </w:rPr>
              <w:t xml:space="preserve">Winding Temp (°C)</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77.8</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89.4</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93.6</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Strong rise</w:t>
            </w:r>
          </w:p>
        </w:tc>
      </w:tr>
      <w:tr>
        <w:tc>
          <w:tcPr>
            <w:tcW w:type="dxa" w:w="2621"/>
            <w:shd w:fill="EEF3F8" w:val="clear"/>
            <w:tcMar>
              <w:top w:type="dxa" w:w="80"/>
              <w:left w:type="dxa" w:w="120"/>
              <w:bottom w:type="dxa" w:w="80"/>
              <w:right w:type="dxa" w:w="120"/>
            </w:tcMar>
          </w:tcPr>
          <w:p>
            <w:pPr>
              <w:jc w:val="left"/>
            </w:pPr>
            <w:r>
              <w:rPr>
                <w:b w:val="false"/>
                <w:bCs w:val="false"/>
                <w:color w:val="1A1A1A"/>
                <w:sz w:val="19"/>
                <w:szCs w:val="19"/>
              </w:rPr>
              <w:t xml:space="preserve">Current (A)</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232.2</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330.2</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340.0</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Strong rise</w:t>
            </w:r>
          </w:p>
        </w:tc>
      </w:tr>
      <w:tr>
        <w:tc>
          <w:tcPr>
            <w:tcW w:type="dxa" w:w="2621"/>
            <w:shd w:fill="FFFFFF" w:val="clear"/>
            <w:tcMar>
              <w:top w:type="dxa" w:w="80"/>
              <w:left w:type="dxa" w:w="120"/>
              <w:bottom w:type="dxa" w:w="80"/>
              <w:right w:type="dxa" w:w="120"/>
            </w:tcMar>
          </w:tcPr>
          <w:p>
            <w:pPr>
              <w:jc w:val="left"/>
            </w:pPr>
            <w:r>
              <w:rPr>
                <w:b w:val="false"/>
                <w:bCs w:val="false"/>
                <w:color w:val="1A1A1A"/>
                <w:sz w:val="19"/>
                <w:szCs w:val="19"/>
              </w:rPr>
              <w:t xml:space="preserve">Load (%)</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51.6</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73.4</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75.7</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Strong rise</w:t>
            </w:r>
          </w:p>
        </w:tc>
      </w:tr>
      <w:tr>
        <w:tc>
          <w:tcPr>
            <w:tcW w:type="dxa" w:w="2621"/>
            <w:shd w:fill="EEF3F8" w:val="clear"/>
            <w:tcMar>
              <w:top w:type="dxa" w:w="80"/>
              <w:left w:type="dxa" w:w="120"/>
              <w:bottom w:type="dxa" w:w="80"/>
              <w:right w:type="dxa" w:w="120"/>
            </w:tcMar>
          </w:tcPr>
          <w:p>
            <w:pPr>
              <w:jc w:val="left"/>
            </w:pPr>
            <w:r>
              <w:rPr>
                <w:b w:val="false"/>
                <w:bCs w:val="false"/>
                <w:color w:val="1A1A1A"/>
                <w:sz w:val="19"/>
                <w:szCs w:val="19"/>
              </w:rPr>
              <w:t xml:space="preserve">Oil Level (%)</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96.1</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93.8</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89.4</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Falls (bad)</w:t>
            </w:r>
          </w:p>
        </w:tc>
      </w:tr>
      <w:tr>
        <w:tc>
          <w:tcPr>
            <w:tcW w:type="dxa" w:w="2621"/>
            <w:shd w:fill="FFFFFF" w:val="clear"/>
            <w:tcMar>
              <w:top w:type="dxa" w:w="80"/>
              <w:left w:type="dxa" w:w="120"/>
              <w:bottom w:type="dxa" w:w="80"/>
              <w:right w:type="dxa" w:w="120"/>
            </w:tcMar>
          </w:tcPr>
          <w:p>
            <w:pPr>
              <w:jc w:val="left"/>
            </w:pPr>
            <w:r>
              <w:rPr>
                <w:b w:val="false"/>
                <w:bCs w:val="false"/>
                <w:color w:val="1A1A1A"/>
                <w:sz w:val="19"/>
                <w:szCs w:val="19"/>
              </w:rPr>
              <w:t xml:space="preserve">Moisture (ppm)</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15.4</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20.5</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29.6</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Strong rise</w:t>
            </w:r>
          </w:p>
        </w:tc>
      </w:tr>
      <w:tr>
        <w:tc>
          <w:tcPr>
            <w:tcW w:type="dxa" w:w="2621"/>
            <w:shd w:fill="EEF3F8" w:val="clear"/>
            <w:tcMar>
              <w:top w:type="dxa" w:w="80"/>
              <w:left w:type="dxa" w:w="120"/>
              <w:bottom w:type="dxa" w:w="80"/>
              <w:right w:type="dxa" w:w="120"/>
            </w:tcMar>
          </w:tcPr>
          <w:p>
            <w:pPr>
              <w:jc w:val="left"/>
            </w:pPr>
            <w:r>
              <w:rPr>
                <w:b w:val="false"/>
                <w:bCs w:val="false"/>
                <w:color w:val="1A1A1A"/>
                <w:sz w:val="19"/>
                <w:szCs w:val="19"/>
              </w:rPr>
              <w:t xml:space="preserve">Dissolved Gas (ppm)</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223.4</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325.1</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445.5</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Strong rise</w:t>
            </w:r>
          </w:p>
        </w:tc>
      </w:tr>
      <w:tr>
        <w:tc>
          <w:tcPr>
            <w:tcW w:type="dxa" w:w="2621"/>
            <w:shd w:fill="FFFFFF" w:val="clear"/>
            <w:tcMar>
              <w:top w:type="dxa" w:w="80"/>
              <w:left w:type="dxa" w:w="120"/>
              <w:bottom w:type="dxa" w:w="80"/>
              <w:right w:type="dxa" w:w="120"/>
            </w:tcMar>
          </w:tcPr>
          <w:p>
            <w:pPr>
              <w:jc w:val="left"/>
            </w:pPr>
            <w:r>
              <w:rPr>
                <w:b w:val="false"/>
                <w:bCs w:val="false"/>
                <w:color w:val="1A1A1A"/>
                <w:sz w:val="19"/>
                <w:szCs w:val="19"/>
              </w:rPr>
              <w:t xml:space="preserve">Vibration (mm/s)</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2.39</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3.19</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4.20</w:t>
            </w:r>
          </w:p>
        </w:tc>
        <w:tc>
          <w:tcPr>
            <w:tcW w:type="dxa" w:w="2016"/>
            <w:shd w:fill="FFFFFF" w:val="clear"/>
            <w:tcMar>
              <w:top w:type="dxa" w:w="80"/>
              <w:left w:type="dxa" w:w="120"/>
              <w:bottom w:type="dxa" w:w="80"/>
              <w:right w:type="dxa" w:w="120"/>
            </w:tcMar>
          </w:tcPr>
          <w:p>
            <w:pPr>
              <w:jc w:val="left"/>
            </w:pPr>
            <w:r>
              <w:rPr>
                <w:b w:val="false"/>
                <w:bCs w:val="false"/>
                <w:color w:val="1A1A1A"/>
                <w:sz w:val="19"/>
                <w:szCs w:val="19"/>
              </w:rPr>
              <w:t xml:space="preserve">Strong rise</w:t>
            </w:r>
          </w:p>
        </w:tc>
      </w:tr>
      <w:tr>
        <w:tc>
          <w:tcPr>
            <w:tcW w:type="dxa" w:w="2621"/>
            <w:shd w:fill="EEF3F8" w:val="clear"/>
            <w:tcMar>
              <w:top w:type="dxa" w:w="80"/>
              <w:left w:type="dxa" w:w="120"/>
              <w:bottom w:type="dxa" w:w="80"/>
              <w:right w:type="dxa" w:w="120"/>
            </w:tcMar>
          </w:tcPr>
          <w:p>
            <w:pPr>
              <w:jc w:val="left"/>
            </w:pPr>
            <w:r>
              <w:rPr>
                <w:b w:val="false"/>
                <w:bCs w:val="false"/>
                <w:color w:val="1A1A1A"/>
                <w:sz w:val="19"/>
                <w:szCs w:val="19"/>
              </w:rPr>
              <w:t xml:space="preserve">Partial Discharge (pC)</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33.5</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51.8</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75.7</w:t>
            </w:r>
          </w:p>
        </w:tc>
        <w:tc>
          <w:tcPr>
            <w:tcW w:type="dxa" w:w="2016"/>
            <w:shd w:fill="EEF3F8" w:val="clear"/>
            <w:tcMar>
              <w:top w:type="dxa" w:w="80"/>
              <w:left w:type="dxa" w:w="120"/>
              <w:bottom w:type="dxa" w:w="80"/>
              <w:right w:type="dxa" w:w="120"/>
            </w:tcMar>
          </w:tcPr>
          <w:p>
            <w:pPr>
              <w:jc w:val="left"/>
            </w:pPr>
            <w:r>
              <w:rPr>
                <w:b w:val="false"/>
                <w:bCs w:val="false"/>
                <w:color w:val="1A1A1A"/>
                <w:sz w:val="19"/>
                <w:szCs w:val="19"/>
              </w:rPr>
              <w:t xml:space="preserve">Strong rise</w:t>
            </w:r>
          </w:p>
        </w:tc>
      </w:tr>
    </w:tbl>
    <w:p>
      <w:pPr>
        <w:spacing w:after="80" w:before="12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86125"/>
                    </a:xfrm>
                    <a:prstGeom prst="rect">
                      <a:avLst/>
                    </a:prstGeom>
                  </pic:spPr>
                </pic:pic>
              </a:graphicData>
            </a:graphic>
          </wp:inline>
        </w:drawing>
      </w:r>
    </w:p>
    <w:p>
      <w:pPr>
        <w:spacing w:after="300"/>
        <w:jc w:val="center"/>
      </w:pPr>
      <w:r>
        <w:rPr>
          <w:i/>
          <w:iCs/>
          <w:color w:val="666666"/>
          <w:sz w:val="19"/>
          <w:szCs w:val="19"/>
        </w:rPr>
        <w:t xml:space="preserve">Figure 2 — Distribution of key parameters split by health status. Boxes separate cleanly between Healthy and Critical for every parameter shown.</w:t>
      </w:r>
    </w:p>
    <w:p>
      <w:pPr>
        <w:pStyle w:val="Heading1"/>
        <w:pBdr>
          <w:bottom w:val="single" w:color="1F3864" w:sz="8" w:space="4"/>
        </w:pBdr>
        <w:spacing w:after="200" w:before="400"/>
      </w:pPr>
      <w:r>
        <w:rPr>
          <w:b/>
          <w:bCs/>
          <w:color w:val="1F3864"/>
          <w:sz w:val="30"/>
          <w:szCs w:val="30"/>
        </w:rPr>
        <w:t xml:space="preserve">5. Correlation &amp; Standards-Based Interpretation</w:t>
      </w:r>
    </w:p>
    <w:p>
      <w:pPr>
        <w:spacing w:after="80" w:before="120"/>
        <w:jc w:val="center"/>
      </w:pPr>
      <w:r>
        <w:drawing>
          <wp:inline distT="0" distB="0" distL="0" distR="0">
            <wp:extent cx="4953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124325"/>
                    </a:xfrm>
                    <a:prstGeom prst="rect">
                      <a:avLst/>
                    </a:prstGeom>
                  </pic:spPr>
                </pic:pic>
              </a:graphicData>
            </a:graphic>
          </wp:inline>
        </w:drawing>
      </w:r>
    </w:p>
    <w:p>
      <w:pPr>
        <w:spacing w:after="300"/>
        <w:jc w:val="center"/>
      </w:pPr>
      <w:r>
        <w:rPr>
          <w:i/>
          <w:iCs/>
          <w:color w:val="666666"/>
          <w:sz w:val="19"/>
          <w:szCs w:val="19"/>
        </w:rPr>
        <w:t xml:space="preserve">Figure 3 — Full parameter correlation matrix</w:t>
      </w:r>
    </w:p>
    <w:p>
      <w:pPr>
        <w:pStyle w:val="Heading2"/>
        <w:spacing w:after="140" w:before="280"/>
      </w:pPr>
      <w:r>
        <w:rPr>
          <w:b/>
          <w:bCs/>
          <w:color w:val="2E6E9E"/>
          <w:sz w:val="24"/>
          <w:szCs w:val="24"/>
        </w:rPr>
        <w:t xml:space="preserve">Correlation of each parameter with declining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1F3864" w:val="clear"/>
            <w:tcMar>
              <w:top w:type="dxa" w:w="80"/>
              <w:left w:type="dxa" w:w="120"/>
              <w:bottom w:type="dxa" w:w="80"/>
              <w:right w:type="dxa" w:w="120"/>
            </w:tcMar>
          </w:tcPr>
          <w:p>
            <w:pPr>
              <w:jc w:val="left"/>
            </w:pPr>
            <w:r>
              <w:rPr>
                <w:b/>
                <w:bCs/>
                <w:color w:val="FFFFFF"/>
                <w:sz w:val="19"/>
                <w:szCs w:val="19"/>
              </w:rPr>
              <w:t xml:space="preserve">Parameter</w:t>
            </w:r>
          </w:p>
        </w:tc>
        <w:tc>
          <w:tcPr>
            <w:tcW w:type="dxa" w:w="5544"/>
            <w:shd w:fill="1F3864" w:val="clear"/>
            <w:tcMar>
              <w:top w:type="dxa" w:w="80"/>
              <w:left w:type="dxa" w:w="120"/>
              <w:bottom w:type="dxa" w:w="80"/>
              <w:right w:type="dxa" w:w="120"/>
            </w:tcMar>
          </w:tcPr>
          <w:p>
            <w:pPr>
              <w:jc w:val="left"/>
            </w:pPr>
            <w:r>
              <w:rPr>
                <w:b/>
                <w:bCs/>
                <w:color w:val="FFFFFF"/>
                <w:sz w:val="19"/>
                <w:szCs w:val="19"/>
              </w:rPr>
              <w:t xml:space="preserve">Correlation with Health Decline</w:t>
            </w:r>
          </w:p>
        </w:tc>
      </w:tr>
      <w:tr>
        <w:tc>
          <w:tcPr>
            <w:tcW w:type="dxa" w:w="4536"/>
            <w:shd w:fill="FFFFFF" w:val="clear"/>
            <w:tcMar>
              <w:top w:type="dxa" w:w="80"/>
              <w:left w:type="dxa" w:w="120"/>
              <w:bottom w:type="dxa" w:w="80"/>
              <w:right w:type="dxa" w:w="120"/>
            </w:tcMar>
          </w:tcPr>
          <w:p>
            <w:pPr>
              <w:jc w:val="left"/>
            </w:pPr>
            <w:r>
              <w:rPr>
                <w:b w:val="false"/>
                <w:bCs w:val="false"/>
                <w:color w:val="1A1A1A"/>
                <w:sz w:val="19"/>
                <w:szCs w:val="19"/>
              </w:rPr>
              <w:t xml:space="preserve">Dissolved Gas (ppm)</w:t>
            </w:r>
          </w:p>
        </w:tc>
        <w:tc>
          <w:tcPr>
            <w:tcW w:type="dxa" w:w="5544"/>
            <w:shd w:fill="FFFFFF" w:val="clear"/>
            <w:tcMar>
              <w:top w:type="dxa" w:w="80"/>
              <w:left w:type="dxa" w:w="120"/>
              <w:bottom w:type="dxa" w:w="80"/>
              <w:right w:type="dxa" w:w="120"/>
            </w:tcMar>
          </w:tcPr>
          <w:p>
            <w:pPr>
              <w:jc w:val="left"/>
            </w:pPr>
            <w:r>
              <w:rPr>
                <w:b w:val="false"/>
                <w:bCs w:val="false"/>
                <w:color w:val="1A1A1A"/>
                <w:sz w:val="19"/>
                <w:szCs w:val="19"/>
              </w:rPr>
              <w:t xml:space="preserve">+0.83 (very strong)</w:t>
            </w:r>
          </w:p>
        </w:tc>
      </w:tr>
      <w:tr>
        <w:tc>
          <w:tcPr>
            <w:tcW w:type="dxa" w:w="4536"/>
            <w:shd w:fill="EEF3F8" w:val="clear"/>
            <w:tcMar>
              <w:top w:type="dxa" w:w="80"/>
              <w:left w:type="dxa" w:w="120"/>
              <w:bottom w:type="dxa" w:w="80"/>
              <w:right w:type="dxa" w:w="120"/>
            </w:tcMar>
          </w:tcPr>
          <w:p>
            <w:pPr>
              <w:jc w:val="left"/>
            </w:pPr>
            <w:r>
              <w:rPr>
                <w:b w:val="false"/>
                <w:bCs w:val="false"/>
                <w:color w:val="1A1A1A"/>
                <w:sz w:val="19"/>
                <w:szCs w:val="19"/>
              </w:rPr>
              <w:t xml:space="preserve">Vibration (mm/s)</w:t>
            </w:r>
          </w:p>
        </w:tc>
        <w:tc>
          <w:tcPr>
            <w:tcW w:type="dxa" w:w="5544"/>
            <w:shd w:fill="EEF3F8" w:val="clear"/>
            <w:tcMar>
              <w:top w:type="dxa" w:w="80"/>
              <w:left w:type="dxa" w:w="120"/>
              <w:bottom w:type="dxa" w:w="80"/>
              <w:right w:type="dxa" w:w="120"/>
            </w:tcMar>
          </w:tcPr>
          <w:p>
            <w:pPr>
              <w:jc w:val="left"/>
            </w:pPr>
            <w:r>
              <w:rPr>
                <w:b w:val="false"/>
                <w:bCs w:val="false"/>
                <w:color w:val="1A1A1A"/>
                <w:sz w:val="19"/>
                <w:szCs w:val="19"/>
              </w:rPr>
              <w:t xml:space="preserve">+0.82 (very strong)</w:t>
            </w:r>
          </w:p>
        </w:tc>
      </w:tr>
      <w:tr>
        <w:tc>
          <w:tcPr>
            <w:tcW w:type="dxa" w:w="4536"/>
            <w:shd w:fill="FFFFFF" w:val="clear"/>
            <w:tcMar>
              <w:top w:type="dxa" w:w="80"/>
              <w:left w:type="dxa" w:w="120"/>
              <w:bottom w:type="dxa" w:w="80"/>
              <w:right w:type="dxa" w:w="120"/>
            </w:tcMar>
          </w:tcPr>
          <w:p>
            <w:pPr>
              <w:jc w:val="left"/>
            </w:pPr>
            <w:r>
              <w:rPr>
                <w:b w:val="false"/>
                <w:bCs w:val="false"/>
                <w:color w:val="1A1A1A"/>
                <w:sz w:val="19"/>
                <w:szCs w:val="19"/>
              </w:rPr>
              <w:t xml:space="preserve">Partial Discharge (pC)</w:t>
            </w:r>
          </w:p>
        </w:tc>
        <w:tc>
          <w:tcPr>
            <w:tcW w:type="dxa" w:w="5544"/>
            <w:shd w:fill="FFFFFF" w:val="clear"/>
            <w:tcMar>
              <w:top w:type="dxa" w:w="80"/>
              <w:left w:type="dxa" w:w="120"/>
              <w:bottom w:type="dxa" w:w="80"/>
              <w:right w:type="dxa" w:w="120"/>
            </w:tcMar>
          </w:tcPr>
          <w:p>
            <w:pPr>
              <w:jc w:val="left"/>
            </w:pPr>
            <w:r>
              <w:rPr>
                <w:b w:val="false"/>
                <w:bCs w:val="false"/>
                <w:color w:val="1A1A1A"/>
                <w:sz w:val="19"/>
                <w:szCs w:val="19"/>
              </w:rPr>
              <w:t xml:space="preserve">+0.82 (very strong)</w:t>
            </w:r>
          </w:p>
        </w:tc>
      </w:tr>
      <w:tr>
        <w:tc>
          <w:tcPr>
            <w:tcW w:type="dxa" w:w="4536"/>
            <w:shd w:fill="EEF3F8" w:val="clear"/>
            <w:tcMar>
              <w:top w:type="dxa" w:w="80"/>
              <w:left w:type="dxa" w:w="120"/>
              <w:bottom w:type="dxa" w:w="80"/>
              <w:right w:type="dxa" w:w="120"/>
            </w:tcMar>
          </w:tcPr>
          <w:p>
            <w:pPr>
              <w:jc w:val="left"/>
            </w:pPr>
            <w:r>
              <w:rPr>
                <w:b w:val="false"/>
                <w:bCs w:val="false"/>
                <w:color w:val="1A1A1A"/>
                <w:sz w:val="19"/>
                <w:szCs w:val="19"/>
              </w:rPr>
              <w:t xml:space="preserve">Oil Temperature (°C)</w:t>
            </w:r>
          </w:p>
        </w:tc>
        <w:tc>
          <w:tcPr>
            <w:tcW w:type="dxa" w:w="5544"/>
            <w:shd w:fill="EEF3F8" w:val="clear"/>
            <w:tcMar>
              <w:top w:type="dxa" w:w="80"/>
              <w:left w:type="dxa" w:w="120"/>
              <w:bottom w:type="dxa" w:w="80"/>
              <w:right w:type="dxa" w:w="120"/>
            </w:tcMar>
          </w:tcPr>
          <w:p>
            <w:pPr>
              <w:jc w:val="left"/>
            </w:pPr>
            <w:r>
              <w:rPr>
                <w:b w:val="false"/>
                <w:bCs w:val="false"/>
                <w:color w:val="1A1A1A"/>
                <w:sz w:val="19"/>
                <w:szCs w:val="19"/>
              </w:rPr>
              <w:t xml:space="preserve">+0.75 (strong)</w:t>
            </w:r>
          </w:p>
        </w:tc>
      </w:tr>
      <w:tr>
        <w:tc>
          <w:tcPr>
            <w:tcW w:type="dxa" w:w="4536"/>
            <w:shd w:fill="FFFFFF" w:val="clear"/>
            <w:tcMar>
              <w:top w:type="dxa" w:w="80"/>
              <w:left w:type="dxa" w:w="120"/>
              <w:bottom w:type="dxa" w:w="80"/>
              <w:right w:type="dxa" w:w="120"/>
            </w:tcMar>
          </w:tcPr>
          <w:p>
            <w:pPr>
              <w:jc w:val="left"/>
            </w:pPr>
            <w:r>
              <w:rPr>
                <w:b w:val="false"/>
                <w:bCs w:val="false"/>
                <w:color w:val="1A1A1A"/>
                <w:sz w:val="19"/>
                <w:szCs w:val="19"/>
              </w:rPr>
              <w:t xml:space="preserve">Winding Temperature (°C)</w:t>
            </w:r>
          </w:p>
        </w:tc>
        <w:tc>
          <w:tcPr>
            <w:tcW w:type="dxa" w:w="5544"/>
            <w:shd w:fill="FFFFFF" w:val="clear"/>
            <w:tcMar>
              <w:top w:type="dxa" w:w="80"/>
              <w:left w:type="dxa" w:w="120"/>
              <w:bottom w:type="dxa" w:w="80"/>
              <w:right w:type="dxa" w:w="120"/>
            </w:tcMar>
          </w:tcPr>
          <w:p>
            <w:pPr>
              <w:jc w:val="left"/>
            </w:pPr>
            <w:r>
              <w:rPr>
                <w:b w:val="false"/>
                <w:bCs w:val="false"/>
                <w:color w:val="1A1A1A"/>
                <w:sz w:val="19"/>
                <w:szCs w:val="19"/>
              </w:rPr>
              <w:t xml:space="preserve">+0.73 (strong)</w:t>
            </w:r>
          </w:p>
        </w:tc>
      </w:tr>
      <w:tr>
        <w:tc>
          <w:tcPr>
            <w:tcW w:type="dxa" w:w="4536"/>
            <w:shd w:fill="EEF3F8" w:val="clear"/>
            <w:tcMar>
              <w:top w:type="dxa" w:w="80"/>
              <w:left w:type="dxa" w:w="120"/>
              <w:bottom w:type="dxa" w:w="80"/>
              <w:right w:type="dxa" w:w="120"/>
            </w:tcMar>
          </w:tcPr>
          <w:p>
            <w:pPr>
              <w:jc w:val="left"/>
            </w:pPr>
            <w:r>
              <w:rPr>
                <w:b w:val="false"/>
                <w:bCs w:val="false"/>
                <w:color w:val="1A1A1A"/>
                <w:sz w:val="19"/>
                <w:szCs w:val="19"/>
              </w:rPr>
              <w:t xml:space="preserve">Age (Years)</w:t>
            </w:r>
          </w:p>
        </w:tc>
        <w:tc>
          <w:tcPr>
            <w:tcW w:type="dxa" w:w="5544"/>
            <w:shd w:fill="EEF3F8" w:val="clear"/>
            <w:tcMar>
              <w:top w:type="dxa" w:w="80"/>
              <w:left w:type="dxa" w:w="120"/>
              <w:bottom w:type="dxa" w:w="80"/>
              <w:right w:type="dxa" w:w="120"/>
            </w:tcMar>
          </w:tcPr>
          <w:p>
            <w:pPr>
              <w:jc w:val="left"/>
            </w:pPr>
            <w:r>
              <w:rPr>
                <w:b w:val="false"/>
                <w:bCs w:val="false"/>
                <w:color w:val="1A1A1A"/>
                <w:sz w:val="19"/>
                <w:szCs w:val="19"/>
              </w:rPr>
              <w:t xml:space="preserve">+0.70 (strong)</w:t>
            </w:r>
          </w:p>
        </w:tc>
      </w:tr>
      <w:tr>
        <w:tc>
          <w:tcPr>
            <w:tcW w:type="dxa" w:w="4536"/>
            <w:shd w:fill="FFFFFF" w:val="clear"/>
            <w:tcMar>
              <w:top w:type="dxa" w:w="80"/>
              <w:left w:type="dxa" w:w="120"/>
              <w:bottom w:type="dxa" w:w="80"/>
              <w:right w:type="dxa" w:w="120"/>
            </w:tcMar>
          </w:tcPr>
          <w:p>
            <w:pPr>
              <w:jc w:val="left"/>
            </w:pPr>
            <w:r>
              <w:rPr>
                <w:b w:val="false"/>
                <w:bCs w:val="false"/>
                <w:color w:val="1A1A1A"/>
                <w:sz w:val="19"/>
                <w:szCs w:val="19"/>
              </w:rPr>
              <w:t xml:space="preserve">Moisture (ppm)</w:t>
            </w:r>
          </w:p>
        </w:tc>
        <w:tc>
          <w:tcPr>
            <w:tcW w:type="dxa" w:w="5544"/>
            <w:shd w:fill="FFFFFF" w:val="clear"/>
            <w:tcMar>
              <w:top w:type="dxa" w:w="80"/>
              <w:left w:type="dxa" w:w="120"/>
              <w:bottom w:type="dxa" w:w="80"/>
              <w:right w:type="dxa" w:w="120"/>
            </w:tcMar>
          </w:tcPr>
          <w:p>
            <w:pPr>
              <w:jc w:val="left"/>
            </w:pPr>
            <w:r>
              <w:rPr>
                <w:b w:val="false"/>
                <w:bCs w:val="false"/>
                <w:color w:val="1A1A1A"/>
                <w:sz w:val="19"/>
                <w:szCs w:val="19"/>
              </w:rPr>
              <w:t xml:space="preserve">+0.70 (strong)</w:t>
            </w:r>
          </w:p>
        </w:tc>
      </w:tr>
      <w:tr>
        <w:tc>
          <w:tcPr>
            <w:tcW w:type="dxa" w:w="4536"/>
            <w:shd w:fill="EEF3F8" w:val="clear"/>
            <w:tcMar>
              <w:top w:type="dxa" w:w="80"/>
              <w:left w:type="dxa" w:w="120"/>
              <w:bottom w:type="dxa" w:w="80"/>
              <w:right w:type="dxa" w:w="120"/>
            </w:tcMar>
          </w:tcPr>
          <w:p>
            <w:pPr>
              <w:jc w:val="left"/>
            </w:pPr>
            <w:r>
              <w:rPr>
                <w:b w:val="false"/>
                <w:bCs w:val="false"/>
                <w:color w:val="1A1A1A"/>
                <w:sz w:val="19"/>
                <w:szCs w:val="19"/>
              </w:rPr>
              <w:t xml:space="preserve">Load (%) / Current (A)</w:t>
            </w:r>
          </w:p>
        </w:tc>
        <w:tc>
          <w:tcPr>
            <w:tcW w:type="dxa" w:w="5544"/>
            <w:shd w:fill="EEF3F8" w:val="clear"/>
            <w:tcMar>
              <w:top w:type="dxa" w:w="80"/>
              <w:left w:type="dxa" w:w="120"/>
              <w:bottom w:type="dxa" w:w="80"/>
              <w:right w:type="dxa" w:w="120"/>
            </w:tcMar>
          </w:tcPr>
          <w:p>
            <w:pPr>
              <w:jc w:val="left"/>
            </w:pPr>
            <w:r>
              <w:rPr>
                <w:b w:val="false"/>
                <w:bCs w:val="false"/>
                <w:color w:val="1A1A1A"/>
                <w:sz w:val="19"/>
                <w:szCs w:val="19"/>
              </w:rPr>
              <w:t xml:space="preserve">+0.48 (moderate)</w:t>
            </w:r>
          </w:p>
        </w:tc>
      </w:tr>
      <w:tr>
        <w:tc>
          <w:tcPr>
            <w:tcW w:type="dxa" w:w="4536"/>
            <w:shd w:fill="FFFFFF" w:val="clear"/>
            <w:tcMar>
              <w:top w:type="dxa" w:w="80"/>
              <w:left w:type="dxa" w:w="120"/>
              <w:bottom w:type="dxa" w:w="80"/>
              <w:right w:type="dxa" w:w="120"/>
            </w:tcMar>
          </w:tcPr>
          <w:p>
            <w:pPr>
              <w:jc w:val="left"/>
            </w:pPr>
            <w:r>
              <w:rPr>
                <w:b w:val="false"/>
                <w:bCs w:val="false"/>
                <w:color w:val="1A1A1A"/>
                <w:sz w:val="19"/>
                <w:szCs w:val="19"/>
              </w:rPr>
              <w:t xml:space="preserve">Oil Level (%)</w:t>
            </w:r>
          </w:p>
        </w:tc>
        <w:tc>
          <w:tcPr>
            <w:tcW w:type="dxa" w:w="5544"/>
            <w:shd w:fill="FFFFFF" w:val="clear"/>
            <w:tcMar>
              <w:top w:type="dxa" w:w="80"/>
              <w:left w:type="dxa" w:w="120"/>
              <w:bottom w:type="dxa" w:w="80"/>
              <w:right w:type="dxa" w:w="120"/>
            </w:tcMar>
          </w:tcPr>
          <w:p>
            <w:pPr>
              <w:jc w:val="left"/>
            </w:pPr>
            <w:r>
              <w:rPr>
                <w:b w:val="false"/>
                <w:bCs w:val="false"/>
                <w:color w:val="1A1A1A"/>
                <w:sz w:val="19"/>
                <w:szCs w:val="19"/>
              </w:rPr>
              <w:t xml:space="preserve">−0.65 (strong, inverse)</w:t>
            </w:r>
          </w:p>
        </w:tc>
      </w:tr>
      <w:tr>
        <w:tc>
          <w:tcPr>
            <w:tcW w:type="dxa" w:w="4536"/>
            <w:shd w:fill="EEF3F8" w:val="clear"/>
            <w:tcMar>
              <w:top w:type="dxa" w:w="80"/>
              <w:left w:type="dxa" w:w="120"/>
              <w:bottom w:type="dxa" w:w="80"/>
              <w:right w:type="dxa" w:w="120"/>
            </w:tcMar>
          </w:tcPr>
          <w:p>
            <w:pPr>
              <w:jc w:val="left"/>
            </w:pPr>
            <w:r>
              <w:rPr>
                <w:b w:val="false"/>
                <w:bCs w:val="false"/>
                <w:color w:val="1A1A1A"/>
                <w:sz w:val="19"/>
                <w:szCs w:val="19"/>
              </w:rPr>
              <w:t xml:space="preserve">Ambient Temperature (°C)</w:t>
            </w:r>
          </w:p>
        </w:tc>
        <w:tc>
          <w:tcPr>
            <w:tcW w:type="dxa" w:w="5544"/>
            <w:shd w:fill="EEF3F8" w:val="clear"/>
            <w:tcMar>
              <w:top w:type="dxa" w:w="80"/>
              <w:left w:type="dxa" w:w="120"/>
              <w:bottom w:type="dxa" w:w="80"/>
              <w:right w:type="dxa" w:w="120"/>
            </w:tcMar>
          </w:tcPr>
          <w:p>
            <w:pPr>
              <w:jc w:val="left"/>
            </w:pPr>
            <w:r>
              <w:rPr>
                <w:b w:val="false"/>
                <w:bCs w:val="false"/>
                <w:color w:val="1A1A1A"/>
                <w:sz w:val="19"/>
                <w:szCs w:val="19"/>
              </w:rPr>
              <w:t xml:space="preserve">+0.08 (negligible)</w:t>
            </w:r>
          </w:p>
        </w:tc>
      </w:tr>
    </w:tbl>
    <w:p>
      <w:pPr>
        <w:pStyle w:val="Heading2"/>
        <w:spacing w:after="140" w:before="280"/>
      </w:pPr>
      <w:r>
        <w:rPr>
          <w:b/>
          <w:bCs/>
          <w:color w:val="2E6E9E"/>
          <w:sz w:val="24"/>
          <w:szCs w:val="24"/>
        </w:rPr>
        <w:t xml:space="preserve">Benchmarking against common transformer condition-monitoring standards</w:t>
      </w:r>
    </w:p>
    <w:p>
      <w:pPr>
        <w:spacing w:after="160" w:line="276"/>
      </w:pPr>
      <w:r>
        <w:rPr>
          <w:sz w:val="21"/>
          <w:szCs w:val="21"/>
        </w:rPr>
        <w:t xml:space="preserve">As general engineering reference points (not a certification of this specific dataset), typical industry guide levels used in transformer condition assessment include:</w:t>
      </w:r>
    </w:p>
    <w:p>
      <w:pPr>
        <w:pStyle w:val="ListParagraph"/>
        <w:numPr>
          <w:ilvl w:val="0"/>
          <w:numId w:val="2"/>
        </w:numPr>
        <w:spacing w:after="80"/>
      </w:pPr>
      <w:r>
        <w:rPr>
          <w:sz w:val="21"/>
          <w:szCs w:val="21"/>
        </w:rPr>
        <w:t xml:space="preserve">IEEE C57.104 / IEC 60599 — Dissolved Gas Analysis (DGA) condition banding, where total combustible gas trending upward over time (not a single absolute number) signals incipient faults such as partial discharge, thermal faults, or arcing.</w:t>
      </w:r>
    </w:p>
    <w:p>
      <w:pPr>
        <w:pStyle w:val="ListParagraph"/>
        <w:numPr>
          <w:ilvl w:val="0"/>
          <w:numId w:val="2"/>
        </w:numPr>
        <w:spacing w:after="80"/>
      </w:pPr>
      <w:r>
        <w:rPr>
          <w:sz w:val="21"/>
          <w:szCs w:val="21"/>
        </w:rPr>
        <w:t xml:space="preserve">IEC 60076 hot-spot winding temperature limits — sustained winding hot-spot temperatures materially above ~98°C for standard insulation systems accelerate cellulose insulation aging per the Arrhenius relationship, roughly halving expected life for every ~6–8°C rise.</w:t>
      </w:r>
    </w:p>
    <w:p>
      <w:pPr>
        <w:pStyle w:val="ListParagraph"/>
        <w:numPr>
          <w:ilvl w:val="0"/>
          <w:numId w:val="2"/>
        </w:numPr>
        <w:spacing w:after="80"/>
      </w:pPr>
      <w:r>
        <w:rPr>
          <w:sz w:val="21"/>
          <w:szCs w:val="21"/>
        </w:rPr>
        <w:t xml:space="preserve">Moisture-in-oil guide values — oil moisture above ~20–30 ppm (temperature-dependent) is generally treated as elevated and a driver of accelerated aging and reduced dielectric strength.</w:t>
      </w:r>
    </w:p>
    <w:p>
      <w:pPr>
        <w:pStyle w:val="ListParagraph"/>
        <w:numPr>
          <w:ilvl w:val="0"/>
          <w:numId w:val="2"/>
        </w:numPr>
        <w:spacing w:after="80"/>
      </w:pPr>
      <w:r>
        <w:rPr>
          <w:sz w:val="21"/>
          <w:szCs w:val="21"/>
        </w:rPr>
        <w:t xml:space="preserve">Partial discharge — any sustained, non-trivial PD activity is treated as a leading indicator of insulation void formation and progressive dielectric breakdown.</w:t>
      </w:r>
    </w:p>
    <w:p>
      <w:pPr>
        <w:spacing w:after="160" w:line="276"/>
      </w:pPr>
      <w:r>
        <w:rPr>
          <w:sz w:val="21"/>
          <w:szCs w:val="21"/>
        </w:rPr>
        <w:t xml:space="preserve">The dataset's own Critical-tier averages (Winding Temp 93.6°C, Dissolved Gas 445.5 ppm, Moisture 29.6 ppm, PD 75.7 pC) sit consistently in the elevated/concerning range relative to these general guide levels, which is internally consistent with how the Health_Status label appears to have been constructed.</w:t>
      </w:r>
    </w:p>
    <w:p>
      <w:pPr>
        <w:pStyle w:val="Heading1"/>
        <w:pBdr>
          <w:bottom w:val="single" w:color="1F3864" w:sz="8" w:space="4"/>
        </w:pBdr>
        <w:spacing w:after="200" w:before="400"/>
      </w:pPr>
      <w:r>
        <w:rPr>
          <w:b/>
          <w:bCs/>
          <w:color w:val="1F3864"/>
          <w:sz w:val="30"/>
          <w:szCs w:val="30"/>
        </w:rPr>
        <w:t xml:space="preserve">6. Predictive Model — Health Status Classification</w:t>
      </w:r>
    </w:p>
    <w:p>
      <w:pPr>
        <w:spacing w:after="160" w:line="276"/>
      </w:pPr>
      <w:r>
        <w:rPr>
          <w:sz w:val="21"/>
          <w:szCs w:val="21"/>
        </w:rPr>
        <w:t xml:space="preserve">A Random Forest classifier (300 trees, max depth 8) was trained on the 11 numeric sensor fields plus encoded cooling status, using a 75/25 stratified train/test split, to test whether Health_Status can be predicted directly from sensor readings.</w:t>
      </w:r>
    </w:p>
    <w:p>
      <w:pPr>
        <w:pStyle w:val="Heading2"/>
        <w:spacing w:after="140" w:before="280"/>
      </w:pPr>
      <w:r>
        <w:rPr>
          <w:b/>
          <w:bCs/>
          <w:color w:val="2E6E9E"/>
          <w:sz w:val="24"/>
          <w:szCs w:val="24"/>
        </w:rPr>
        <w:t xml:space="preserve">Model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814"/>
        <w:gridCol w:w="1814"/>
        <w:gridCol w:w="1814"/>
        <w:gridCol w:w="1613"/>
      </w:tblGrid>
      <w:tr>
        <w:trPr>
          <w:tblHeader/>
        </w:trPr>
        <w:tc>
          <w:tcPr>
            <w:tcW w:type="dxa" w:w="3024"/>
            <w:shd w:fill="1F3864" w:val="clear"/>
            <w:tcMar>
              <w:top w:type="dxa" w:w="80"/>
              <w:left w:type="dxa" w:w="120"/>
              <w:bottom w:type="dxa" w:w="80"/>
              <w:right w:type="dxa" w:w="120"/>
            </w:tcMar>
          </w:tcPr>
          <w:p>
            <w:pPr>
              <w:jc w:val="left"/>
            </w:pPr>
            <w:r>
              <w:rPr>
                <w:b/>
                <w:bCs/>
                <w:color w:val="FFFFFF"/>
                <w:sz w:val="19"/>
                <w:szCs w:val="19"/>
              </w:rPr>
              <w:t xml:space="preserve">Class</w:t>
            </w:r>
          </w:p>
        </w:tc>
        <w:tc>
          <w:tcPr>
            <w:tcW w:type="dxa" w:w="1814"/>
            <w:shd w:fill="1F3864" w:val="clear"/>
            <w:tcMar>
              <w:top w:type="dxa" w:w="80"/>
              <w:left w:type="dxa" w:w="120"/>
              <w:bottom w:type="dxa" w:w="80"/>
              <w:right w:type="dxa" w:w="120"/>
            </w:tcMar>
          </w:tcPr>
          <w:p>
            <w:pPr>
              <w:jc w:val="left"/>
            </w:pPr>
            <w:r>
              <w:rPr>
                <w:b/>
                <w:bCs/>
                <w:color w:val="FFFFFF"/>
                <w:sz w:val="19"/>
                <w:szCs w:val="19"/>
              </w:rPr>
              <w:t xml:space="preserve">Precision</w:t>
            </w:r>
          </w:p>
        </w:tc>
        <w:tc>
          <w:tcPr>
            <w:tcW w:type="dxa" w:w="1814"/>
            <w:shd w:fill="1F3864" w:val="clear"/>
            <w:tcMar>
              <w:top w:type="dxa" w:w="80"/>
              <w:left w:type="dxa" w:w="120"/>
              <w:bottom w:type="dxa" w:w="80"/>
              <w:right w:type="dxa" w:w="120"/>
            </w:tcMar>
          </w:tcPr>
          <w:p>
            <w:pPr>
              <w:jc w:val="left"/>
            </w:pPr>
            <w:r>
              <w:rPr>
                <w:b/>
                <w:bCs/>
                <w:color w:val="FFFFFF"/>
                <w:sz w:val="19"/>
                <w:szCs w:val="19"/>
              </w:rPr>
              <w:t xml:space="preserve">Recall</w:t>
            </w:r>
          </w:p>
        </w:tc>
        <w:tc>
          <w:tcPr>
            <w:tcW w:type="dxa" w:w="1814"/>
            <w:shd w:fill="1F3864" w:val="clear"/>
            <w:tcMar>
              <w:top w:type="dxa" w:w="80"/>
              <w:left w:type="dxa" w:w="120"/>
              <w:bottom w:type="dxa" w:w="80"/>
              <w:right w:type="dxa" w:w="120"/>
            </w:tcMar>
          </w:tcPr>
          <w:p>
            <w:pPr>
              <w:jc w:val="left"/>
            </w:pPr>
            <w:r>
              <w:rPr>
                <w:b/>
                <w:bCs/>
                <w:color w:val="FFFFFF"/>
                <w:sz w:val="19"/>
                <w:szCs w:val="19"/>
              </w:rPr>
              <w:t xml:space="preserve">F1-Score</w:t>
            </w:r>
          </w:p>
        </w:tc>
        <w:tc>
          <w:tcPr>
            <w:tcW w:type="dxa" w:w="1613"/>
            <w:shd w:fill="1F3864" w:val="clear"/>
            <w:tcMar>
              <w:top w:type="dxa" w:w="80"/>
              <w:left w:type="dxa" w:w="120"/>
              <w:bottom w:type="dxa" w:w="80"/>
              <w:right w:type="dxa" w:w="120"/>
            </w:tcMar>
          </w:tcPr>
          <w:p>
            <w:pPr>
              <w:jc w:val="left"/>
            </w:pPr>
            <w:r>
              <w:rPr>
                <w:b/>
                <w:bCs/>
                <w:color w:val="FFFFFF"/>
                <w:sz w:val="19"/>
                <w:szCs w:val="19"/>
              </w:rPr>
              <w:t xml:space="preserve">Support</w:t>
            </w:r>
          </w:p>
        </w:tc>
      </w:tr>
      <w:tr>
        <w:tc>
          <w:tcPr>
            <w:tcW w:type="dxa" w:w="3024"/>
            <w:shd w:fill="FFFFFF" w:val="clear"/>
            <w:tcMar>
              <w:top w:type="dxa" w:w="80"/>
              <w:left w:type="dxa" w:w="120"/>
              <w:bottom w:type="dxa" w:w="80"/>
              <w:right w:type="dxa" w:w="120"/>
            </w:tcMar>
          </w:tcPr>
          <w:p>
            <w:pPr>
              <w:jc w:val="left"/>
            </w:pPr>
            <w:r>
              <w:rPr>
                <w:b w:val="false"/>
                <w:bCs w:val="false"/>
                <w:color w:val="1A1A1A"/>
                <w:sz w:val="19"/>
                <w:szCs w:val="19"/>
              </w:rPr>
              <w:t xml:space="preserve">Critical</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0.97</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0.93</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0.95</w:t>
            </w:r>
          </w:p>
        </w:tc>
        <w:tc>
          <w:tcPr>
            <w:tcW w:type="dxa" w:w="1613"/>
            <w:shd w:fill="FFFFFF" w:val="clear"/>
            <w:tcMar>
              <w:top w:type="dxa" w:w="80"/>
              <w:left w:type="dxa" w:w="120"/>
              <w:bottom w:type="dxa" w:w="80"/>
              <w:right w:type="dxa" w:w="120"/>
            </w:tcMar>
          </w:tcPr>
          <w:p>
            <w:pPr>
              <w:jc w:val="left"/>
            </w:pPr>
            <w:r>
              <w:rPr>
                <w:b w:val="false"/>
                <w:bCs w:val="false"/>
                <w:color w:val="1A1A1A"/>
                <w:sz w:val="19"/>
                <w:szCs w:val="19"/>
              </w:rPr>
              <w:t xml:space="preserve">30</w:t>
            </w:r>
          </w:p>
        </w:tc>
      </w:tr>
      <w:tr>
        <w:tc>
          <w:tcPr>
            <w:tcW w:type="dxa" w:w="3024"/>
            <w:shd w:fill="EEF3F8" w:val="clear"/>
            <w:tcMar>
              <w:top w:type="dxa" w:w="80"/>
              <w:left w:type="dxa" w:w="120"/>
              <w:bottom w:type="dxa" w:w="80"/>
              <w:right w:type="dxa" w:w="120"/>
            </w:tcMar>
          </w:tcPr>
          <w:p>
            <w:pPr>
              <w:jc w:val="left"/>
            </w:pPr>
            <w:r>
              <w:rPr>
                <w:b w:val="false"/>
                <w:bCs w:val="false"/>
                <w:color w:val="1A1A1A"/>
                <w:sz w:val="19"/>
                <w:szCs w:val="19"/>
              </w:rPr>
              <w:t xml:space="preserve">Healthy</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1.00</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0.97</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0.99</w:t>
            </w:r>
          </w:p>
        </w:tc>
        <w:tc>
          <w:tcPr>
            <w:tcW w:type="dxa" w:w="1613"/>
            <w:shd w:fill="EEF3F8" w:val="clear"/>
            <w:tcMar>
              <w:top w:type="dxa" w:w="80"/>
              <w:left w:type="dxa" w:w="120"/>
              <w:bottom w:type="dxa" w:w="80"/>
              <w:right w:type="dxa" w:w="120"/>
            </w:tcMar>
          </w:tcPr>
          <w:p>
            <w:pPr>
              <w:jc w:val="left"/>
            </w:pPr>
            <w:r>
              <w:rPr>
                <w:b w:val="false"/>
                <w:bCs w:val="false"/>
                <w:color w:val="1A1A1A"/>
                <w:sz w:val="19"/>
                <w:szCs w:val="19"/>
              </w:rPr>
              <w:t xml:space="preserve">39</w:t>
            </w:r>
          </w:p>
        </w:tc>
      </w:tr>
      <w:tr>
        <w:tc>
          <w:tcPr>
            <w:tcW w:type="dxa" w:w="3024"/>
            <w:shd w:fill="FFFFFF" w:val="clear"/>
            <w:tcMar>
              <w:top w:type="dxa" w:w="80"/>
              <w:left w:type="dxa" w:w="120"/>
              <w:bottom w:type="dxa" w:w="80"/>
              <w:right w:type="dxa" w:w="120"/>
            </w:tcMar>
          </w:tcPr>
          <w:p>
            <w:pPr>
              <w:jc w:val="left"/>
            </w:pPr>
            <w:r>
              <w:rPr>
                <w:b w:val="false"/>
                <w:bCs w:val="false"/>
                <w:color w:val="1A1A1A"/>
                <w:sz w:val="19"/>
                <w:szCs w:val="19"/>
              </w:rPr>
              <w:t xml:space="preserve">Warning</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0.95</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0.98</w:t>
            </w:r>
          </w:p>
        </w:tc>
        <w:tc>
          <w:tcPr>
            <w:tcW w:type="dxa" w:w="1814"/>
            <w:shd w:fill="FFFFFF" w:val="clear"/>
            <w:tcMar>
              <w:top w:type="dxa" w:w="80"/>
              <w:left w:type="dxa" w:w="120"/>
              <w:bottom w:type="dxa" w:w="80"/>
              <w:right w:type="dxa" w:w="120"/>
            </w:tcMar>
          </w:tcPr>
          <w:p>
            <w:pPr>
              <w:jc w:val="left"/>
            </w:pPr>
            <w:r>
              <w:rPr>
                <w:b w:val="false"/>
                <w:bCs w:val="false"/>
                <w:color w:val="1A1A1A"/>
                <w:sz w:val="19"/>
                <w:szCs w:val="19"/>
              </w:rPr>
              <w:t xml:space="preserve">0.96</w:t>
            </w:r>
          </w:p>
        </w:tc>
        <w:tc>
          <w:tcPr>
            <w:tcW w:type="dxa" w:w="1613"/>
            <w:shd w:fill="FFFFFF" w:val="clear"/>
            <w:tcMar>
              <w:top w:type="dxa" w:w="80"/>
              <w:left w:type="dxa" w:w="120"/>
              <w:bottom w:type="dxa" w:w="80"/>
              <w:right w:type="dxa" w:w="120"/>
            </w:tcMar>
          </w:tcPr>
          <w:p>
            <w:pPr>
              <w:jc w:val="left"/>
            </w:pPr>
            <w:r>
              <w:rPr>
                <w:b w:val="false"/>
                <w:bCs w:val="false"/>
                <w:color w:val="1A1A1A"/>
                <w:sz w:val="19"/>
                <w:szCs w:val="19"/>
              </w:rPr>
              <w:t xml:space="preserve">56</w:t>
            </w:r>
          </w:p>
        </w:tc>
      </w:tr>
      <w:tr>
        <w:tc>
          <w:tcPr>
            <w:tcW w:type="dxa" w:w="3024"/>
            <w:shd w:fill="EEF3F8" w:val="clear"/>
            <w:tcMar>
              <w:top w:type="dxa" w:w="80"/>
              <w:left w:type="dxa" w:w="120"/>
              <w:bottom w:type="dxa" w:w="80"/>
              <w:right w:type="dxa" w:w="120"/>
            </w:tcMar>
          </w:tcPr>
          <w:p>
            <w:pPr>
              <w:jc w:val="left"/>
            </w:pPr>
            <w:r>
              <w:rPr>
                <w:b w:val="false"/>
                <w:bCs w:val="false"/>
                <w:color w:val="1A1A1A"/>
                <w:sz w:val="19"/>
                <w:szCs w:val="19"/>
              </w:rPr>
              <w:t xml:space="preserve">Overall Accuracy</w:t>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
            </w:r>
          </w:p>
        </w:tc>
        <w:tc>
          <w:tcPr>
            <w:tcW w:type="dxa" w:w="1814"/>
            <w:shd w:fill="EEF3F8" w:val="clear"/>
            <w:tcMar>
              <w:top w:type="dxa" w:w="80"/>
              <w:left w:type="dxa" w:w="120"/>
              <w:bottom w:type="dxa" w:w="80"/>
              <w:right w:type="dxa" w:w="120"/>
            </w:tcMar>
          </w:tcPr>
          <w:p>
            <w:pPr>
              <w:jc w:val="left"/>
            </w:pPr>
            <w:r>
              <w:rPr>
                <w:b w:val="false"/>
                <w:bCs w:val="false"/>
                <w:color w:val="1A1A1A"/>
                <w:sz w:val="19"/>
                <w:szCs w:val="19"/>
              </w:rPr>
              <w:t xml:space="preserve">96.8%</w:t>
            </w:r>
          </w:p>
        </w:tc>
        <w:tc>
          <w:tcPr>
            <w:tcW w:type="dxa" w:w="1613"/>
            <w:shd w:fill="EEF3F8" w:val="clear"/>
            <w:tcMar>
              <w:top w:type="dxa" w:w="80"/>
              <w:left w:type="dxa" w:w="120"/>
              <w:bottom w:type="dxa" w:w="80"/>
              <w:right w:type="dxa" w:w="120"/>
            </w:tcMar>
          </w:tcPr>
          <w:p>
            <w:pPr>
              <w:jc w:val="left"/>
            </w:pPr>
            <w:r>
              <w:rPr>
                <w:b w:val="false"/>
                <w:bCs w:val="false"/>
                <w:color w:val="1A1A1A"/>
                <w:sz w:val="19"/>
                <w:szCs w:val="19"/>
              </w:rPr>
              <w:t xml:space="preserve">125</w:t>
            </w:r>
          </w:p>
        </w:tc>
      </w:tr>
    </w:tbl>
    <w:p>
      <w:pPr>
        <w:spacing w:after="80" w:before="120"/>
        <w:jc w:val="center"/>
      </w:pPr>
      <w:r>
        <w:drawing>
          <wp:inline distT="0" distB="0" distL="0" distR="0">
            <wp:extent cx="3333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3028950"/>
                    </a:xfrm>
                    <a:prstGeom prst="rect">
                      <a:avLst/>
                    </a:prstGeom>
                  </pic:spPr>
                </pic:pic>
              </a:graphicData>
            </a:graphic>
          </wp:inline>
        </w:drawing>
      </w:r>
    </w:p>
    <w:p>
      <w:pPr>
        <w:spacing w:after="300"/>
        <w:jc w:val="center"/>
      </w:pPr>
      <w:r>
        <w:rPr>
          <w:i/>
          <w:iCs/>
          <w:color w:val="666666"/>
          <w:sz w:val="19"/>
          <w:szCs w:val="19"/>
        </w:rPr>
        <w:t xml:space="preserve">Figure 4 — Confusion matrix on held-out test data (125 transformers). Only 4 of 125 were misclassified, and all misclassifications were to the adjacent severity tier — no Healthy unit was mistaken for Critical or vice-versa.</w:t>
      </w:r>
    </w:p>
    <w:p>
      <w:pPr>
        <w:pStyle w:val="Heading2"/>
        <w:spacing w:after="140" w:before="280"/>
      </w:pPr>
      <w:r>
        <w:rPr>
          <w:b/>
          <w:bCs/>
          <w:color w:val="2E6E9E"/>
          <w:sz w:val="24"/>
          <w:szCs w:val="24"/>
        </w:rPr>
        <w:t xml:space="preserve">Feature importance</w:t>
      </w:r>
    </w:p>
    <w:p>
      <w:pPr>
        <w:spacing w:after="80" w:before="12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143250"/>
                    </a:xfrm>
                    <a:prstGeom prst="rect">
                      <a:avLst/>
                    </a:prstGeom>
                  </pic:spPr>
                </pic:pic>
              </a:graphicData>
            </a:graphic>
          </wp:inline>
        </w:drawing>
      </w:r>
    </w:p>
    <w:p>
      <w:pPr>
        <w:spacing w:after="300"/>
        <w:jc w:val="center"/>
      </w:pPr>
      <w:r>
        <w:rPr>
          <w:i/>
          <w:iCs/>
          <w:color w:val="666666"/>
          <w:sz w:val="19"/>
          <w:szCs w:val="19"/>
        </w:rPr>
        <w:t xml:space="preserve">Figure 5 — Vibration, oil/winding temperature and dissolved gas are the dominant drivers the model relies on.</w:t>
      </w:r>
    </w:p>
    <w:p>
      <w:pPr>
        <w:spacing w:after="160" w:line="276"/>
      </w:pPr>
      <w:r>
        <w:rPr>
          <w:sz w:val="21"/>
          <w:szCs w:val="21"/>
        </w:rPr>
        <w:t xml:space="preserve">Vibration, oil and winding temperature, and dissolved gas together account for roughly two-thirds of the model's decision-making weight — consistent with standard transformer fault mechanisms (mechanical looseness, thermal overload, and internal arcing/overheating faults).</w:t>
      </w:r>
    </w:p>
    <w:p>
      <w:pPr>
        <w:spacing w:after="80" w:before="12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143250"/>
                    </a:xfrm>
                    <a:prstGeom prst="rect">
                      <a:avLst/>
                    </a:prstGeom>
                  </pic:spPr>
                </pic:pic>
              </a:graphicData>
            </a:graphic>
          </wp:inline>
        </w:drawing>
      </w:r>
    </w:p>
    <w:p>
      <w:pPr>
        <w:spacing w:after="300"/>
        <w:jc w:val="center"/>
      </w:pPr>
      <w:r>
        <w:rPr>
          <w:i/>
          <w:iCs/>
          <w:color w:val="666666"/>
          <w:sz w:val="19"/>
          <w:szCs w:val="19"/>
        </w:rPr>
        <w:t xml:space="preserve">Figure 6 — Dissolved gas vs. partial discharge, colored by health status. The two dielectric-condition indicators separate the classes almost as well as the full model on their own.</w:t>
      </w:r>
    </w:p>
    <w:p>
      <w:pPr>
        <w:pStyle w:val="Heading1"/>
        <w:pBdr>
          <w:bottom w:val="single" w:color="1F3864" w:sz="8" w:space="4"/>
        </w:pBdr>
        <w:spacing w:after="200" w:before="400"/>
      </w:pPr>
      <w:r>
        <w:rPr>
          <w:b/>
          <w:bCs/>
          <w:color w:val="1F3864"/>
          <w:sz w:val="30"/>
          <w:szCs w:val="30"/>
        </w:rPr>
        <w:t xml:space="preserve">7. Key Findings</w:t>
      </w:r>
    </w:p>
    <w:p>
      <w:pPr>
        <w:pStyle w:val="ListParagraph"/>
        <w:numPr>
          <w:ilvl w:val="0"/>
          <w:numId w:val="2"/>
        </w:numPr>
        <w:spacing w:after="80"/>
      </w:pPr>
      <w:r>
        <w:rPr>
          <w:sz w:val="21"/>
          <w:szCs w:val="21"/>
        </w:rPr>
        <w:t xml:space="preserve">Health_Status appears to be a composite condition score, most heavily driven by dissolved gas, vibration, and partial discharge — the three classic 'incipient fault' indicators in transformer diagnostics.</w:t>
      </w:r>
    </w:p>
    <w:p>
      <w:pPr>
        <w:pStyle w:val="ListParagraph"/>
        <w:numPr>
          <w:ilvl w:val="0"/>
          <w:numId w:val="2"/>
        </w:numPr>
        <w:spacing w:after="80"/>
      </w:pPr>
      <w:r>
        <w:rPr>
          <w:sz w:val="21"/>
          <w:szCs w:val="21"/>
        </w:rPr>
        <w:t xml:space="preserve">Age is a strong but not dominant factor: Critical-tier units average 25.4 years vs. 8.3 years for Healthy units, but some older units remain Healthy, meaning maintenance/loading history matters more than age alone.</w:t>
      </w:r>
    </w:p>
    <w:p>
      <w:pPr>
        <w:pStyle w:val="ListParagraph"/>
        <w:numPr>
          <w:ilvl w:val="0"/>
          <w:numId w:val="2"/>
        </w:numPr>
        <w:spacing w:after="80"/>
      </w:pPr>
      <w:r>
        <w:rPr>
          <w:sz w:val="21"/>
          <w:szCs w:val="21"/>
        </w:rPr>
        <w:t xml:space="preserve">Loading (Current/Load%) matters, but with clearly diminishing marginal signal — Warning and Critical units carry almost identical average load (73–76%), so load alone doesn't separate the two worst tiers; thermal and dielectric indicators do.</w:t>
      </w:r>
    </w:p>
    <w:p>
      <w:pPr>
        <w:pStyle w:val="ListParagraph"/>
        <w:numPr>
          <w:ilvl w:val="0"/>
          <w:numId w:val="2"/>
        </w:numPr>
        <w:spacing w:after="80"/>
      </w:pPr>
      <w:r>
        <w:rPr>
          <w:sz w:val="21"/>
          <w:szCs w:val="21"/>
        </w:rPr>
        <w:t xml:space="preserve">Oil level is the only parameter that falls with worsening health (96% → 89%), consistent with gasket/seal degradation accompanying older, more stressed units.</w:t>
      </w:r>
    </w:p>
    <w:p>
      <w:pPr>
        <w:pStyle w:val="ListParagraph"/>
        <w:numPr>
          <w:ilvl w:val="0"/>
          <w:numId w:val="2"/>
        </w:numPr>
        <w:spacing w:after="80"/>
      </w:pPr>
      <w:r>
        <w:rPr>
          <w:sz w:val="21"/>
          <w:szCs w:val="21"/>
        </w:rPr>
        <w:t xml:space="preserve">Cooling status (fan/pump running vs. normal) has very low predictive value (0.4% feature importance) — active cooling engagement is reactive to load, not a leading health indicator in this dataset.</w:t>
      </w:r>
    </w:p>
    <w:p>
      <w:pPr>
        <w:pStyle w:val="ListParagraph"/>
        <w:numPr>
          <w:ilvl w:val="0"/>
          <w:numId w:val="2"/>
        </w:numPr>
        <w:spacing w:after="80"/>
      </w:pPr>
      <w:r>
        <w:rPr>
          <w:sz w:val="21"/>
          <w:szCs w:val="21"/>
        </w:rPr>
        <w:t xml:space="preserve">A simple Random Forest model reaches 96.8% accuracy, indicating the sensor set is sufficient to automate tier classification for a real-time monitoring dashboard or alarm system.</w:t>
      </w:r>
    </w:p>
    <w:p>
      <w:pPr>
        <w:pStyle w:val="Heading1"/>
        <w:pBdr>
          <w:bottom w:val="single" w:color="1F3864" w:sz="8" w:space="4"/>
        </w:pBdr>
        <w:spacing w:after="200" w:before="400"/>
      </w:pPr>
      <w:r>
        <w:rPr>
          <w:b/>
          <w:bCs/>
          <w:color w:val="1F3864"/>
          <w:sz w:val="30"/>
          <w:szCs w:val="30"/>
        </w:rPr>
        <w:t xml:space="preserve">8. Recommendations</w:t>
      </w:r>
    </w:p>
    <w:p>
      <w:pPr>
        <w:pStyle w:val="Heading2"/>
        <w:spacing w:after="140" w:before="280"/>
      </w:pPr>
      <w:r>
        <w:rPr>
          <w:b/>
          <w:bCs/>
          <w:color w:val="2E6E9E"/>
          <w:sz w:val="24"/>
          <w:szCs w:val="24"/>
        </w:rPr>
        <w:t xml:space="preserve">Maintenance prioritization</w:t>
      </w:r>
    </w:p>
    <w:p>
      <w:pPr>
        <w:pStyle w:val="ListParagraph"/>
        <w:numPr>
          <w:ilvl w:val="0"/>
          <w:numId w:val="2"/>
        </w:numPr>
        <w:spacing w:after="80"/>
      </w:pPr>
      <w:r>
        <w:rPr>
          <w:sz w:val="21"/>
          <w:szCs w:val="21"/>
        </w:rPr>
        <w:t xml:space="preserve">Treat any transformer with rising Dissolved Gas or Partial Discharge trend as higher priority than one flagged purely on load or ambient temperature.</w:t>
      </w:r>
    </w:p>
    <w:p>
      <w:pPr>
        <w:pStyle w:val="ListParagraph"/>
        <w:numPr>
          <w:ilvl w:val="0"/>
          <w:numId w:val="2"/>
        </w:numPr>
        <w:spacing w:after="80"/>
      </w:pPr>
      <w:r>
        <w:rPr>
          <w:sz w:val="21"/>
          <w:szCs w:val="21"/>
        </w:rPr>
        <w:t xml:space="preserve">Investigate vibration anomalies promptly — it is the single strongest predictor in this dataset and often indicates core/winding looseness that will worsen under continued loading.</w:t>
      </w:r>
    </w:p>
    <w:p>
      <w:pPr>
        <w:pStyle w:val="ListParagraph"/>
        <w:numPr>
          <w:ilvl w:val="0"/>
          <w:numId w:val="2"/>
        </w:numPr>
        <w:spacing w:after="80"/>
      </w:pPr>
      <w:r>
        <w:rPr>
          <w:sz w:val="21"/>
          <w:szCs w:val="21"/>
        </w:rPr>
        <w:t xml:space="preserve">Cross-check moisture-in-oil readings with oil level — a falling oil level combined with rising moisture may indicate a seal/gasket leak allowing moisture ingress.</w:t>
      </w:r>
    </w:p>
    <w:p>
      <w:pPr>
        <w:pStyle w:val="Heading2"/>
        <w:spacing w:after="140" w:before="280"/>
      </w:pPr>
      <w:r>
        <w:rPr>
          <w:b/>
          <w:bCs/>
          <w:color w:val="2E6E9E"/>
          <w:sz w:val="24"/>
          <w:szCs w:val="24"/>
        </w:rPr>
        <w:t xml:space="preserve">For production deployment of a model like this</w:t>
      </w:r>
    </w:p>
    <w:p>
      <w:pPr>
        <w:pStyle w:val="ListParagraph"/>
        <w:numPr>
          <w:ilvl w:val="0"/>
          <w:numId w:val="2"/>
        </w:numPr>
        <w:spacing w:after="80"/>
      </w:pPr>
      <w:r>
        <w:rPr>
          <w:sz w:val="21"/>
          <w:szCs w:val="21"/>
        </w:rPr>
        <w:t xml:space="preserve">Validate the model against real (non-synthetic) DGA lab results before using it for automated alarms — dissolved gas sensors used for continuous online monitoring are typically less precise than laboratory DGA.</w:t>
      </w:r>
    </w:p>
    <w:p>
      <w:pPr>
        <w:pStyle w:val="ListParagraph"/>
        <w:numPr>
          <w:ilvl w:val="0"/>
          <w:numId w:val="2"/>
        </w:numPr>
        <w:spacing w:after="80"/>
      </w:pPr>
      <w:r>
        <w:rPr>
          <w:sz w:val="21"/>
          <w:szCs w:val="21"/>
        </w:rPr>
        <w:t xml:space="preserve">Add gas-by-gas breakdown (H2, CH4, C2H2, C2H4, C2H6, CO, CO2) if available — total dissolved gas alone cannot distinguish fault type (thermal vs. electrical vs. arcing), which matters for root-cause maintenance planning.</w:t>
      </w:r>
    </w:p>
    <w:p>
      <w:pPr>
        <w:pStyle w:val="ListParagraph"/>
        <w:numPr>
          <w:ilvl w:val="0"/>
          <w:numId w:val="2"/>
        </w:numPr>
        <w:spacing w:after="80"/>
      </w:pPr>
      <w:r>
        <w:rPr>
          <w:sz w:val="21"/>
          <w:szCs w:val="21"/>
        </w:rPr>
        <w:t xml:space="preserve">Track trends over time, not just snapshot values — a rate-of-change model (e.g., ppm/month gas generation rate) is generally a stronger early-warning indicator than absolute levels.</w:t>
      </w:r>
    </w:p>
    <w:p>
      <w:pPr>
        <w:pStyle w:val="Heading1"/>
        <w:pBdr>
          <w:bottom w:val="single" w:color="1F3864" w:sz="8" w:space="4"/>
        </w:pBdr>
        <w:spacing w:after="200" w:before="400"/>
      </w:pPr>
      <w:r>
        <w:rPr>
          <w:b/>
          <w:bCs/>
          <w:color w:val="1F3864"/>
          <w:sz w:val="30"/>
          <w:szCs w:val="30"/>
        </w:rPr>
        <w:t xml:space="preserve">9. Limitations</w:t>
      </w:r>
    </w:p>
    <w:p>
      <w:pPr>
        <w:pStyle w:val="ListParagraph"/>
        <w:numPr>
          <w:ilvl w:val="0"/>
          <w:numId w:val="2"/>
        </w:numPr>
        <w:spacing w:after="80"/>
      </w:pPr>
      <w:r>
        <w:rPr>
          <w:sz w:val="21"/>
          <w:szCs w:val="21"/>
        </w:rPr>
        <w:t xml:space="preserve">This is a snapshot dataset (one reading per transformer) with no timestamps, so trend/rate-of-change analysis — which is usually more diagnostic than absolute values in real DGA practice — could not be performed.</w:t>
      </w:r>
    </w:p>
    <w:p>
      <w:pPr>
        <w:pStyle w:val="ListParagraph"/>
        <w:numPr>
          <w:ilvl w:val="0"/>
          <w:numId w:val="2"/>
        </w:numPr>
        <w:spacing w:after="80"/>
      </w:pPr>
      <w:r>
        <w:rPr>
          <w:sz w:val="21"/>
          <w:szCs w:val="21"/>
        </w:rPr>
        <w:t xml:space="preserve">The exact rule or model originally used to assign Health_Status is not documented in the file; the interpretation above is inferred from the statistical relationships in the data.</w:t>
      </w:r>
    </w:p>
    <w:p>
      <w:pPr>
        <w:pStyle w:val="ListParagraph"/>
        <w:numPr>
          <w:ilvl w:val="0"/>
          <w:numId w:val="2"/>
        </w:numPr>
        <w:spacing w:after="80"/>
      </w:pPr>
      <w:r>
        <w:rPr>
          <w:sz w:val="21"/>
          <w:szCs w:val="21"/>
        </w:rPr>
        <w:t xml:space="preserve">Standard reference levels (IEEE C57.104, IEC 60076, etc.) are cited as general industry context for interpreting the trends, not as a certified assessment of these specific transformers.</w:t>
      </w:r>
    </w:p>
    <w:p>
      <w:pPr>
        <w:pStyle w:val="ListParagraph"/>
        <w:numPr>
          <w:ilvl w:val="0"/>
          <w:numId w:val="2"/>
        </w:numPr>
        <w:spacing w:after="80"/>
      </w:pPr>
      <w:r>
        <w:rPr>
          <w:sz w:val="21"/>
          <w:szCs w:val="21"/>
        </w:rPr>
        <w:t xml:space="preserve">Voltage is constant (11 kV) across all records, so this dataset represents a single voltage-class fleet, not a mixed-voltage system.</w:t>
      </w:r>
    </w:p>
    <w:p>
      <w:pPr>
        <w:pStyle w:val="Heading1"/>
        <w:pBdr>
          <w:bottom w:val="single" w:color="1F3864" w:sz="8" w:space="4"/>
        </w:pBdr>
        <w:spacing w:after="200" w:before="400"/>
      </w:pPr>
      <w:r>
        <w:rPr>
          <w:b/>
          <w:bCs/>
          <w:color w:val="1F3864"/>
          <w:sz w:val="30"/>
          <w:szCs w:val="30"/>
        </w:rPr>
        <w:t xml:space="preserve">10. Conclusion</w:t>
      </w:r>
    </w:p>
    <w:p>
      <w:pPr>
        <w:spacing w:after="160" w:line="276"/>
      </w:pPr>
      <w:r>
        <w:rPr>
          <w:sz w:val="21"/>
          <w:szCs w:val="21"/>
        </w:rPr>
        <w:t xml:space="preserve">This dataset is well-structured for predictive-maintenance analytics on a distribution transformer fleet. The health label is statistically well explained by thermal, dielectric, and mechanical sensor readings, with dissolved gas, vibration, and partial discharge as the dominant indicators — consistent with established transformer failure mechanisms. A Random Forest classifier reproduces the labeling with 96.8% accuracy, confirming the sensor set is sufficient for an automated health-scoring system. The main gap for real-world deployment is trend data over time and validated laboratory DGA cross-checks; on a single-snapshot basis, this dataset supports strong triage-level decision-making for maintenance prioritization.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Transformer Health Monitoring – Data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77bf536a699363e856e11399388c203d12476d.png"/><Relationship Id="rId10" Type="http://schemas.openxmlformats.org/officeDocument/2006/relationships/image" Target="media/a0e6c368bdcdfe9ce4a5532bb75d09d7731c35ae.png"/><Relationship Id="rId11" Type="http://schemas.openxmlformats.org/officeDocument/2006/relationships/image" Target="media/06e3a4a37317294ac135346ce94576d8b34ccadd.png"/><Relationship Id="rId12" Type="http://schemas.openxmlformats.org/officeDocument/2006/relationships/image" Target="media/e0864a8bb60fc91dc61f05bc8e3464d696ad9429.png"/><Relationship Id="rId13" Type="http://schemas.openxmlformats.org/officeDocument/2006/relationships/image" Target="media/52f4890509cbf96d3c638042b1fb5e98db1896fb.png"/><Relationship Id="rId14" Type="http://schemas.openxmlformats.org/officeDocument/2006/relationships/image" Target="media/5999ce9775943458b97db18f026e09d0417894f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2026-07-30T09:04:36.806Z</dcterms:created>
  <dcterms:modified xsi:type="dcterms:W3CDTF">2026-07-30T09:04:36.820Z</dcterms:modified>
</cp:coreProperties>
</file>

<file path=docProps/custom.xml><?xml version="1.0" encoding="utf-8"?>
<Properties xmlns="http://schemas.openxmlformats.org/officeDocument/2006/custom-properties" xmlns:vt="http://schemas.openxmlformats.org/officeDocument/2006/docPropsVTypes"/>
</file>