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F712" w14:textId="0E34D5E8" w:rsidR="00942238" w:rsidRDefault="00942238">
      <w:pPr>
        <w:rPr>
          <w:sz w:val="40"/>
          <w:szCs w:val="40"/>
          <w:lang w:val="en-US"/>
        </w:rPr>
      </w:pPr>
      <w:r w:rsidRPr="00942238">
        <w:rPr>
          <w:sz w:val="40"/>
          <w:szCs w:val="40"/>
          <w:lang w:val="en-US"/>
        </w:rPr>
        <w:t>Answer:</w:t>
      </w:r>
      <w:r w:rsidR="00706AB4">
        <w:rPr>
          <w:sz w:val="40"/>
          <w:szCs w:val="40"/>
          <w:lang w:val="en-US"/>
        </w:rPr>
        <w:t xml:space="preserve"> A</w:t>
      </w:r>
    </w:p>
    <w:p w14:paraId="13EBB5B8" w14:textId="3D9D9FC3" w:rsidR="00942238" w:rsidRPr="00A512D8" w:rsidRDefault="00942238">
      <w:pPr>
        <w:rPr>
          <w:rFonts w:cstheme="minorHAnsi"/>
          <w:sz w:val="28"/>
          <w:szCs w:val="28"/>
          <w:shd w:val="clear" w:color="auto" w:fill="FFFFFF"/>
        </w:rPr>
      </w:pPr>
      <w:r w:rsidRPr="00A512D8">
        <w:rPr>
          <w:rFonts w:cstheme="minorHAnsi"/>
          <w:sz w:val="28"/>
          <w:szCs w:val="28"/>
          <w:shd w:val="clear" w:color="auto" w:fill="FFFFFF"/>
        </w:rPr>
        <w:t>1. S</w:t>
      </w:r>
      <w:r w:rsidRPr="00A512D8">
        <w:rPr>
          <w:rFonts w:cstheme="minorHAnsi"/>
          <w:sz w:val="28"/>
          <w:szCs w:val="28"/>
          <w:shd w:val="clear" w:color="auto" w:fill="FFFFFF"/>
        </w:rPr>
        <w:t>enescent cells are common in </w:t>
      </w:r>
      <w:hyperlink r:id="rId7" w:tooltip="Skin" w:history="1">
        <w:r w:rsidRPr="00A512D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skin</w:t>
        </w:r>
      </w:hyperlink>
      <w:r w:rsidRPr="00A512D8">
        <w:rPr>
          <w:rFonts w:cstheme="minorHAnsi"/>
          <w:sz w:val="28"/>
          <w:szCs w:val="28"/>
          <w:shd w:val="clear" w:color="auto" w:fill="FFFFFF"/>
        </w:rPr>
        <w:t> and </w:t>
      </w:r>
      <w:hyperlink r:id="rId8" w:tooltip="Adipose tissue" w:history="1">
        <w:r w:rsidRPr="00A512D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adipose tissue</w:t>
        </w:r>
      </w:hyperlink>
      <w:r w:rsidRPr="00A512D8">
        <w:rPr>
          <w:rFonts w:cstheme="minorHAnsi"/>
          <w:sz w:val="28"/>
          <w:szCs w:val="28"/>
        </w:rPr>
        <w:t>.</w:t>
      </w:r>
    </w:p>
    <w:p w14:paraId="471AA563" w14:textId="21E215B6" w:rsidR="00942238" w:rsidRPr="00A512D8" w:rsidRDefault="00942238">
      <w:pPr>
        <w:rPr>
          <w:rFonts w:cstheme="minorHAnsi"/>
          <w:sz w:val="28"/>
          <w:szCs w:val="28"/>
          <w:shd w:val="clear" w:color="auto" w:fill="FFFFFF"/>
        </w:rPr>
      </w:pPr>
      <w:r w:rsidRPr="00A512D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A512D8">
        <w:rPr>
          <w:rFonts w:cstheme="minorHAnsi"/>
          <w:sz w:val="28"/>
          <w:szCs w:val="28"/>
          <w:shd w:val="clear" w:color="auto" w:fill="FFFFFF"/>
        </w:rPr>
        <w:t>Senescent cells are usually larger than non-senescent cells</w:t>
      </w:r>
      <w:r w:rsidRPr="00A512D8">
        <w:rPr>
          <w:rFonts w:cstheme="minorHAnsi"/>
          <w:sz w:val="28"/>
          <w:szCs w:val="28"/>
          <w:shd w:val="clear" w:color="auto" w:fill="FFFFFF"/>
        </w:rPr>
        <w:t>.</w:t>
      </w:r>
    </w:p>
    <w:p w14:paraId="58AA1349" w14:textId="64479E7B" w:rsidR="00942238" w:rsidRPr="00A512D8" w:rsidRDefault="00942238">
      <w:pPr>
        <w:rPr>
          <w:rFonts w:cstheme="minorHAnsi"/>
          <w:sz w:val="28"/>
          <w:szCs w:val="28"/>
          <w:shd w:val="clear" w:color="auto" w:fill="FFFFFF"/>
        </w:rPr>
      </w:pPr>
      <w:r w:rsidRPr="00A512D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A512D8">
        <w:rPr>
          <w:rFonts w:cstheme="minorHAnsi"/>
          <w:sz w:val="28"/>
          <w:szCs w:val="28"/>
          <w:shd w:val="clear" w:color="auto" w:fill="FFFFFF"/>
        </w:rPr>
        <w:t>Transformation of a dividing cell into a non-dividing senescent cell is a slow process that can take up to six weeks.</w:t>
      </w:r>
    </w:p>
    <w:p w14:paraId="2A97B485" w14:textId="17BF1E17" w:rsidR="00942238" w:rsidRPr="00A512D8" w:rsidRDefault="00942238">
      <w:pPr>
        <w:rPr>
          <w:rFonts w:cstheme="minorHAnsi"/>
          <w:sz w:val="28"/>
          <w:szCs w:val="28"/>
          <w:shd w:val="clear" w:color="auto" w:fill="FFFFFF"/>
        </w:rPr>
      </w:pPr>
      <w:r w:rsidRPr="00A512D8">
        <w:rPr>
          <w:rFonts w:cstheme="minorHAnsi"/>
          <w:sz w:val="28"/>
          <w:szCs w:val="28"/>
          <w:shd w:val="clear" w:color="auto" w:fill="FFFFFF"/>
        </w:rPr>
        <w:t>The </w:t>
      </w:r>
      <w:proofErr w:type="spellStart"/>
      <w:r w:rsidRPr="00A512D8">
        <w:rPr>
          <w:rFonts w:cstheme="minorHAnsi"/>
          <w:sz w:val="28"/>
          <w:szCs w:val="28"/>
        </w:rPr>
        <w:fldChar w:fldCharType="begin"/>
      </w:r>
      <w:r w:rsidRPr="00A512D8">
        <w:rPr>
          <w:rFonts w:cstheme="minorHAnsi"/>
          <w:sz w:val="28"/>
          <w:szCs w:val="28"/>
        </w:rPr>
        <w:instrText xml:space="preserve"> HYPERLINK "https://en.wikipedia.org/wiki/Secretome" \o "Secretome" </w:instrText>
      </w:r>
      <w:r w:rsidRPr="00A512D8">
        <w:rPr>
          <w:rFonts w:cstheme="minorHAnsi"/>
          <w:sz w:val="28"/>
          <w:szCs w:val="28"/>
        </w:rPr>
        <w:fldChar w:fldCharType="separate"/>
      </w:r>
      <w:r w:rsidRPr="00A512D8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FFFFF"/>
        </w:rPr>
        <w:t>secretome</w:t>
      </w:r>
      <w:proofErr w:type="spellEnd"/>
      <w:r w:rsidRPr="00A512D8">
        <w:rPr>
          <w:rFonts w:cstheme="minorHAnsi"/>
          <w:sz w:val="28"/>
          <w:szCs w:val="28"/>
        </w:rPr>
        <w:fldChar w:fldCharType="end"/>
      </w:r>
      <w:r w:rsidRPr="00A512D8">
        <w:rPr>
          <w:rFonts w:cstheme="minorHAnsi"/>
          <w:sz w:val="28"/>
          <w:szCs w:val="28"/>
          <w:shd w:val="clear" w:color="auto" w:fill="FFFFFF"/>
        </w:rPr>
        <w:t> of senescent </w:t>
      </w:r>
      <w:hyperlink r:id="rId9" w:tooltip="Cell (biology)" w:history="1">
        <w:r w:rsidRPr="00A512D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cells</w:t>
        </w:r>
      </w:hyperlink>
      <w:r w:rsidRPr="00A512D8">
        <w:rPr>
          <w:rFonts w:cstheme="minorHAnsi"/>
          <w:sz w:val="28"/>
          <w:szCs w:val="28"/>
          <w:shd w:val="clear" w:color="auto" w:fill="FFFFFF"/>
        </w:rPr>
        <w:t> is very complex.</w:t>
      </w:r>
    </w:p>
    <w:p w14:paraId="19F21979" w14:textId="77C7E483" w:rsidR="00942238" w:rsidRPr="00A512D8" w:rsidRDefault="00942238">
      <w:pPr>
        <w:rPr>
          <w:rFonts w:cstheme="minorHAnsi"/>
          <w:sz w:val="28"/>
          <w:szCs w:val="28"/>
          <w:shd w:val="clear" w:color="auto" w:fill="FFFFFF"/>
        </w:rPr>
      </w:pPr>
    </w:p>
    <w:p w14:paraId="4A966036" w14:textId="31D24B90" w:rsidR="00942238" w:rsidRPr="00A512D8" w:rsidRDefault="00942238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A512D8">
        <w:rPr>
          <w:rFonts w:cstheme="minorHAnsi"/>
          <w:sz w:val="28"/>
          <w:szCs w:val="28"/>
          <w:shd w:val="clear" w:color="auto" w:fill="FFFFFF"/>
        </w:rPr>
        <w:t xml:space="preserve">2. </w:t>
      </w:r>
      <w:r w:rsidRPr="00A512D8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Senescence-associated secretory phenotype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(</w:t>
      </w:r>
      <w:r w:rsidRPr="00A512D8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SASP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) is  </w:t>
      </w:r>
      <w:hyperlink r:id="rId10" w:tooltip="Phenotype" w:history="1">
        <w:r w:rsidRPr="00A512D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  <w:shd w:val="clear" w:color="auto" w:fill="FFFFFF"/>
          </w:rPr>
          <w:t>phenotype</w:t>
        </w:r>
      </w:hyperlink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associated with </w:t>
      </w:r>
      <w:hyperlink r:id="rId11" w:tooltip="Cellular senescence" w:history="1">
        <w:r w:rsidRPr="00A512D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  <w:shd w:val="clear" w:color="auto" w:fill="FFFFFF"/>
          </w:rPr>
          <w:t>senescent cells</w:t>
        </w:r>
      </w:hyperlink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wherein those cells secrete high levels of </w:t>
      </w:r>
      <w:hyperlink r:id="rId12" w:tooltip="Inflammatory cytokine" w:history="1">
        <w:r w:rsidRPr="00A512D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  <w:shd w:val="clear" w:color="auto" w:fill="FFFFFF"/>
          </w:rPr>
          <w:t>inflammatory cytokines</w:t>
        </w:r>
      </w:hyperlink>
      <w:r w:rsidRPr="00A512D8">
        <w:rPr>
          <w:rFonts w:ascii="Calibri" w:hAnsi="Calibri" w:cs="Calibri"/>
          <w:sz w:val="28"/>
          <w:szCs w:val="28"/>
          <w:shd w:val="clear" w:color="auto" w:fill="FFFFFF"/>
        </w:rPr>
        <w:t>, </w:t>
      </w:r>
      <w:hyperlink r:id="rId13" w:tooltip="Immune" w:history="1">
        <w:r w:rsidRPr="00A512D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  <w:shd w:val="clear" w:color="auto" w:fill="FFFFFF"/>
          </w:rPr>
          <w:t>immune</w:t>
        </w:r>
      </w:hyperlink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modulators, </w:t>
      </w:r>
      <w:hyperlink r:id="rId14" w:tooltip="Growth factor" w:history="1">
        <w:r w:rsidRPr="00A512D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  <w:shd w:val="clear" w:color="auto" w:fill="FFFFFF"/>
          </w:rPr>
          <w:t>growth factors</w:t>
        </w:r>
      </w:hyperlink>
      <w:r w:rsidRPr="00A512D8">
        <w:rPr>
          <w:rFonts w:ascii="Calibri" w:hAnsi="Calibri" w:cs="Calibri"/>
          <w:sz w:val="28"/>
          <w:szCs w:val="28"/>
          <w:shd w:val="clear" w:color="auto" w:fill="FFFFFF"/>
        </w:rPr>
        <w:t>, and </w:t>
      </w:r>
      <w:hyperlink r:id="rId15" w:tooltip="Protease" w:history="1">
        <w:r w:rsidRPr="00A512D8">
          <w:rPr>
            <w:rStyle w:val="Hyperlink"/>
            <w:rFonts w:ascii="Calibri" w:hAnsi="Calibri" w:cs="Calibri"/>
            <w:color w:val="auto"/>
            <w:sz w:val="28"/>
            <w:szCs w:val="28"/>
            <w:u w:val="none"/>
            <w:shd w:val="clear" w:color="auto" w:fill="FFFFFF"/>
          </w:rPr>
          <w:t>proteases</w:t>
        </w:r>
      </w:hyperlink>
      <w:r w:rsidRPr="00A512D8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14:paraId="6BA99AA4" w14:textId="12E2C6D1" w:rsidR="00A512D8" w:rsidRPr="00A512D8" w:rsidRDefault="00A512D8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A512D8">
        <w:rPr>
          <w:rFonts w:ascii="Calibri" w:hAnsi="Calibri" w:cs="Calibri"/>
          <w:sz w:val="28"/>
          <w:szCs w:val="28"/>
          <w:shd w:val="clear" w:color="auto" w:fill="FFFFFF"/>
        </w:rPr>
        <w:t>Senescent cells appear in the process of embryonic development and use </w:t>
      </w:r>
      <w:r w:rsidRPr="00A512D8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SASP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to act as a primary signal that triggers macrophage-mediated cell removal, which is necessary for the proper development of individual embryonic structures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14:paraId="053AE61A" w14:textId="7EC22990" w:rsidR="00A512D8" w:rsidRDefault="00A512D8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A512D8">
        <w:rPr>
          <w:rFonts w:ascii="Calibri" w:hAnsi="Calibri" w:cs="Calibri"/>
          <w:sz w:val="28"/>
          <w:szCs w:val="28"/>
          <w:shd w:val="clear" w:color="auto" w:fill="FFFFFF"/>
        </w:rPr>
        <w:t>On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one hand, </w:t>
      </w:r>
      <w:r w:rsidRPr="00A512D8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senescent cells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are thought to mediate tissue development when </w:t>
      </w:r>
      <w:r w:rsidRPr="00A512D8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they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 form in the embryo, and also to promote tissue regeneration and wound repair in later life</w:t>
      </w:r>
      <w:r w:rsidRPr="00A512D8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14:paraId="79C181D4" w14:textId="3DD1FC24" w:rsidR="00A512D8" w:rsidRDefault="00A512D8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03F1FB69" w14:textId="77777777" w:rsidR="00A512D8" w:rsidRDefault="00A512D8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3. </w:t>
      </w:r>
      <w:r w:rsidRPr="00A512D8">
        <w:rPr>
          <w:rFonts w:cstheme="minorHAnsi"/>
          <w:sz w:val="28"/>
          <w:szCs w:val="28"/>
          <w:shd w:val="clear" w:color="auto" w:fill="FFFFFF"/>
        </w:rPr>
        <w:t>A 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stem</w:t>
      </w:r>
      <w:r w:rsidRPr="00A512D8">
        <w:rPr>
          <w:rFonts w:cstheme="minorHAnsi"/>
          <w:sz w:val="28"/>
          <w:szCs w:val="28"/>
          <w:shd w:val="clear" w:color="auto" w:fill="FFFFFF"/>
        </w:rPr>
        <w:t>-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cell niche</w:t>
      </w:r>
      <w:r w:rsidRPr="00A512D8">
        <w:rPr>
          <w:rFonts w:cstheme="minorHAnsi"/>
          <w:sz w:val="28"/>
          <w:szCs w:val="28"/>
          <w:shd w:val="clear" w:color="auto" w:fill="FFFFFF"/>
        </w:rPr>
        <w:t> is an area of a tissue that provides a specific microenvironment, in which 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stem cells</w:t>
      </w:r>
      <w:r w:rsidRPr="00A512D8">
        <w:rPr>
          <w:rFonts w:cstheme="minorHAnsi"/>
          <w:sz w:val="28"/>
          <w:szCs w:val="28"/>
          <w:shd w:val="clear" w:color="auto" w:fill="FFFFFF"/>
        </w:rPr>
        <w:t> are present in an undifferentiated and self-renewable state. </w:t>
      </w:r>
    </w:p>
    <w:p w14:paraId="3BC2C719" w14:textId="7546A609" w:rsidR="00A512D8" w:rsidRDefault="00A512D8">
      <w:pPr>
        <w:rPr>
          <w:rFonts w:cstheme="minorHAnsi"/>
          <w:sz w:val="28"/>
          <w:szCs w:val="28"/>
          <w:shd w:val="clear" w:color="auto" w:fill="FFFFFF"/>
        </w:rPr>
      </w:pP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Cells</w:t>
      </w:r>
      <w:r w:rsidRPr="00A512D8">
        <w:rPr>
          <w:rFonts w:cstheme="minorHAnsi"/>
          <w:sz w:val="28"/>
          <w:szCs w:val="28"/>
          <w:shd w:val="clear" w:color="auto" w:fill="FFFFFF"/>
        </w:rPr>
        <w:t> of 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the stem</w:t>
      </w:r>
      <w:r w:rsidRPr="00A512D8">
        <w:rPr>
          <w:rFonts w:cstheme="minorHAnsi"/>
          <w:sz w:val="28"/>
          <w:szCs w:val="28"/>
          <w:shd w:val="clear" w:color="auto" w:fill="FFFFFF"/>
        </w:rPr>
        <w:t>-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cell niche</w:t>
      </w:r>
      <w:r w:rsidRPr="00A512D8">
        <w:rPr>
          <w:rFonts w:cstheme="minorHAnsi"/>
          <w:sz w:val="28"/>
          <w:szCs w:val="28"/>
          <w:shd w:val="clear" w:color="auto" w:fill="FFFFFF"/>
        </w:rPr>
        <w:t> interact with 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the stem cells</w:t>
      </w:r>
      <w:r w:rsidRPr="00A512D8">
        <w:rPr>
          <w:rFonts w:cstheme="minorHAnsi"/>
          <w:sz w:val="28"/>
          <w:szCs w:val="28"/>
          <w:shd w:val="clear" w:color="auto" w:fill="FFFFFF"/>
        </w:rPr>
        <w:t> to maintain them or promote </w:t>
      </w:r>
      <w:r w:rsidRPr="00A512D8">
        <w:rPr>
          <w:rFonts w:cstheme="minorHAnsi"/>
          <w:b/>
          <w:bCs/>
          <w:sz w:val="28"/>
          <w:szCs w:val="28"/>
          <w:shd w:val="clear" w:color="auto" w:fill="FFFFFF"/>
        </w:rPr>
        <w:t>their</w:t>
      </w:r>
      <w:r w:rsidRPr="00A512D8">
        <w:rPr>
          <w:rFonts w:cstheme="minorHAnsi"/>
          <w:sz w:val="28"/>
          <w:szCs w:val="28"/>
          <w:shd w:val="clear" w:color="auto" w:fill="FFFFFF"/>
        </w:rPr>
        <w:t> differentiation.</w:t>
      </w:r>
    </w:p>
    <w:p w14:paraId="325C9EA2" w14:textId="263E6DF7" w:rsidR="00A512D8" w:rsidRDefault="00A512D8">
      <w:pPr>
        <w:rPr>
          <w:rFonts w:cstheme="minorHAnsi"/>
          <w:sz w:val="28"/>
          <w:szCs w:val="28"/>
          <w:shd w:val="clear" w:color="auto" w:fill="FFFFFF"/>
        </w:rPr>
      </w:pPr>
    </w:p>
    <w:p w14:paraId="440D70A6" w14:textId="64BFCD9C" w:rsidR="00A512D8" w:rsidRDefault="00A512D8">
      <w:pPr>
        <w:rPr>
          <w:color w:val="000000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4. </w:t>
      </w:r>
      <w:r>
        <w:rPr>
          <w:color w:val="000000"/>
          <w:shd w:val="clear" w:color="auto" w:fill="FFFFFF"/>
        </w:rPr>
        <w:t> </w:t>
      </w:r>
      <w:r w:rsidRPr="00A512D8">
        <w:rPr>
          <w:sz w:val="28"/>
          <w:szCs w:val="28"/>
          <w:shd w:val="clear" w:color="auto" w:fill="FFFFFF"/>
        </w:rPr>
        <w:t xml:space="preserve">Therapeutic strategies that safely interfere with the detrimental effects of cellular senescence, such as the selective elimination of senescent cells (SNCs) or the disruption of the SNC </w:t>
      </w:r>
      <w:proofErr w:type="spellStart"/>
      <w:r w:rsidRPr="00A512D8">
        <w:rPr>
          <w:sz w:val="28"/>
          <w:szCs w:val="28"/>
          <w:shd w:val="clear" w:color="auto" w:fill="FFFFFF"/>
        </w:rPr>
        <w:t>secretome</w:t>
      </w:r>
      <w:proofErr w:type="spellEnd"/>
      <w:r w:rsidRPr="00A512D8">
        <w:rPr>
          <w:sz w:val="28"/>
          <w:szCs w:val="28"/>
          <w:shd w:val="clear" w:color="auto" w:fill="FFFFFF"/>
        </w:rPr>
        <w:t>, are gaining significant attention, with several programmes now nearing human clinical studies</w:t>
      </w:r>
      <w:r>
        <w:rPr>
          <w:color w:val="000000"/>
          <w:shd w:val="clear" w:color="auto" w:fill="FFFFFF"/>
        </w:rPr>
        <w:t>.</w:t>
      </w:r>
    </w:p>
    <w:p w14:paraId="2D3FB7B5" w14:textId="00777306" w:rsidR="00A512D8" w:rsidRDefault="00A512D8">
      <w:pPr>
        <w:rPr>
          <w:color w:val="000000"/>
          <w:shd w:val="clear" w:color="auto" w:fill="FFFFFF"/>
        </w:rPr>
      </w:pPr>
    </w:p>
    <w:p w14:paraId="01845F9C" w14:textId="00A3D09C" w:rsidR="00A512D8" w:rsidRDefault="00A512D8">
      <w:pPr>
        <w:rPr>
          <w:sz w:val="28"/>
          <w:szCs w:val="28"/>
        </w:rPr>
      </w:pPr>
      <w:r w:rsidRPr="006D7F27">
        <w:rPr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Pr="006D7F27">
        <w:rPr>
          <w:sz w:val="28"/>
          <w:szCs w:val="28"/>
        </w:rPr>
        <w:t xml:space="preserve"> </w:t>
      </w:r>
      <w:r w:rsidRPr="00A512D8">
        <w:rPr>
          <w:sz w:val="28"/>
          <w:szCs w:val="28"/>
        </w:rPr>
        <w:t>daf-2 mutants survive longer in a decrepit state because of a beneficial trait</w:t>
      </w:r>
      <w:r w:rsidR="006D7F27">
        <w:rPr>
          <w:sz w:val="28"/>
          <w:szCs w:val="28"/>
        </w:rPr>
        <w:t>. T</w:t>
      </w:r>
      <w:r w:rsidRPr="00A512D8">
        <w:rPr>
          <w:sz w:val="28"/>
          <w:szCs w:val="28"/>
        </w:rPr>
        <w:t>hey are resistant to colonization of the digestive tract by dietary bacteria, a condition that leads to premature death in the wildtype and prevents their manifestation of decrepitude. If bacterial colonization is prevented, then daf-2 mutants lead both chronologically and proportionately healthier lives relative to the wild-type.</w:t>
      </w:r>
    </w:p>
    <w:p w14:paraId="2786AE91" w14:textId="74E3A580" w:rsidR="006D7F27" w:rsidRDefault="006D7F27">
      <w:pPr>
        <w:rPr>
          <w:sz w:val="28"/>
          <w:szCs w:val="28"/>
        </w:rPr>
      </w:pPr>
    </w:p>
    <w:p w14:paraId="5C510703" w14:textId="0789F15E" w:rsidR="006D7F27" w:rsidRDefault="006D7F27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D7F27">
        <w:rPr>
          <w:sz w:val="28"/>
          <w:szCs w:val="28"/>
        </w:rPr>
        <w:t>Reactive oxygen species produced through peroxisomes are a main contributing factor to cell oxidative pressure, which is supposed to significantly boost up growing old and cellular death consistent with the free radical idea of getting old.</w:t>
      </w:r>
    </w:p>
    <w:p w14:paraId="1CFF6547" w14:textId="77777777" w:rsidR="00A81455" w:rsidRDefault="00A81455">
      <w:pPr>
        <w:rPr>
          <w:sz w:val="28"/>
          <w:szCs w:val="28"/>
        </w:rPr>
      </w:pPr>
    </w:p>
    <w:p w14:paraId="64CE4E68" w14:textId="0CDD0F51" w:rsidR="006D7F27" w:rsidRDefault="006D7F27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A81455" w:rsidRPr="00A81455">
        <w:t xml:space="preserve"> </w:t>
      </w:r>
      <w:r w:rsidR="00A81455" w:rsidRPr="00A81455">
        <w:rPr>
          <w:sz w:val="28"/>
          <w:szCs w:val="28"/>
        </w:rPr>
        <w:t>Within the TOR pathway, mTOR protein kinase is located in two discrete complexes, both includes protein additives, which phosphorylates different substrates. Rapamycin, is a molecule which inhibits any such complexes can increase lifespan.</w:t>
      </w:r>
    </w:p>
    <w:p w14:paraId="17A14496" w14:textId="77777777" w:rsidR="00A81455" w:rsidRDefault="00A81455">
      <w:pPr>
        <w:rPr>
          <w:sz w:val="28"/>
          <w:szCs w:val="28"/>
        </w:rPr>
      </w:pPr>
    </w:p>
    <w:p w14:paraId="15990EBD" w14:textId="6513F8DE" w:rsidR="006D7F27" w:rsidRDefault="006D7F27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6D7F27">
        <w:rPr>
          <w:sz w:val="28"/>
          <w:szCs w:val="28"/>
        </w:rPr>
        <w:t>With recent findings that deletion of the m</w:t>
      </w:r>
      <w:r>
        <w:rPr>
          <w:sz w:val="28"/>
          <w:szCs w:val="28"/>
        </w:rPr>
        <w:t>TOR</w:t>
      </w:r>
      <w:r w:rsidRPr="006D7F27">
        <w:rPr>
          <w:sz w:val="28"/>
          <w:szCs w:val="28"/>
        </w:rPr>
        <w:t xml:space="preserve"> substrate </w:t>
      </w:r>
      <w:r>
        <w:rPr>
          <w:sz w:val="28"/>
          <w:szCs w:val="28"/>
        </w:rPr>
        <w:t>S</w:t>
      </w:r>
      <w:r w:rsidRPr="006D7F27">
        <w:rPr>
          <w:sz w:val="28"/>
          <w:szCs w:val="28"/>
        </w:rPr>
        <w:t>6</w:t>
      </w:r>
      <w:r>
        <w:rPr>
          <w:sz w:val="28"/>
          <w:szCs w:val="28"/>
        </w:rPr>
        <w:t>K</w:t>
      </w:r>
      <w:r w:rsidRPr="006D7F27">
        <w:rPr>
          <w:sz w:val="28"/>
          <w:szCs w:val="28"/>
        </w:rPr>
        <w:t>1 or publicity of mice to the m</w:t>
      </w:r>
      <w:r>
        <w:rPr>
          <w:sz w:val="28"/>
          <w:szCs w:val="28"/>
        </w:rPr>
        <w:t>TOR</w:t>
      </w:r>
      <w:r w:rsidRPr="006D7F27">
        <w:rPr>
          <w:sz w:val="28"/>
          <w:szCs w:val="28"/>
        </w:rPr>
        <w:t xml:space="preserve"> inhibitor rapamycin bring about lifespan extension</w:t>
      </w:r>
      <w:r>
        <w:rPr>
          <w:sz w:val="28"/>
          <w:szCs w:val="28"/>
        </w:rPr>
        <w:t>.</w:t>
      </w:r>
    </w:p>
    <w:p w14:paraId="609C2192" w14:textId="58558A76" w:rsidR="006D7F27" w:rsidRDefault="006D7F27">
      <w:pPr>
        <w:rPr>
          <w:sz w:val="28"/>
          <w:szCs w:val="28"/>
        </w:rPr>
      </w:pPr>
    </w:p>
    <w:p w14:paraId="640B9AFE" w14:textId="64ADBC8A" w:rsidR="006D7F27" w:rsidRDefault="006D7F27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6D7F27">
        <w:t xml:space="preserve"> </w:t>
      </w:r>
      <w:r w:rsidRPr="006D7F27">
        <w:rPr>
          <w:sz w:val="28"/>
          <w:szCs w:val="28"/>
        </w:rPr>
        <w:t xml:space="preserve">Pathophysiology. The widely known version of bronchiectasis is </w:t>
      </w:r>
      <w:proofErr w:type="spellStart"/>
      <w:r w:rsidRPr="006D7F27">
        <w:rPr>
          <w:sz w:val="28"/>
          <w:szCs w:val="28"/>
        </w:rPr>
        <w:t>cole's</w:t>
      </w:r>
      <w:proofErr w:type="spellEnd"/>
      <w:r w:rsidRPr="006D7F27">
        <w:rPr>
          <w:sz w:val="28"/>
          <w:szCs w:val="28"/>
        </w:rPr>
        <w:t xml:space="preserve"> 'vicious cycle hypothesis'. It is proposed that an environmental insult, on a history of genetic susceptibility or disorder in host defence, unleashes a sequence of occasions main to progressive bronchial wall destruction and dilatation</w:t>
      </w:r>
      <w:r>
        <w:rPr>
          <w:sz w:val="28"/>
          <w:szCs w:val="28"/>
        </w:rPr>
        <w:t>.</w:t>
      </w:r>
    </w:p>
    <w:p w14:paraId="7826D4A5" w14:textId="04B8A7F8" w:rsidR="006D7F27" w:rsidRDefault="006D7F27">
      <w:pPr>
        <w:rPr>
          <w:sz w:val="28"/>
          <w:szCs w:val="28"/>
        </w:rPr>
      </w:pPr>
    </w:p>
    <w:p w14:paraId="3B108978" w14:textId="571AADD6" w:rsidR="006D7F27" w:rsidRDefault="006D7F27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6D7F27">
        <w:rPr>
          <w:sz w:val="28"/>
          <w:szCs w:val="28"/>
        </w:rPr>
        <w:t xml:space="preserve">Severe studies have tested that senescent cells, which might be characterized by means of sustained cell cycle arrest and manufacturing of senescence-related secretory phenotype, gather with age and at sites of age-related illnesses at some point of the body, wherein they actively promote tissue deterioration. Cells with functions of senescence had been detected </w:t>
      </w:r>
      <w:r w:rsidRPr="006D7F27">
        <w:rPr>
          <w:sz w:val="28"/>
          <w:szCs w:val="28"/>
        </w:rPr>
        <w:lastRenderedPageBreak/>
        <w:t>inside the context of brain aging and neurodegenerative sickness, suggesting that they will additionally promote disorder.</w:t>
      </w:r>
    </w:p>
    <w:p w14:paraId="5E6EBFB8" w14:textId="77777777" w:rsidR="006D7F27" w:rsidRDefault="006D7F27">
      <w:pPr>
        <w:rPr>
          <w:sz w:val="28"/>
          <w:szCs w:val="28"/>
        </w:rPr>
      </w:pPr>
    </w:p>
    <w:p w14:paraId="3BFDB1DD" w14:textId="1B529634" w:rsidR="006D7F27" w:rsidRDefault="00706AB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B</w:t>
      </w:r>
    </w:p>
    <w:p w14:paraId="4A58FE2A" w14:textId="683419E4" w:rsidR="00706AB4" w:rsidRDefault="00706AB4">
      <w:pPr>
        <w:rPr>
          <w:sz w:val="28"/>
          <w:szCs w:val="28"/>
        </w:rPr>
      </w:pPr>
      <w:r w:rsidRPr="00706AB4">
        <w:rPr>
          <w:rFonts w:cstheme="minorHAnsi"/>
          <w:sz w:val="28"/>
          <w:szCs w:val="28"/>
          <w:lang w:val="en-US"/>
        </w:rPr>
        <w:t>1.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706AB4">
        <w:rPr>
          <w:sz w:val="28"/>
          <w:szCs w:val="28"/>
        </w:rPr>
        <w:t xml:space="preserve">Mainly in metabolism and aging, the mammalian </w:t>
      </w:r>
      <w:proofErr w:type="spellStart"/>
      <w:r w:rsidRPr="00706AB4">
        <w:rPr>
          <w:sz w:val="28"/>
          <w:szCs w:val="28"/>
        </w:rPr>
        <w:t>sirtuin</w:t>
      </w:r>
      <w:proofErr w:type="spellEnd"/>
      <w:r w:rsidRPr="00706AB4">
        <w:rPr>
          <w:sz w:val="28"/>
          <w:szCs w:val="28"/>
        </w:rPr>
        <w:t xml:space="preserve"> protein family (SIRT1–SIRT7) regulates mitochondrial function and enhances stem cell survival. </w:t>
      </w:r>
      <w:proofErr w:type="spellStart"/>
      <w:r w:rsidRPr="00706AB4">
        <w:rPr>
          <w:sz w:val="28"/>
          <w:szCs w:val="28"/>
        </w:rPr>
        <w:t>Sirtuins</w:t>
      </w:r>
      <w:proofErr w:type="spellEnd"/>
      <w:r w:rsidRPr="00706AB4">
        <w:rPr>
          <w:sz w:val="28"/>
          <w:szCs w:val="28"/>
        </w:rPr>
        <w:t xml:space="preserve"> deacetylate histones and several transcriptional regulators in the </w:t>
      </w:r>
      <w:r w:rsidRPr="00706AB4">
        <w:rPr>
          <w:sz w:val="28"/>
          <w:szCs w:val="28"/>
          <w:u w:val="single"/>
        </w:rPr>
        <w:t>nucleus</w:t>
      </w:r>
      <w:r w:rsidRPr="00706AB4">
        <w:rPr>
          <w:sz w:val="28"/>
          <w:szCs w:val="28"/>
        </w:rPr>
        <w:t xml:space="preserve"> in cellular compartments</w:t>
      </w:r>
      <w:r w:rsidRPr="00706AB4">
        <w:rPr>
          <w:sz w:val="28"/>
          <w:szCs w:val="28"/>
        </w:rPr>
        <w:t>.</w:t>
      </w:r>
    </w:p>
    <w:p w14:paraId="31D22B6D" w14:textId="77777777" w:rsidR="00706AB4" w:rsidRDefault="00706AB4">
      <w:pPr>
        <w:rPr>
          <w:sz w:val="28"/>
          <w:szCs w:val="28"/>
        </w:rPr>
      </w:pPr>
    </w:p>
    <w:p w14:paraId="204CD570" w14:textId="66D8C824" w:rsidR="00706AB4" w:rsidRDefault="00706AB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06AB4">
        <w:rPr>
          <w:sz w:val="28"/>
          <w:szCs w:val="28"/>
        </w:rPr>
        <w:t xml:space="preserve">Reactive oxygen species (ROS) and nitric oxide (NO) </w:t>
      </w:r>
      <w:r w:rsidRPr="00706AB4">
        <w:rPr>
          <w:sz w:val="28"/>
          <w:szCs w:val="28"/>
        </w:rPr>
        <w:t>are</w:t>
      </w:r>
      <w:r w:rsidRPr="00706AB4">
        <w:rPr>
          <w:sz w:val="28"/>
          <w:szCs w:val="28"/>
        </w:rPr>
        <w:t xml:space="preserve"> important regulators in HSC aging. The accumulation of ROS in aged cells induces FOXO depletion, NF-</w:t>
      </w:r>
      <w:proofErr w:type="spellStart"/>
      <w:r w:rsidRPr="00706AB4">
        <w:rPr>
          <w:sz w:val="28"/>
          <w:szCs w:val="28"/>
        </w:rPr>
        <w:t>jB</w:t>
      </w:r>
      <w:proofErr w:type="spellEnd"/>
      <w:r w:rsidRPr="00706AB4">
        <w:rPr>
          <w:sz w:val="28"/>
          <w:szCs w:val="28"/>
        </w:rPr>
        <w:t xml:space="preserve"> activation, p38-mTOR activation, telomere shortening, DNA damage, and mitochondrial dysfunction. Insulin and IGF activate the PI3K-Akt </w:t>
      </w:r>
      <w:proofErr w:type="spellStart"/>
      <w:r w:rsidRPr="00706AB4">
        <w:rPr>
          <w:sz w:val="28"/>
          <w:szCs w:val="28"/>
        </w:rPr>
        <w:t>signaling</w:t>
      </w:r>
      <w:proofErr w:type="spellEnd"/>
      <w:r w:rsidRPr="00706AB4">
        <w:rPr>
          <w:sz w:val="28"/>
          <w:szCs w:val="28"/>
        </w:rPr>
        <w:t xml:space="preserve"> pathway and phosphorylate FOXO, followed by inhibition of the expression of the anti-oxidant N-acetyl-L-cysteine. After oxidative stress, HSCs increase NO levels, which results in loss of self-renewal, abnormal proliferation, and malignancy</w:t>
      </w:r>
      <w:r w:rsidRPr="00706AB4">
        <w:rPr>
          <w:sz w:val="28"/>
          <w:szCs w:val="28"/>
        </w:rPr>
        <w:t>.</w:t>
      </w:r>
    </w:p>
    <w:p w14:paraId="2582FB3A" w14:textId="77777777" w:rsidR="00706AB4" w:rsidRDefault="00706AB4">
      <w:pPr>
        <w:rPr>
          <w:sz w:val="28"/>
          <w:szCs w:val="28"/>
        </w:rPr>
      </w:pPr>
    </w:p>
    <w:p w14:paraId="0AED248B" w14:textId="6107B1D8" w:rsidR="00706AB4" w:rsidRDefault="00706AB4">
      <w:pPr>
        <w:rPr>
          <w:rFonts w:cstheme="minorHAnsi"/>
          <w:sz w:val="28"/>
          <w:szCs w:val="28"/>
          <w:shd w:val="clear" w:color="auto" w:fill="FCFCFC"/>
        </w:rPr>
      </w:pPr>
      <w:r>
        <w:rPr>
          <w:sz w:val="28"/>
          <w:szCs w:val="28"/>
        </w:rPr>
        <w:t>3</w:t>
      </w:r>
      <w:r w:rsidRPr="00706AB4">
        <w:rPr>
          <w:rFonts w:cstheme="minorHAnsi"/>
          <w:sz w:val="28"/>
          <w:szCs w:val="28"/>
        </w:rPr>
        <w:t xml:space="preserve">. </w:t>
      </w:r>
      <w:r w:rsidRPr="00706AB4">
        <w:rPr>
          <w:rFonts w:cstheme="minorHAnsi"/>
          <w:sz w:val="28"/>
          <w:szCs w:val="28"/>
          <w:u w:val="single"/>
          <w:shd w:val="clear" w:color="auto" w:fill="FCFCFC"/>
        </w:rPr>
        <w:t>Lysosomal</w:t>
      </w:r>
      <w:r w:rsidRPr="00706AB4">
        <w:rPr>
          <w:rFonts w:cstheme="minorHAnsi"/>
          <w:sz w:val="28"/>
          <w:szCs w:val="28"/>
          <w:shd w:val="clear" w:color="auto" w:fill="FCFCFC"/>
        </w:rPr>
        <w:t xml:space="preserve"> </w:t>
      </w:r>
      <w:r w:rsidRPr="00706AB4">
        <w:rPr>
          <w:rFonts w:cstheme="minorHAnsi"/>
          <w:sz w:val="28"/>
          <w:szCs w:val="28"/>
          <w:shd w:val="clear" w:color="auto" w:fill="FCFCFC"/>
        </w:rPr>
        <w:t>dysfunction is implicated in several aging-related neurodegenerative diseases including Alzheimer’s, Parkinson’s, amyotrophic lateral sclerosis/frontotemporal dementia, and Huntington’s.</w:t>
      </w:r>
    </w:p>
    <w:p w14:paraId="7F3E896D" w14:textId="1D2B1243" w:rsidR="00706AB4" w:rsidRDefault="00706AB4">
      <w:pPr>
        <w:rPr>
          <w:rFonts w:cstheme="minorHAnsi"/>
          <w:sz w:val="28"/>
          <w:szCs w:val="28"/>
          <w:shd w:val="clear" w:color="auto" w:fill="FCFCFC"/>
        </w:rPr>
      </w:pPr>
    </w:p>
    <w:p w14:paraId="18684AF7" w14:textId="0D6A1B26" w:rsidR="00706AB4" w:rsidRDefault="00706AB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4. </w:t>
      </w:r>
      <w:r w:rsidR="00A81455" w:rsidRPr="00A81455">
        <w:rPr>
          <w:rFonts w:cstheme="minorHAnsi"/>
          <w:sz w:val="28"/>
          <w:szCs w:val="28"/>
          <w:shd w:val="clear" w:color="auto" w:fill="FFFFFF"/>
        </w:rPr>
        <w:t>The </w:t>
      </w:r>
      <w:r w:rsidR="00A81455" w:rsidRPr="00A81455">
        <w:rPr>
          <w:rFonts w:cstheme="minorHAnsi"/>
          <w:b/>
          <w:bCs/>
          <w:sz w:val="28"/>
          <w:szCs w:val="28"/>
          <w:shd w:val="clear" w:color="auto" w:fill="FFFFFF"/>
        </w:rPr>
        <w:t>stem cell</w:t>
      </w:r>
      <w:r w:rsidR="00A81455" w:rsidRPr="00A81455">
        <w:rPr>
          <w:rFonts w:cstheme="minorHAnsi"/>
          <w:sz w:val="28"/>
          <w:szCs w:val="28"/>
          <w:shd w:val="clear" w:color="auto" w:fill="FFFFFF"/>
        </w:rPr>
        <w:t> theory of </w:t>
      </w:r>
      <w:r w:rsidR="00A81455" w:rsidRPr="00A81455">
        <w:rPr>
          <w:rFonts w:cstheme="minorHAnsi"/>
          <w:b/>
          <w:bCs/>
          <w:sz w:val="28"/>
          <w:szCs w:val="28"/>
          <w:shd w:val="clear" w:color="auto" w:fill="FFFFFF"/>
        </w:rPr>
        <w:t>aging</w:t>
      </w:r>
      <w:r w:rsidR="00A81455" w:rsidRPr="00A81455">
        <w:rPr>
          <w:rFonts w:cstheme="minorHAnsi"/>
          <w:sz w:val="28"/>
          <w:szCs w:val="28"/>
          <w:shd w:val="clear" w:color="auto" w:fill="FFFFFF"/>
        </w:rPr>
        <w:t> postulates that the </w:t>
      </w:r>
      <w:r w:rsidR="00A81455" w:rsidRPr="00A81455">
        <w:rPr>
          <w:rFonts w:cstheme="minorHAnsi"/>
          <w:b/>
          <w:bCs/>
          <w:sz w:val="28"/>
          <w:szCs w:val="28"/>
          <w:shd w:val="clear" w:color="auto" w:fill="FFFFFF"/>
        </w:rPr>
        <w:t>aging</w:t>
      </w:r>
      <w:r w:rsidR="00A81455" w:rsidRPr="00A81455">
        <w:rPr>
          <w:rFonts w:cstheme="minorHAnsi"/>
          <w:sz w:val="28"/>
          <w:szCs w:val="28"/>
          <w:shd w:val="clear" w:color="auto" w:fill="FFFFFF"/>
        </w:rPr>
        <w:t> process is the result of the inability of various types of </w:t>
      </w:r>
      <w:r w:rsidR="00A81455" w:rsidRPr="00A81455">
        <w:rPr>
          <w:rFonts w:cstheme="minorHAnsi"/>
          <w:b/>
          <w:bCs/>
          <w:sz w:val="28"/>
          <w:szCs w:val="28"/>
          <w:shd w:val="clear" w:color="auto" w:fill="FFFFFF"/>
        </w:rPr>
        <w:t>stem cells</w:t>
      </w:r>
      <w:r w:rsidR="00A81455" w:rsidRPr="00A81455">
        <w:rPr>
          <w:rFonts w:cstheme="minorHAnsi"/>
          <w:sz w:val="28"/>
          <w:szCs w:val="28"/>
          <w:shd w:val="clear" w:color="auto" w:fill="FFFFFF"/>
        </w:rPr>
        <w:t> to continue to replenish the tissues of an organism with functional differentiated </w:t>
      </w:r>
      <w:r w:rsidR="00A81455" w:rsidRPr="00A81455">
        <w:rPr>
          <w:rFonts w:cstheme="minorHAnsi"/>
          <w:b/>
          <w:bCs/>
          <w:sz w:val="28"/>
          <w:szCs w:val="28"/>
          <w:shd w:val="clear" w:color="auto" w:fill="FFFFFF"/>
        </w:rPr>
        <w:t>cells</w:t>
      </w:r>
      <w:r w:rsidR="00A81455" w:rsidRPr="00A81455">
        <w:rPr>
          <w:rFonts w:cstheme="minorHAnsi"/>
          <w:sz w:val="28"/>
          <w:szCs w:val="28"/>
          <w:shd w:val="clear" w:color="auto" w:fill="FFFFFF"/>
        </w:rPr>
        <w:t> capable of maintaining that tissue's (or organ's) original function.</w:t>
      </w:r>
    </w:p>
    <w:p w14:paraId="3AA03721" w14:textId="2F6FBAEA" w:rsidR="00A81455" w:rsidRDefault="00A81455">
      <w:pPr>
        <w:rPr>
          <w:rFonts w:cstheme="minorHAnsi"/>
          <w:sz w:val="28"/>
          <w:szCs w:val="28"/>
          <w:shd w:val="clear" w:color="auto" w:fill="FFFFFF"/>
        </w:rPr>
      </w:pPr>
    </w:p>
    <w:p w14:paraId="6C62793F" w14:textId="4CB55768" w:rsidR="00A81455" w:rsidRDefault="00A81455">
      <w:pPr>
        <w:rPr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5. </w:t>
      </w:r>
      <w:r w:rsidRPr="00A81455">
        <w:rPr>
          <w:sz w:val="28"/>
          <w:szCs w:val="28"/>
        </w:rPr>
        <w:t>Age-related changes in systemic factors, intracellular signa</w:t>
      </w:r>
      <w:r>
        <w:rPr>
          <w:sz w:val="28"/>
          <w:szCs w:val="28"/>
        </w:rPr>
        <w:t>l</w:t>
      </w:r>
      <w:r w:rsidRPr="00A81455">
        <w:rPr>
          <w:sz w:val="28"/>
          <w:szCs w:val="28"/>
        </w:rPr>
        <w:t xml:space="preserve">ling pathways, and cell cycle controlling molecules also seem to be implicated in HSC self-renewal and differentiation diversity. TGF-b1 enhances myeloid differentiation </w:t>
      </w:r>
      <w:r w:rsidRPr="00A81455">
        <w:rPr>
          <w:sz w:val="28"/>
          <w:szCs w:val="28"/>
        </w:rPr>
        <w:lastRenderedPageBreak/>
        <w:t>rather than lymphoid differentiation, and the chromatin regulator Satb1, which is induced during lymphoid differentiation, decrease in aged HSCs</w:t>
      </w:r>
      <w:r>
        <w:rPr>
          <w:sz w:val="28"/>
          <w:szCs w:val="28"/>
        </w:rPr>
        <w:t>.</w:t>
      </w:r>
    </w:p>
    <w:p w14:paraId="63E720F2" w14:textId="34E7E0E5" w:rsidR="00A81455" w:rsidRDefault="00A81455">
      <w:pPr>
        <w:rPr>
          <w:sz w:val="28"/>
          <w:szCs w:val="28"/>
        </w:rPr>
      </w:pPr>
    </w:p>
    <w:p w14:paraId="415AC6B1" w14:textId="0DB448BE" w:rsidR="00706AB4" w:rsidRDefault="00A81455">
      <w:pPr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6. </w:t>
      </w:r>
      <w:r w:rsidRPr="00A81455">
        <w:rPr>
          <w:rFonts w:cstheme="minorHAnsi"/>
          <w:sz w:val="28"/>
          <w:szCs w:val="28"/>
          <w:shd w:val="clear" w:color="auto" w:fill="FFFFFF"/>
        </w:rPr>
        <w:t xml:space="preserve">The well‐established abilities of peroxisomes to oxidize fatty acids to acetyl‐coenzyme A (CoA) and to use it then in </w:t>
      </w:r>
      <w:proofErr w:type="spellStart"/>
      <w:r w:rsidRPr="00A81455">
        <w:rPr>
          <w:rFonts w:cstheme="minorHAnsi"/>
          <w:sz w:val="28"/>
          <w:szCs w:val="28"/>
          <w:shd w:val="clear" w:color="auto" w:fill="FFFFFF"/>
        </w:rPr>
        <w:t>anaplerotic</w:t>
      </w:r>
      <w:proofErr w:type="spellEnd"/>
      <w:r w:rsidRPr="00A81455">
        <w:rPr>
          <w:rFonts w:cstheme="minorHAnsi"/>
          <w:sz w:val="28"/>
          <w:szCs w:val="28"/>
          <w:shd w:val="clear" w:color="auto" w:fill="FFFFFF"/>
        </w:rPr>
        <w:t xml:space="preserve"> reactions to replenish tricarboxylic acid (TCA) cycle intermediates destined for mitochondria are integrated into several longevity regulation pathways within a cell.</w:t>
      </w:r>
    </w:p>
    <w:p w14:paraId="58575433" w14:textId="294604B1" w:rsidR="00A81455" w:rsidRDefault="00A81455">
      <w:pPr>
        <w:rPr>
          <w:rFonts w:cstheme="minorHAnsi"/>
          <w:sz w:val="28"/>
          <w:szCs w:val="28"/>
          <w:shd w:val="clear" w:color="auto" w:fill="FFFFFF"/>
        </w:rPr>
      </w:pPr>
    </w:p>
    <w:p w14:paraId="7E2EBDCF" w14:textId="77777777" w:rsidR="00A81455" w:rsidRDefault="00A81455">
      <w:pPr>
        <w:rPr>
          <w:rFonts w:cstheme="minorHAnsi"/>
          <w:sz w:val="28"/>
          <w:szCs w:val="28"/>
          <w:shd w:val="clear" w:color="auto" w:fill="FCFCFC"/>
        </w:rPr>
      </w:pPr>
    </w:p>
    <w:p w14:paraId="3ABF5174" w14:textId="32E39FB9" w:rsidR="00706AB4" w:rsidRDefault="00094D4E">
      <w:pPr>
        <w:rPr>
          <w:rFonts w:cstheme="minorHAnsi"/>
          <w:sz w:val="36"/>
          <w:szCs w:val="36"/>
          <w:lang w:val="en-US"/>
        </w:rPr>
      </w:pPr>
      <w:r w:rsidRPr="00094D4E">
        <w:rPr>
          <w:rFonts w:cstheme="minorHAnsi"/>
          <w:sz w:val="36"/>
          <w:szCs w:val="36"/>
          <w:lang w:val="en-US"/>
        </w:rPr>
        <w:t>C</w:t>
      </w:r>
    </w:p>
    <w:p w14:paraId="5511BCC0" w14:textId="77777777" w:rsidR="00094D4E" w:rsidRDefault="00094D4E">
      <w:pPr>
        <w:rPr>
          <w:sz w:val="28"/>
          <w:szCs w:val="28"/>
        </w:rPr>
      </w:pPr>
      <w:r w:rsidRPr="00094D4E">
        <w:rPr>
          <w:rFonts w:cstheme="minorHAnsi"/>
          <w:sz w:val="28"/>
          <w:szCs w:val="28"/>
          <w:lang w:val="en-US"/>
        </w:rPr>
        <w:t>1.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94D4E">
        <w:rPr>
          <w:sz w:val="28"/>
          <w:szCs w:val="28"/>
        </w:rPr>
        <w:t xml:space="preserve">Mutations in the </w:t>
      </w:r>
      <w:proofErr w:type="spellStart"/>
      <w:r w:rsidRPr="00094D4E">
        <w:rPr>
          <w:sz w:val="28"/>
          <w:szCs w:val="28"/>
        </w:rPr>
        <w:t>lamin</w:t>
      </w:r>
      <w:proofErr w:type="spellEnd"/>
      <w:r w:rsidRPr="00094D4E">
        <w:rPr>
          <w:sz w:val="28"/>
          <w:szCs w:val="28"/>
        </w:rPr>
        <w:t xml:space="preserve"> A gene (LMNA) as the genetic cause of the segmental premature aging disease</w:t>
      </w:r>
      <w:r>
        <w:rPr>
          <w:sz w:val="28"/>
          <w:szCs w:val="28"/>
        </w:rPr>
        <w:t>.</w:t>
      </w:r>
    </w:p>
    <w:p w14:paraId="32E0DD58" w14:textId="2482FD46" w:rsidR="00094D4E" w:rsidRPr="00094D4E" w:rsidRDefault="00094D4E">
      <w:pPr>
        <w:rPr>
          <w:rFonts w:cstheme="minorHAnsi"/>
          <w:sz w:val="36"/>
          <w:szCs w:val="36"/>
          <w:lang w:val="en-US"/>
        </w:rPr>
      </w:pPr>
      <w:r w:rsidRPr="00094D4E">
        <w:rPr>
          <w:sz w:val="28"/>
          <w:szCs w:val="28"/>
        </w:rPr>
        <w:t xml:space="preserve">Activation of a cryptic splice site generates an aberrant form of </w:t>
      </w:r>
      <w:proofErr w:type="spellStart"/>
      <w:r w:rsidRPr="00094D4E">
        <w:rPr>
          <w:sz w:val="28"/>
          <w:szCs w:val="28"/>
        </w:rPr>
        <w:t>lamin</w:t>
      </w:r>
      <w:proofErr w:type="spellEnd"/>
      <w:r w:rsidRPr="00094D4E">
        <w:rPr>
          <w:sz w:val="28"/>
          <w:szCs w:val="28"/>
        </w:rPr>
        <w:t xml:space="preserve"> A, called </w:t>
      </w:r>
      <w:proofErr w:type="spellStart"/>
      <w:r w:rsidRPr="00094D4E">
        <w:rPr>
          <w:sz w:val="28"/>
          <w:szCs w:val="28"/>
        </w:rPr>
        <w:t>progerin</w:t>
      </w:r>
      <w:proofErr w:type="spellEnd"/>
      <w:r w:rsidRPr="00094D4E">
        <w:rPr>
          <w:sz w:val="28"/>
          <w:szCs w:val="28"/>
        </w:rPr>
        <w:t>, which is constitutively lipid-modified</w:t>
      </w:r>
    </w:p>
    <w:p w14:paraId="61735B70" w14:textId="77985341" w:rsidR="00094D4E" w:rsidRDefault="00094D4E">
      <w:pPr>
        <w:rPr>
          <w:sz w:val="28"/>
          <w:szCs w:val="28"/>
        </w:rPr>
      </w:pPr>
      <w:r>
        <w:rPr>
          <w:color w:val="000000"/>
          <w:shd w:val="clear" w:color="auto" w:fill="FFFFFF"/>
        </w:rPr>
        <w:t> </w:t>
      </w:r>
      <w:r w:rsidRPr="00094D4E">
        <w:rPr>
          <w:sz w:val="28"/>
          <w:szCs w:val="28"/>
          <w:shd w:val="clear" w:color="auto" w:fill="FFFFFF"/>
        </w:rPr>
        <w:t>A</w:t>
      </w:r>
      <w:r w:rsidRPr="00094D4E">
        <w:rPr>
          <w:sz w:val="28"/>
          <w:szCs w:val="28"/>
          <w:shd w:val="clear" w:color="auto" w:fill="FFFFFF"/>
        </w:rPr>
        <w:t>ctivation of p53</w:t>
      </w:r>
      <w:r w:rsidRPr="00094D4E">
        <w:rPr>
          <w:sz w:val="28"/>
          <w:szCs w:val="28"/>
          <w:shd w:val="clear" w:color="auto" w:fill="FFFFFF"/>
        </w:rPr>
        <w:t>,</w:t>
      </w:r>
      <w:r w:rsidRPr="00094D4E">
        <w:rPr>
          <w:sz w:val="28"/>
          <w:szCs w:val="28"/>
          <w:shd w:val="clear" w:color="auto" w:fill="FFFFFF"/>
        </w:rPr>
        <w:t xml:space="preserve"> deregulation of the somatotrophic axis, and attrition of adult stem cells </w:t>
      </w:r>
      <w:r w:rsidRPr="00094D4E">
        <w:rPr>
          <w:sz w:val="28"/>
          <w:szCs w:val="28"/>
          <w:shd w:val="clear" w:color="auto" w:fill="FFFFFF"/>
        </w:rPr>
        <w:t xml:space="preserve">are some of the </w:t>
      </w:r>
      <w:r w:rsidRPr="00094D4E">
        <w:rPr>
          <w:sz w:val="28"/>
          <w:szCs w:val="28"/>
        </w:rPr>
        <w:t xml:space="preserve">hallmarks of aging whose alteration can </w:t>
      </w:r>
      <w:r>
        <w:rPr>
          <w:sz w:val="28"/>
          <w:szCs w:val="28"/>
        </w:rPr>
        <w:t xml:space="preserve">also </w:t>
      </w:r>
      <w:r w:rsidRPr="00094D4E">
        <w:rPr>
          <w:sz w:val="28"/>
          <w:szCs w:val="28"/>
        </w:rPr>
        <w:t>be linked to the cause of HGPS</w:t>
      </w:r>
      <w:r w:rsidRPr="00094D4E">
        <w:rPr>
          <w:sz w:val="28"/>
          <w:szCs w:val="28"/>
        </w:rPr>
        <w:t>.</w:t>
      </w:r>
    </w:p>
    <w:p w14:paraId="6F41D507" w14:textId="269E8C5B" w:rsidR="00094D4E" w:rsidRDefault="00094D4E">
      <w:pPr>
        <w:rPr>
          <w:rFonts w:cstheme="minorHAnsi"/>
          <w:sz w:val="28"/>
          <w:szCs w:val="28"/>
        </w:rPr>
      </w:pPr>
      <w:r w:rsidRPr="00094D4E">
        <w:rPr>
          <w:rFonts w:cstheme="minorHAnsi"/>
          <w:sz w:val="28"/>
          <w:szCs w:val="28"/>
        </w:rPr>
        <w:t xml:space="preserve">The vast majority of HGPS cases are caused by </w:t>
      </w:r>
      <w:proofErr w:type="gramStart"/>
      <w:r w:rsidRPr="00094D4E">
        <w:rPr>
          <w:rFonts w:cstheme="minorHAnsi"/>
          <w:sz w:val="28"/>
          <w:szCs w:val="28"/>
        </w:rPr>
        <w:t>a  single</w:t>
      </w:r>
      <w:proofErr w:type="gramEnd"/>
      <w:r w:rsidRPr="00094D4E">
        <w:rPr>
          <w:rFonts w:cstheme="minorHAnsi"/>
          <w:sz w:val="28"/>
          <w:szCs w:val="28"/>
        </w:rPr>
        <w:t xml:space="preserve">-base substitution (GGC &gt; GGT)  which does not cause an amino acid change (G608G) but results in deletion of 150 nucleotides in exon 11 causing an alternatively spliced truncated variant of </w:t>
      </w:r>
      <w:proofErr w:type="spellStart"/>
      <w:r w:rsidRPr="00094D4E">
        <w:rPr>
          <w:rFonts w:cstheme="minorHAnsi"/>
          <w:sz w:val="28"/>
          <w:szCs w:val="28"/>
        </w:rPr>
        <w:t>lamin</w:t>
      </w:r>
      <w:proofErr w:type="spellEnd"/>
      <w:r w:rsidRPr="00094D4E">
        <w:rPr>
          <w:rFonts w:cstheme="minorHAnsi"/>
          <w:sz w:val="28"/>
          <w:szCs w:val="28"/>
        </w:rPr>
        <w:t xml:space="preserve"> A mRNA and an in-frame deletion of 50 amino acids near the carboxy terminus, lead to changes in the nuclear architecture</w:t>
      </w:r>
      <w:r w:rsidRPr="00094D4E">
        <w:rPr>
          <w:rFonts w:cstheme="minorHAnsi"/>
          <w:sz w:val="28"/>
          <w:szCs w:val="28"/>
        </w:rPr>
        <w:t>.</w:t>
      </w:r>
    </w:p>
    <w:p w14:paraId="2B7B37EE" w14:textId="77777777" w:rsidR="00A81455" w:rsidRDefault="00A81455">
      <w:pPr>
        <w:rPr>
          <w:rFonts w:cstheme="minorHAnsi"/>
          <w:sz w:val="28"/>
          <w:szCs w:val="28"/>
        </w:rPr>
      </w:pPr>
    </w:p>
    <w:p w14:paraId="52E32791" w14:textId="77777777" w:rsidR="00A81455" w:rsidRDefault="00094D4E">
      <w:pPr>
        <w:rPr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2. </w:t>
      </w:r>
      <w:r w:rsidRPr="00094D4E">
        <w:rPr>
          <w:sz w:val="28"/>
          <w:szCs w:val="28"/>
          <w:shd w:val="clear" w:color="auto" w:fill="FFFFFF"/>
        </w:rPr>
        <w:t xml:space="preserve">Damaged and misfolded proteins accumulate with age, impairing cell function and tissue homeostasis. </w:t>
      </w:r>
    </w:p>
    <w:p w14:paraId="7C1A421C" w14:textId="77777777" w:rsidR="00A81455" w:rsidRDefault="00094D4E">
      <w:pPr>
        <w:rPr>
          <w:sz w:val="28"/>
          <w:szCs w:val="28"/>
          <w:shd w:val="clear" w:color="auto" w:fill="FFFFFF"/>
        </w:rPr>
      </w:pPr>
      <w:r w:rsidRPr="00094D4E">
        <w:rPr>
          <w:sz w:val="28"/>
          <w:szCs w:val="28"/>
          <w:shd w:val="clear" w:color="auto" w:fill="FFFFFF"/>
        </w:rPr>
        <w:t xml:space="preserve">The accumulation of damaged proteins contributes to multiple age-related diseases such as Alzheimer’s, Parkinson’s or Huntington’s disease. </w:t>
      </w:r>
    </w:p>
    <w:p w14:paraId="0A209FA2" w14:textId="6F71CEDF" w:rsidR="00094D4E" w:rsidRPr="00094D4E" w:rsidRDefault="00094D4E">
      <w:pPr>
        <w:rPr>
          <w:rFonts w:cstheme="minorHAnsi"/>
          <w:sz w:val="32"/>
          <w:szCs w:val="32"/>
          <w:lang w:val="en-US"/>
        </w:rPr>
      </w:pPr>
      <w:r w:rsidRPr="00094D4E">
        <w:rPr>
          <w:sz w:val="28"/>
          <w:szCs w:val="28"/>
          <w:shd w:val="clear" w:color="auto" w:fill="FFFFFF"/>
        </w:rPr>
        <w:t xml:space="preserve">Damaged proteins are degraded by the ubiquitin–proteasome system or through autophagy-lysosome, key components of the </w:t>
      </w:r>
      <w:proofErr w:type="spellStart"/>
      <w:r w:rsidRPr="00094D4E">
        <w:rPr>
          <w:sz w:val="28"/>
          <w:szCs w:val="28"/>
          <w:shd w:val="clear" w:color="auto" w:fill="FFFFFF"/>
        </w:rPr>
        <w:t>proteostasis</w:t>
      </w:r>
      <w:proofErr w:type="spellEnd"/>
      <w:r w:rsidRPr="00094D4E">
        <w:rPr>
          <w:sz w:val="28"/>
          <w:szCs w:val="28"/>
          <w:shd w:val="clear" w:color="auto" w:fill="FFFFFF"/>
        </w:rPr>
        <w:t xml:space="preserve"> network. </w:t>
      </w:r>
    </w:p>
    <w:sectPr w:rsidR="00094D4E" w:rsidRPr="00094D4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497F4" w14:textId="77777777" w:rsidR="00975CDF" w:rsidRDefault="00975CDF" w:rsidP="00942238">
      <w:pPr>
        <w:spacing w:after="0" w:line="240" w:lineRule="auto"/>
      </w:pPr>
      <w:r>
        <w:separator/>
      </w:r>
    </w:p>
  </w:endnote>
  <w:endnote w:type="continuationSeparator" w:id="0">
    <w:p w14:paraId="6EDFB1A1" w14:textId="77777777" w:rsidR="00975CDF" w:rsidRDefault="00975CDF" w:rsidP="0094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090F7" w14:textId="77777777" w:rsidR="00975CDF" w:rsidRDefault="00975CDF" w:rsidP="00942238">
      <w:pPr>
        <w:spacing w:after="0" w:line="240" w:lineRule="auto"/>
      </w:pPr>
      <w:r>
        <w:separator/>
      </w:r>
    </w:p>
  </w:footnote>
  <w:footnote w:type="continuationSeparator" w:id="0">
    <w:p w14:paraId="6F84B07E" w14:textId="77777777" w:rsidR="00975CDF" w:rsidRDefault="00975CDF" w:rsidP="0094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6E584" w14:textId="52DF16E7" w:rsidR="00942238" w:rsidRPr="00942238" w:rsidRDefault="00942238" w:rsidP="00942238">
    <w:pPr>
      <w:pStyle w:val="Header"/>
      <w:jc w:val="center"/>
      <w:rPr>
        <w:rFonts w:ascii="Arial" w:hAnsi="Arial" w:cs="Arial"/>
        <w:sz w:val="32"/>
        <w:szCs w:val="32"/>
        <w:shd w:val="clear" w:color="auto" w:fill="FAF9F8"/>
      </w:rPr>
    </w:pPr>
    <w:r w:rsidRPr="00942238">
      <w:rPr>
        <w:rFonts w:ascii="Arial" w:hAnsi="Arial" w:cs="Arial"/>
        <w:sz w:val="32"/>
        <w:szCs w:val="32"/>
        <w:shd w:val="clear" w:color="auto" w:fill="FAF9F8"/>
      </w:rPr>
      <w:t>Name:</w:t>
    </w:r>
    <w:r>
      <w:rPr>
        <w:rFonts w:ascii="Arial" w:hAnsi="Arial" w:cs="Arial"/>
        <w:sz w:val="32"/>
        <w:szCs w:val="32"/>
        <w:shd w:val="clear" w:color="auto" w:fill="FAF9F8"/>
      </w:rPr>
      <w:t xml:space="preserve"> </w:t>
    </w:r>
    <w:r w:rsidRPr="00942238">
      <w:rPr>
        <w:rFonts w:ascii="Arial" w:hAnsi="Arial" w:cs="Arial"/>
        <w:sz w:val="32"/>
        <w:szCs w:val="32"/>
        <w:shd w:val="clear" w:color="auto" w:fill="FAF9F8"/>
      </w:rPr>
      <w:t>SIDDHESH JITENDRA METKAR</w:t>
    </w:r>
    <w:r>
      <w:rPr>
        <w:rFonts w:ascii="Arial" w:hAnsi="Arial" w:cs="Arial"/>
        <w:sz w:val="32"/>
        <w:szCs w:val="32"/>
        <w:shd w:val="clear" w:color="auto" w:fill="FAF9F8"/>
      </w:rPr>
      <w:t xml:space="preserve">    </w:t>
    </w:r>
    <w:r>
      <w:rPr>
        <w:rFonts w:ascii="Arial" w:hAnsi="Arial" w:cs="Arial"/>
        <w:sz w:val="32"/>
        <w:szCs w:val="32"/>
        <w:shd w:val="clear" w:color="auto" w:fill="FAF9F8"/>
      </w:rPr>
      <w:tab/>
    </w:r>
    <w:r w:rsidRPr="00942238">
      <w:rPr>
        <w:rFonts w:ascii="Arial" w:hAnsi="Arial" w:cs="Arial"/>
        <w:sz w:val="32"/>
        <w:szCs w:val="32"/>
        <w:shd w:val="clear" w:color="auto" w:fill="FAF9F8"/>
      </w:rPr>
      <w:t xml:space="preserve"> </w:t>
    </w:r>
    <w:r w:rsidRPr="00942238">
      <w:rPr>
        <w:rFonts w:ascii="Arial" w:hAnsi="Arial" w:cs="Arial"/>
        <w:sz w:val="32"/>
        <w:szCs w:val="32"/>
        <w:shd w:val="clear" w:color="auto" w:fill="FAF9F8"/>
      </w:rPr>
      <w:t>Roll No</w:t>
    </w:r>
    <w:r>
      <w:rPr>
        <w:rFonts w:ascii="Arial" w:hAnsi="Arial" w:cs="Arial"/>
        <w:sz w:val="32"/>
        <w:szCs w:val="32"/>
        <w:shd w:val="clear" w:color="auto" w:fill="FAF9F8"/>
      </w:rPr>
      <w:t>:</w:t>
    </w:r>
    <w:r w:rsidRPr="00942238">
      <w:rPr>
        <w:rFonts w:ascii="Arial" w:hAnsi="Arial" w:cs="Arial"/>
        <w:sz w:val="32"/>
        <w:szCs w:val="32"/>
        <w:shd w:val="clear" w:color="auto" w:fill="FAF9F8"/>
      </w:rPr>
      <w:t>170106057</w:t>
    </w:r>
  </w:p>
  <w:p w14:paraId="7E1A4A62" w14:textId="34DD2C22" w:rsidR="00942238" w:rsidRPr="00942238" w:rsidRDefault="00942238" w:rsidP="00942238">
    <w:pPr>
      <w:pStyle w:val="Header"/>
      <w:jc w:val="center"/>
      <w:rPr>
        <w:sz w:val="48"/>
        <w:szCs w:val="48"/>
      </w:rPr>
    </w:pPr>
    <w:r w:rsidRPr="00942238">
      <w:rPr>
        <w:rFonts w:ascii="Arial" w:hAnsi="Arial" w:cs="Arial"/>
        <w:sz w:val="40"/>
        <w:szCs w:val="40"/>
        <w:shd w:val="clear" w:color="auto" w:fill="FAF9F8"/>
      </w:rPr>
      <w:t>BT638 TEST</w:t>
    </w:r>
    <w:r>
      <w:rPr>
        <w:rFonts w:ascii="Arial" w:hAnsi="Arial" w:cs="Arial"/>
        <w:sz w:val="40"/>
        <w:szCs w:val="40"/>
        <w:shd w:val="clear" w:color="auto" w:fill="FAF9F8"/>
      </w:rPr>
      <w:t xml:space="preserve"> 5</w:t>
    </w:r>
  </w:p>
  <w:p w14:paraId="3E665D8C" w14:textId="77777777" w:rsidR="00942238" w:rsidRDefault="00942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03F"/>
    <w:multiLevelType w:val="hybridMultilevel"/>
    <w:tmpl w:val="D1AC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D738A"/>
    <w:multiLevelType w:val="hybridMultilevel"/>
    <w:tmpl w:val="97AC1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33908"/>
    <w:multiLevelType w:val="hybridMultilevel"/>
    <w:tmpl w:val="5AC0E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8"/>
    <w:rsid w:val="00094D4E"/>
    <w:rsid w:val="000A5605"/>
    <w:rsid w:val="004B6C11"/>
    <w:rsid w:val="006D7F27"/>
    <w:rsid w:val="00706AB4"/>
    <w:rsid w:val="00942238"/>
    <w:rsid w:val="00975CDF"/>
    <w:rsid w:val="00A512D8"/>
    <w:rsid w:val="00A8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9B6"/>
  <w15:chartTrackingRefBased/>
  <w15:docId w15:val="{5F1FF7AD-2A4E-431F-8BBB-F343FA8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38"/>
  </w:style>
  <w:style w:type="paragraph" w:styleId="Footer">
    <w:name w:val="footer"/>
    <w:basedOn w:val="Normal"/>
    <w:link w:val="FooterChar"/>
    <w:uiPriority w:val="99"/>
    <w:unhideWhenUsed/>
    <w:rsid w:val="0094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38"/>
  </w:style>
  <w:style w:type="paragraph" w:styleId="ListParagraph">
    <w:name w:val="List Paragraph"/>
    <w:basedOn w:val="Normal"/>
    <w:uiPriority w:val="34"/>
    <w:qFormat/>
    <w:rsid w:val="009422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ipose_tissue" TargetMode="External"/><Relationship Id="rId13" Type="http://schemas.openxmlformats.org/officeDocument/2006/relationships/hyperlink" Target="https://en.wikipedia.org/wiki/Immu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kin" TargetMode="External"/><Relationship Id="rId12" Type="http://schemas.openxmlformats.org/officeDocument/2006/relationships/hyperlink" Target="https://en.wikipedia.org/wiki/Inflammatory_cytok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ellular_senesc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rotease" TargetMode="External"/><Relationship Id="rId10" Type="http://schemas.openxmlformats.org/officeDocument/2006/relationships/hyperlink" Target="https://en.wikipedia.org/wiki/Pheno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ll_(biology)" TargetMode="External"/><Relationship Id="rId14" Type="http://schemas.openxmlformats.org/officeDocument/2006/relationships/hyperlink" Target="https://en.wikipedia.org/wiki/Growth_f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JITENDRA METKAR</dc:creator>
  <cp:keywords/>
  <dc:description/>
  <cp:lastModifiedBy>SIDDHESH JITENDRA METKAR</cp:lastModifiedBy>
  <cp:revision>1</cp:revision>
  <dcterms:created xsi:type="dcterms:W3CDTF">2020-11-28T11:31:00Z</dcterms:created>
  <dcterms:modified xsi:type="dcterms:W3CDTF">2020-11-28T12:33:00Z</dcterms:modified>
</cp:coreProperties>
</file>