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 Reimbursement SOP</w:t>
      </w:r>
    </w:p>
    <w:p>
      <w:r>
        <w:t>This SOP describes how employees submit expense claims.</w:t>
      </w:r>
    </w:p>
    <w:p>
      <w:pPr>
        <w:pStyle w:val="Heading2"/>
      </w:pPr>
      <w:r>
        <w:t>Submission Process</w:t>
      </w:r>
    </w:p>
    <w:p>
      <w:r>
        <w:t>Employees must submit receipts via the Concur portal within 30 days of the expense. Claims over $200 require manager approval.</w:t>
      </w:r>
    </w:p>
    <w:p>
      <w:pPr>
        <w:pStyle w:val="Heading2"/>
      </w:pPr>
      <w:r>
        <w:t>Internet Reimbursement</w:t>
      </w:r>
    </w:p>
    <w:p>
      <w:r>
        <w:t>Internet reimbursement claims for remote workers are capped per the Remote Work Policy and are processed monthly.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