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</w:t>
      </w:r>
    </w:p>
    <w:p>
      <w:r>
        <w:t>This policy governs remote work arrangements for all employees.</w:t>
      </w:r>
    </w:p>
    <w:p>
      <w:pPr>
        <w:pStyle w:val="Heading2"/>
      </w:pPr>
      <w:r>
        <w:t>Eligibility</w:t>
      </w:r>
    </w:p>
    <w:p>
      <w:r>
        <w:t>Employees who have completed 90 days of continuous employment are eligible to request remote work arrangements. Managers must approve all requests in writing.</w:t>
      </w:r>
    </w:p>
    <w:p>
      <w:pPr>
        <w:pStyle w:val="Heading2"/>
      </w:pPr>
      <w:r>
        <w:t>Equipment</w:t>
      </w:r>
    </w:p>
    <w:p>
      <w:r>
        <w:t>The company provides a laptop and monitor for approved remote workers. Employees are responsible for maintaining a secure home network as described in the Information Security Policy.</w:t>
      </w:r>
    </w:p>
    <w:p>
      <w:pPr>
        <w:pStyle w:val="Heading2"/>
      </w:pPr>
      <w:r>
        <w:t>Expense Reimbursement</w:t>
      </w:r>
    </w:p>
    <w:p>
      <w:r>
        <w:t>Remote workers may claim reimbursement for internet costs up to $50/month, subject to the process defined in the Expense Reimbursement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