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KnowledgeOS Test Document — Company Policy</w:t>
      </w:r>
    </w:p>
    <w:p>
      <w:r>
        <w:t>This document is used to test DOCX parsing in the KnowledgeOS ingestion pipeline.</w:t>
      </w:r>
    </w:p>
    <w:p>
      <w:pPr>
        <w:pStyle w:val="Heading2"/>
      </w:pPr>
      <w:r>
        <w:t>Document Management</w:t>
      </w:r>
    </w:p>
    <w:p>
      <w:r>
        <w:t>All organizational documents should be stored in the approved document management system. Documents should have clear names and should be accessible only to authorized users.</w:t>
      </w:r>
    </w:p>
    <w:p>
      <w:pPr>
        <w:pStyle w:val="Heading2"/>
      </w:pPr>
      <w:r>
        <w:t>Document Updates</w:t>
      </w:r>
    </w:p>
    <w:p>
      <w:r>
        <w:t>When a policy changes, the updated document should replace or supersede the previous version according to the organization's document management procedure.</w:t>
      </w:r>
    </w:p>
    <w:p>
      <w:pPr>
        <w:pStyle w:val="Heading2"/>
      </w:pPr>
      <w:r>
        <w:t>KnowledgeOS Ingestion</w:t>
      </w:r>
    </w:p>
    <w:p>
      <w:r>
        <w:t>KnowledgeOS stores the original document in MinIO, extracts its text, creates chunks, generates embeddings, and stores searchable vector representations in PGVector.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