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F"/>
          <w:sz w:val="40"/>
          <w:szCs w:val="40"/>
        </w:rPr>
        <w:t xml:space="preserve">MIND ATLAS</w:t>
      </w:r>
    </w:p>
    <w:p>
      <w:pPr>
        <w:spacing w:after="400" w:before="100"/>
        <w:jc w:val="center"/>
      </w:pPr>
      <w:r>
        <w:rPr>
          <w:i/>
          <w:iCs/>
          <w:color w:val="5B6B70"/>
          <w:sz w:val="22"/>
          <w:szCs w:val="22"/>
        </w:rPr>
        <w:t xml:space="preserve">Notes → Knowledge Graph → Adaptive Testing</w:t>
      </w:r>
    </w:p>
    <w:p>
      <w:pPr>
        <w:spacing w:after="100" w:before="200"/>
        <w:jc w:val="center"/>
      </w:pPr>
      <w:r>
        <w:rPr>
          <w:b/>
          <w:bCs/>
          <w:color w:val="111111"/>
          <w:sz w:val="34"/>
          <w:szCs w:val="34"/>
        </w:rPr>
        <w:t xml:space="preserve">Feasibility Report</w:t>
      </w:r>
    </w:p>
    <w:p>
      <w:pPr>
        <w:spacing w:after="600"/>
        <w:jc w:val="center"/>
      </w:pPr>
      <w:r>
        <w:rPr>
          <w:color w:val="2E7D6B"/>
          <w:sz w:val="24"/>
          <w:szCs w:val="24"/>
        </w:rPr>
        <w:t xml:space="preserve">Test Generation &amp; Feedback Mechanism (Member 3 Workstream)</w:t>
      </w:r>
    </w:p>
    <w:p>
      <w:pPr>
        <w:spacing w:after="40" w:before="900"/>
        <w:jc w:val="center"/>
      </w:pPr>
      <w:r>
        <w:rPr>
          <w:sz w:val="21"/>
          <w:szCs w:val="21"/>
        </w:rPr>
        <w:t xml:space="preserve">Prepared by: Siddhi Karhekar</w:t>
      </w:r>
    </w:p>
    <w:p>
      <w:pPr>
        <w:spacing w:after="40"/>
        <w:jc w:val="center"/>
      </w:pPr>
      <w:r>
        <w:rPr>
          <w:sz w:val="21"/>
          <w:szCs w:val="21"/>
        </w:rPr>
        <w:t xml:space="preserve">Project: Mind Atlas — 4-member capstone team</w:t>
      </w:r>
    </w:p>
    <w:p>
      <w:pPr>
        <w:spacing w:after="40"/>
        <w:jc w:val="center"/>
      </w:pPr>
      <w:r>
        <w:rPr>
          <w:sz w:val="21"/>
          <w:szCs w:val="21"/>
        </w:rPr>
        <w:t xml:space="preserve">Repository: github.com/Siddhi-Karhekar/MindAtlas</w:t>
      </w:r>
    </w:p>
    <w:p>
      <w:pPr>
        <w:spacing w:after="40"/>
        <w:jc w:val="center"/>
      </w:pPr>
      <w:r>
        <w:rPr>
          <w:color w:val="5B6B70"/>
          <w:sz w:val="21"/>
          <w:szCs w:val="21"/>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D3D2" w:sz="6" w:space="4"/>
        </w:pBdr>
        <w:spacing w:after="200" w:before="400"/>
      </w:pPr>
      <w:r>
        <w:rPr>
          <w:b/>
          <w:bCs/>
          <w:color w:val="1F4E5F"/>
          <w:sz w:val="30"/>
          <w:szCs w:val="30"/>
        </w:rPr>
        <w:t xml:space="preserve">1. Executive Summary</w:t>
      </w:r>
    </w:p>
    <w:p>
      <w:pPr>
        <w:spacing w:after="160" w:line="276"/>
      </w:pPr>
      <w:r>
        <w:rPr>
          <w:sz w:val="21"/>
          <w:szCs w:val="21"/>
        </w:rPr>
        <w:t xml:space="preserve">This report covers the feasibility of the Test Generation &amp; Feedback module, the workstream owned by Member 3 within the four-person Mind Atlas capstone team. The module takes a student's notes (already collected and linked into a knowledge graph by Member 1 and Member 2's workstreams) and produces two things: grounded multiple-choice tests, and a deterministic, ranked feedback report after a student attempts one.</w:t>
      </w:r>
    </w:p>
    <w:p>
      <w:pPr>
        <w:spacing w:after="160" w:line="276"/>
      </w:pPr>
      <w:r>
        <w:rPr>
          <w:sz w:val="21"/>
          <w:szCs w:val="21"/>
        </w:rPr>
        <w:t xml:space="preserve">The module is not a proposal — it is already implemented and verified end to end, and it generates both multiple-choice and theory (free-text short-answer) questions, singly or mixed in the same test. Two question-generation paths exist per question type: an LLM-based path (Groq's llama-3.3-70b-versatile) that drafts MCQs or theory questions from note text and is checked by a hallucination gate before any question is accepted, and a zero-dependency rule-based fallback (TF-IDF keyword extraction, feeding either cloze blanking for MCQs or an explain-in-your-own-words prompt for theory questions) that runs with no LLM key at all. Free-text theory answers cannot be scored by exact match, so a companion grading engine scores them 0 to 1 — again with an LLM path (judging meaning, tolerant of different wording) and a deterministic keyword-overlap fallback — and that score feeds into the same per-topic accuracy the MCQ path already used, so a mixed test produces one coherent report rather than two separate ones. A feedback engine computes an attentionScore per topic from that accuracy and response time with no LLM involved in the scoring itself, and only uses an LLM to phrase the already-fixed ranking into readable text, falling back to a template when unavailable.</w:t>
      </w:r>
    </w:p>
    <w:p>
      <w:pPr>
        <w:spacing w:after="160" w:line="276"/>
      </w:pPr>
      <w:r>
        <w:rPr>
          <w:sz w:val="21"/>
          <w:szCs w:val="21"/>
        </w:rPr>
        <w:t xml:space="preserve">The core finding of this report is that the module is technically feasible on the team's existing stack with zero additional ML infrastructure, zero training cost, and zero GPU requirement, and that its main design choices are consistent with — and in several cases structurally identical to — patterns documented in the peer-reviewed literature on automatic question generation, hallucination mitigation, and intelligent tutoring feedback. Two specific design choices (the verbatim-substring hallucination gate and the accuracy/response-time fusion formula) are original heuristics rather than reproductions of a published method; this report states that explicitly rather than forcing a citation that does not exist, and recommends how each could be strengthened using the closest published techniques.</w:t>
      </w:r>
    </w:p>
    <w:p>
      <w:pPr>
        <w:spacing w:after="160" w:line="276"/>
      </w:pPr>
      <w:r>
        <w:rPr>
          <w:sz w:val="21"/>
          <w:szCs w:val="21"/>
        </w:rPr>
        <w:t xml:space="preserve">Item delivery is also adaptive, not fixed-order: each generated test builds a deeper pool of questions than it shows, every question is tagged with a difficulty tier, and a lightweight staircase controller — deliberately the simple end of adaptive testing, not full calibrated Item Response Theory — steps a student to a harder tier after a good answer and an easier one after a poor one, one question at a time. This closes what was previously the single largest gap against the team's own build-order spec.</w:t>
      </w:r>
    </w:p>
    <w:p>
      <w:pPr>
        <w:spacing w:after="160" w:line="276"/>
      </w:pPr>
      <w:r>
        <w:rPr>
          <w:sz w:val="21"/>
          <w:szCs w:val="21"/>
        </w:rPr>
        <w:t xml:space="preserve">The report identifies one remaining upgrade with the best return relative to effort: Bayesian Knowledge Tracing, to replace the current single-attempt snapshot with mastery that accumulates across attempts. It is lightweight and well-established and — unlike neural knowledge tracing or a fully calibrated IRT model — does not require GPU training infrastructure or a large logged-response dataset, so it fits the team's current constraints.</w:t>
      </w:r>
    </w:p>
    <w:p>
      <w:pPr>
        <w:pStyle w:val="Heading1"/>
        <w:pBdr>
          <w:bottom w:val="single" w:color="C9D3D2" w:sz="6" w:space="4"/>
        </w:pBdr>
        <w:spacing w:after="200" w:before="400"/>
      </w:pPr>
      <w:r>
        <w:rPr>
          <w:b/>
          <w:bCs/>
          <w:color w:val="1F4E5F"/>
          <w:sz w:val="30"/>
          <w:szCs w:val="30"/>
        </w:rPr>
        <w:t xml:space="preserve">2. Scope &amp; Ownership</w:t>
      </w:r>
    </w:p>
    <w:p>
      <w:pPr>
        <w:spacing w:after="160" w:line="276"/>
      </w:pPr>
      <w:r>
        <w:rPr>
          <w:sz w:val="21"/>
          <w:szCs w:val="21"/>
        </w:rPr>
        <w:t xml:space="preserve">Mind Atlas is split across four workstreams, documented in the team's CONTRIBUTING.md: Member 1 (notes ingestion and summarization), Member 2 (knowledge graph generation), Member 3 (test generation and feedback — this report's subject), and Member 4 (containerization and cloud deployment). This report evaluates only the Member 3 workstream: the question-generation pipeline, the timed attempt flow, and the feedback-scoring engine. It assumes Member 1's notes and Member 2's graph edges as upstream inputs and does not re-evaluate those workstreams' own feasibility.</w:t>
      </w:r>
    </w:p>
    <w:p>
      <w:pPr>
        <w:spacing w:after="160" w:line="276"/>
      </w:pPr>
      <w:r>
        <w:rPr>
          <w:sz w:val="21"/>
          <w:szCs w:val="21"/>
        </w:rPr>
        <w:t xml:space="preserve">Two questions are answered for this workstream: is it technically and academically sound to build it the way it has been built, and what should be built next, in what order, given the constraint that the team has no dedicated ML infrastructure (no GPU, no model training pipeline, no vector database) and relies on a single external LLM API with graceful degradation whenever that API is unavailable or unconfigured.</w:t>
      </w:r>
    </w:p>
    <w:p>
      <w:pPr>
        <w:pStyle w:val="Heading1"/>
        <w:pBdr>
          <w:bottom w:val="single" w:color="C9D3D2" w:sz="6" w:space="4"/>
        </w:pBdr>
        <w:spacing w:after="200" w:before="400"/>
      </w:pPr>
      <w:r>
        <w:rPr>
          <w:b/>
          <w:bCs/>
          <w:color w:val="1F4E5F"/>
          <w:sz w:val="30"/>
          <w:szCs w:val="30"/>
        </w:rPr>
        <w:t xml:space="preserve">3. Current Implementation Overview</w:t>
      </w:r>
    </w:p>
    <w:p>
      <w:pPr>
        <w:spacing w:after="160" w:line="276"/>
      </w:pPr>
      <w:r>
        <w:rPr>
          <w:sz w:val="21"/>
          <w:szCs w:val="21"/>
        </w:rPr>
        <w:t xml:space="preserve">The module has four working parts, all implemented in the server codebase and verified via automated end-to-end tests (curl-based API tests and Playwright browser tests) rather than left as untested code.</w:t>
      </w:r>
    </w:p>
    <w:p>
      <w:pPr>
        <w:pStyle w:val="Heading2"/>
        <w:spacing w:after="120" w:before="300"/>
      </w:pPr>
      <w:r>
        <w:rPr>
          <w:b/>
          <w:bCs/>
          <w:color w:val="1F4E5F"/>
          <w:sz w:val="24"/>
          <w:szCs w:val="24"/>
        </w:rPr>
        <w:t xml:space="preserve">3.1 Grounded question generation — MCQ and theory</w:t>
      </w:r>
    </w:p>
    <w:p>
      <w:pPr>
        <w:spacing w:after="160" w:line="276"/>
      </w:pPr>
      <w:r>
        <w:rPr>
          <w:sz w:val="21"/>
          <w:szCs w:val="21"/>
        </w:rPr>
        <w:t xml:space="preserve">generateQuestions() accepts an independent count for each question type — mcqCount and theoryCount — so a test can be all-MCQ, all-theory, or any mix of the two, generated in the same request. For each type it first attempts LLM generation: the selected notes are assembled into a single context block and llama-3.3-70b-versatile is prompted to return a strict JSON array of questions. MCQs carry a topic, prompt, four options, a correctAnswer, and a supportingExcerpt; theory questions carry a topic, prompt, a modelAnswer, a short list of keyPoints a good answer should mention, and likewise a supportingExcerpt naming the exact sentence the question was drawn from. Before any question — either type — is accepted, it must pass a hallucination gate:</w:t>
      </w:r>
    </w:p>
    <w:p>
      <w:pPr>
        <w:pStyle w:val="ListParagraph"/>
        <w:numPr>
          <w:ilvl w:val="0"/>
          <w:numId w:val="2"/>
        </w:numPr>
        <w:spacing w:after="90" w:line="268"/>
      </w:pPr>
      <w:r>
        <w:rPr>
          <w:sz w:val="21"/>
          <w:szCs w:val="21"/>
        </w:rPr>
        <w:t xml:space="preserve">Excerpt verification (both types) — the supportingExcerpt, after whitespace normalization, must appear as a verbatim substring of the source notes. Anything the model paraphrased, summarized, or invented is rejected.</w:t>
      </w:r>
    </w:p>
    <w:p>
      <w:pPr>
        <w:pStyle w:val="ListParagraph"/>
        <w:numPr>
          <w:ilvl w:val="0"/>
          <w:numId w:val="2"/>
        </w:numPr>
        <w:spacing w:after="90" w:line="268"/>
      </w:pPr>
      <w:r>
        <w:rPr>
          <w:sz w:val="21"/>
          <w:szCs w:val="21"/>
        </w:rPr>
        <w:t xml:space="preserve">Answer-set verification (MCQ only) — the stated correctAnswer must be literally one of the four options offered, catching a class of malformed LLM output that is otherwise easy to miss.</w:t>
      </w:r>
    </w:p>
    <w:p>
      <w:pPr>
        <w:pStyle w:val="ListParagraph"/>
        <w:numPr>
          <w:ilvl w:val="0"/>
          <w:numId w:val="2"/>
        </w:numPr>
        <w:spacing w:after="90" w:line="268"/>
      </w:pPr>
      <w:r>
        <w:rPr>
          <w:sz w:val="21"/>
          <w:szCs w:val="21"/>
        </w:rPr>
        <w:t xml:space="preserve">Rubric verification (theory only) — the modelAnswer must be non-empty and at least one keyPoint must be present, since an empty rubric would make the question ungradeable later.</w:t>
      </w:r>
    </w:p>
    <w:p>
      <w:pPr>
        <w:spacing w:after="160" w:line="276"/>
      </w:pPr>
      <w:r>
        <w:rPr>
          <w:sz w:val="21"/>
          <w:szCs w:val="21"/>
        </w:rPr>
        <w:t xml:space="preserve">Questions that fail their check are discarded, not repaired or silently corrected — the API response reports both an accepted count and a discarded count so the failure rate is visible rather than hidden.</w:t>
      </w:r>
    </w:p>
    <w:p>
      <w:pPr>
        <w:pStyle w:val="Heading2"/>
        <w:spacing w:after="120" w:before="300"/>
      </w:pPr>
      <w:r>
        <w:rPr>
          <w:b/>
          <w:bCs/>
          <w:color w:val="1F4E5F"/>
          <w:sz w:val="24"/>
          <w:szCs w:val="24"/>
        </w:rPr>
        <w:t xml:space="preserve">3.2 Rule-based fallback (no LLM required)</w:t>
      </w:r>
    </w:p>
    <w:p>
      <w:pPr>
        <w:spacing w:after="160" w:line="276"/>
      </w:pPr>
      <w:r>
        <w:rPr>
          <w:sz w:val="21"/>
          <w:szCs w:val="21"/>
        </w:rPr>
        <w:t xml:space="preserve">When no GROQ_API_KEY is configured — a deliberate design choice so the feature is fully testable and demoable without any paid API — the system falls back to a dependency-free generator for both question types, sharing the same TF-IDF keyword extraction step: for MCQs, a sentence containing a top keyword is selected and the keyword is blanked out to form a cloze question, with three distractors drawn from the keyword sets of other, unrelated notes; for theory questions, the student is asked to explain a note's top keyword in their own words, and that note's top keywords become the keyPoints rubric the grading engine checks the answer against. This path has no external dependency and no non-determinism beyond the TF-IDF ranking itself.</w:t>
      </w:r>
    </w:p>
    <w:p>
      <w:pPr>
        <w:pStyle w:val="Heading2"/>
        <w:spacing w:after="120" w:before="300"/>
      </w:pPr>
      <w:r>
        <w:rPr>
          <w:b/>
          <w:bCs/>
          <w:color w:val="1F4E5F"/>
          <w:sz w:val="24"/>
          <w:szCs w:val="24"/>
        </w:rPr>
        <w:t xml:space="preserve">3.3 Grading free-text theory answers</w:t>
      </w:r>
    </w:p>
    <w:p>
      <w:pPr>
        <w:spacing w:after="160" w:line="276"/>
      </w:pPr>
      <w:r>
        <w:rPr>
          <w:sz w:val="21"/>
          <w:szCs w:val="21"/>
        </w:rPr>
        <w:t xml:space="preserve">An MCQ answer is checked by exact match the instant it's submitted. A theory answer is free text, so it can't be scored that way — grading is deferred to attempt submission and handled by a dedicated grading engine with the same two-path pattern used everywhere else in this module. When an LLM is available, it is given the question, the modelAnswer, the keyPoints, and the student's answer, and asked to return a 0–1 score plus a one-sentence justification, judging meaning rather than exact wording. When no LLM is available (or its response is unusable), a deterministic keyword-overlap fallback scores the answer as the fraction of keyPoints that appear as a substring of the student's (normalized) answer. Either way, every response ends up with a single 0–1 score, which is what lets a mixed mcq+theory test collapse into one per-topic accuracy number instead of needing separate reporting for each question type.</w:t>
      </w:r>
    </w:p>
    <w:p>
      <w:pPr>
        <w:pStyle w:val="Heading2"/>
        <w:spacing w:after="120" w:before="300"/>
      </w:pPr>
      <w:r>
        <w:rPr>
          <w:b/>
          <w:bCs/>
          <w:color w:val="1F4E5F"/>
          <w:sz w:val="24"/>
          <w:szCs w:val="24"/>
        </w:rPr>
        <w:t xml:space="preserve">3.4 Attempt flow and feedback engine</w:t>
      </w:r>
    </w:p>
    <w:p>
      <w:pPr>
        <w:spacing w:after="160" w:line="276"/>
      </w:pPr>
      <w:r>
        <w:rPr>
          <w:sz w:val="21"/>
          <w:szCs w:val="21"/>
        </w:rPr>
        <w:t xml:space="preserve">A test attempt is delivered adaptively, one question at a time, in a timed "focus mode": each question is shown with the answer key and supporting excerpt stripped out, and the client records wall-clock time spent per question. On submission, the feedback engine computes, per topic, a single deterministic score:</w:t>
      </w:r>
    </w:p>
    <w:p>
      <w:pPr>
        <w:spacing w:after="200" w:before="80"/>
        <w:jc w:val="center"/>
      </w:pPr>
      <w:r>
        <w:rPr>
          <w:b/>
          <w:bCs/>
          <w:sz w:val="21"/>
          <w:szCs w:val="21"/>
        </w:rPr>
        <w:t xml:space="preserve">attentionScore</w:t>
      </w:r>
      <w:r>
        <w:rPr>
          <w:sz w:val="21"/>
          <w:szCs w:val="21"/>
        </w:rPr>
        <w:t xml:space="preserve">  =  0.7 × (1 − accuracy)  +  0.3 × normalizedResponseTime</w:t>
      </w:r>
    </w:p>
    <w:p>
      <w:pPr>
        <w:spacing w:after="160" w:line="276"/>
      </w:pPr>
      <w:r>
        <w:rPr>
          <w:sz w:val="21"/>
          <w:szCs w:val="21"/>
        </w:rPr>
        <w:t xml:space="preserve">No LLM is involved in producing this number or in ranking topics from weakest to strongest — the ranking is fixed before any language model is invoked, and "accuracy" here is really an average of each response's 0–1 score, so an mcq's binary 1/0 and a theory question's partial credit combine into the same per-topic number without special-casing either type. An LLM is used only afterward, and only to phrase the already-fixed ranking into a short natural-language summary; if the LLM is unavailable, a template-based summary is produced instead so the feature degrades gracefully rather than failing. The submitted feedback report also carries a test-wide marksAwarded / marksPossible summary, computed the same way (score × question marks, summed), so a mixed test reports one overall mark alongside the per-topic breakdown.</w:t>
      </w:r>
    </w:p>
    <w:p>
      <w:pPr>
        <w:pStyle w:val="Heading2"/>
        <w:spacing w:after="120" w:before="300"/>
      </w:pPr>
      <w:r>
        <w:rPr>
          <w:b/>
          <w:bCs/>
          <w:color w:val="1F4E5F"/>
          <w:sz w:val="24"/>
          <w:szCs w:val="24"/>
        </w:rPr>
        <w:t xml:space="preserve">3.5 Adaptive item delivery — the staircase controller</w:t>
      </w:r>
    </w:p>
    <w:p>
      <w:pPr>
        <w:spacing w:after="160" w:line="276"/>
      </w:pPr>
      <w:r>
        <w:rPr>
          <w:sz w:val="21"/>
          <w:szCs w:val="21"/>
        </w:rPr>
        <w:t xml:space="preserve">Question delivery is adaptive rather than a fixed sequence. Every accepted question — mcq or theory — is tagged with a difficulty tier (easy, medium, hard) at generation time: the LLM path is asked directly for a roughly even spread across tiers, and the rule-based fallback assigns tiers tier-first, round-robin, before it even picks which keyword to build a question from, then draws that keyword from the top, middle, or bottom third of the note's TF-IDF ranking to match. A test is built with a deeper candidate pool than it will actually show a student — about 1.5× the requested count, capped at 24 per question type — specifically so the adaptive controller has real depth to draw from at every tier rather than exhausting one almost immediately.</w:t>
      </w:r>
    </w:p>
    <w:p>
      <w:pPr>
        <w:spacing w:after="160" w:line="276"/>
      </w:pPr>
      <w:r>
        <w:rPr>
          <w:sz w:val="21"/>
          <w:szCs w:val="21"/>
        </w:rPr>
        <w:t xml:space="preserve">adaptiveEngine.js implements a 1-up-1-down staircase, the same family of rule used in classical psychophysical and testing procedures (Weiss, 1982): a student starts at medium difficulty; a good response — a correct MCQ, or a theory answer whose quick keyword-overlap score is at least 0.5 — steps the next question up one tier, and a poor response steps it down one tier, clamped at the easy/hard ends. If the pool has already been exhausted at the exact target tier, pickNextQuestion() falls back to the nearest tier that still has an unused question rather than repeating one or ending the test early. This quick keyword-overlap score exists solely to drive the staircase in real time between questions; it is never the score a student's answer is actually graded on — the authoritative grade, described in §3.3, is computed separately at submission and prefers the LLM's meaning-based judgment.</w:t>
      </w:r>
    </w:p>
    <w:p>
      <w:pPr>
        <w:spacing w:after="160" w:line="276"/>
      </w:pPr>
      <w:r>
        <w:rPr>
          <w:sz w:val="21"/>
          <w:szCs w:val="21"/>
        </w:rPr>
        <w:t xml:space="preserve">This is deliberately the simple end of adaptive testing, not full calibrated Item Response Theory or Computerized Adaptive Testing: three tiers assigned by heuristic are not the same as item difficulties estimated from real response data, and the controller does not estimate a student's ability, only their current tier. That gap, and the calibrated approach that would close it, is discussed as a roadmap item in §5E and §7.</w:t>
      </w:r>
    </w:p>
    <w:p>
      <w:pPr>
        <w:pStyle w:val="Heading3"/>
        <w:spacing w:after="100" w:before="220"/>
      </w:pPr>
      <w:r>
        <w:rPr>
          <w:b/>
          <w:bCs/>
          <w:color w:val="2E7D6B"/>
          <w:sz w:val="22"/>
          <w:szCs w:val="22"/>
        </w:rPr>
        <w:t xml:space="preserve">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2200"/>
        <w:gridCol w:w="1700"/>
      </w:tblGrid>
      <w:tr>
        <w:trPr>
          <w:cantSplit/>
          <w:tblHeader/>
        </w:trPr>
        <w:tc>
          <w:tcPr>
            <w:tcW w:type="dxa" w:w="2200"/>
            <w:shd w:fill="1F4E5F" w:color="auto" w:val="clear"/>
            <w:tcMar>
              <w:top w:type="dxa" w:w="80"/>
              <w:left w:type="dxa" w:w="100"/>
              <w:bottom w:type="dxa" w:w="80"/>
              <w:right w:type="dxa" w:w="100"/>
            </w:tcMar>
          </w:tcPr>
          <w:p>
            <w:r>
              <w:rPr>
                <w:b/>
                <w:bCs/>
                <w:color w:val="FFFFFF"/>
                <w:sz w:val="19"/>
                <w:szCs w:val="19"/>
              </w:rPr>
              <w:t xml:space="preserve">Component</w:t>
            </w:r>
          </w:p>
        </w:tc>
        <w:tc>
          <w:tcPr>
            <w:tcW w:type="dxa" w:w="3260"/>
            <w:shd w:fill="1F4E5F" w:color="auto" w:val="clear"/>
            <w:tcMar>
              <w:top w:type="dxa" w:w="80"/>
              <w:left w:type="dxa" w:w="100"/>
              <w:bottom w:type="dxa" w:w="80"/>
              <w:right w:type="dxa" w:w="100"/>
            </w:tcMar>
          </w:tcPr>
          <w:p>
            <w:r>
              <w:rPr>
                <w:b/>
                <w:bCs/>
                <w:color w:val="FFFFFF"/>
                <w:sz w:val="19"/>
                <w:szCs w:val="19"/>
              </w:rPr>
              <w:t xml:space="preserve">Technique used</w:t>
            </w:r>
          </w:p>
        </w:tc>
        <w:tc>
          <w:tcPr>
            <w:tcW w:type="dxa" w:w="2200"/>
            <w:shd w:fill="1F4E5F" w:color="auto" w:val="clear"/>
            <w:tcMar>
              <w:top w:type="dxa" w:w="80"/>
              <w:left w:type="dxa" w:w="100"/>
              <w:bottom w:type="dxa" w:w="80"/>
              <w:right w:type="dxa" w:w="100"/>
            </w:tcMar>
          </w:tcPr>
          <w:p>
            <w:r>
              <w:rPr>
                <w:b/>
                <w:bCs/>
                <w:color w:val="FFFFFF"/>
                <w:sz w:val="19"/>
                <w:szCs w:val="19"/>
              </w:rPr>
              <w:t xml:space="preserve">LLM involved?</w:t>
            </w:r>
          </w:p>
        </w:tc>
        <w:tc>
          <w:tcPr>
            <w:tcW w:type="dxa" w:w="1700"/>
            <w:shd w:fill="1F4E5F" w:color="auto" w:val="clear"/>
            <w:tcMar>
              <w:top w:type="dxa" w:w="80"/>
              <w:left w:type="dxa" w:w="100"/>
              <w:bottom w:type="dxa" w:w="80"/>
              <w:right w:type="dxa" w:w="100"/>
            </w:tcMar>
          </w:tcPr>
          <w:p>
            <w:r>
              <w:rPr>
                <w:b/>
                <w:bCs/>
                <w:color w:val="FFFFFF"/>
                <w:sz w:val="19"/>
                <w:szCs w:val="19"/>
              </w:rPr>
              <w:t xml:space="preserve">Status</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MCQ generation</w:t>
            </w:r>
          </w:p>
        </w:tc>
        <w:tc>
          <w:tcPr>
            <w:tcW w:type="dxa" w:w="3260"/>
            <w:tcMar>
              <w:top w:type="dxa" w:w="80"/>
              <w:left w:type="dxa" w:w="100"/>
              <w:bottom w:type="dxa" w:w="80"/>
              <w:right w:type="dxa" w:w="100"/>
            </w:tcMar>
          </w:tcPr>
          <w:p>
            <w:r>
              <w:rPr>
                <w:b w:val="false"/>
                <w:bCs w:val="false"/>
                <w:color w:val="111111"/>
                <w:sz w:val="19"/>
                <w:szCs w:val="19"/>
              </w:rPr>
              <w:t xml:space="preserve">Prompted LLM generation (llama-3.3-70b)</w:t>
            </w:r>
          </w:p>
        </w:tc>
        <w:tc>
          <w:tcPr>
            <w:tcW w:type="dxa" w:w="2200"/>
            <w:tcMar>
              <w:top w:type="dxa" w:w="80"/>
              <w:left w:type="dxa" w:w="100"/>
              <w:bottom w:type="dxa" w:w="80"/>
              <w:right w:type="dxa" w:w="100"/>
            </w:tcMar>
          </w:tcPr>
          <w:p>
            <w:r>
              <w:rPr>
                <w:b w:val="false"/>
                <w:bCs w:val="false"/>
                <w:color w:val="111111"/>
                <w:sz w:val="19"/>
                <w:szCs w:val="19"/>
              </w:rPr>
              <w:t xml:space="preserve">Yes, gated</w:t>
            </w:r>
          </w:p>
        </w:tc>
        <w:tc>
          <w:tcPr>
            <w:tcW w:type="dxa" w:w="1700"/>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shd w:fill="EFF4F3" w:color="auto" w:val="clear"/>
            <w:tcMar>
              <w:top w:type="dxa" w:w="80"/>
              <w:left w:type="dxa" w:w="100"/>
              <w:bottom w:type="dxa" w:w="80"/>
              <w:right w:type="dxa" w:w="100"/>
            </w:tcMar>
          </w:tcPr>
          <w:p>
            <w:r>
              <w:rPr>
                <w:b w:val="false"/>
                <w:bCs w:val="false"/>
                <w:color w:val="111111"/>
                <w:sz w:val="19"/>
                <w:szCs w:val="19"/>
              </w:rPr>
              <w:t xml:space="preserve">Theory question generation</w:t>
            </w:r>
          </w:p>
        </w:tc>
        <w:tc>
          <w:tcPr>
            <w:tcW w:type="dxa" w:w="3260"/>
            <w:shd w:fill="EFF4F3" w:color="auto" w:val="clear"/>
            <w:tcMar>
              <w:top w:type="dxa" w:w="80"/>
              <w:left w:type="dxa" w:w="100"/>
              <w:bottom w:type="dxa" w:w="80"/>
              <w:right w:type="dxa" w:w="100"/>
            </w:tcMar>
          </w:tcPr>
          <w:p>
            <w:r>
              <w:rPr>
                <w:b w:val="false"/>
                <w:bCs w:val="false"/>
                <w:color w:val="111111"/>
                <w:sz w:val="19"/>
                <w:szCs w:val="19"/>
              </w:rPr>
              <w:t xml:space="preserve">Prompted LLM generation (topic, prompt, modelAnswer, keyPoints)</w:t>
            </w:r>
          </w:p>
        </w:tc>
        <w:tc>
          <w:tcPr>
            <w:tcW w:type="dxa" w:w="2200"/>
            <w:shd w:fill="EFF4F3" w:color="auto" w:val="clear"/>
            <w:tcMar>
              <w:top w:type="dxa" w:w="80"/>
              <w:left w:type="dxa" w:w="100"/>
              <w:bottom w:type="dxa" w:w="80"/>
              <w:right w:type="dxa" w:w="100"/>
            </w:tcMar>
          </w:tcPr>
          <w:p>
            <w:r>
              <w:rPr>
                <w:b w:val="false"/>
                <w:bCs w:val="false"/>
                <w:color w:val="111111"/>
                <w:sz w:val="19"/>
                <w:szCs w:val="19"/>
              </w:rPr>
              <w:t xml:space="preserve">Yes, gated</w:t>
            </w:r>
          </w:p>
        </w:tc>
        <w:tc>
          <w:tcPr>
            <w:tcW w:type="dxa" w:w="1700"/>
            <w:shd w:fill="EFF4F3" w:color="auto" w:val="clear"/>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Question acceptance check</w:t>
            </w:r>
          </w:p>
        </w:tc>
        <w:tc>
          <w:tcPr>
            <w:tcW w:type="dxa" w:w="3260"/>
            <w:tcMar>
              <w:top w:type="dxa" w:w="80"/>
              <w:left w:type="dxa" w:w="100"/>
              <w:bottom w:type="dxa" w:w="80"/>
              <w:right w:type="dxa" w:w="100"/>
            </w:tcMar>
          </w:tcPr>
          <w:p>
            <w:r>
              <w:rPr>
                <w:b w:val="false"/>
                <w:bCs w:val="false"/>
                <w:color w:val="111111"/>
                <w:sz w:val="19"/>
                <w:szCs w:val="19"/>
              </w:rPr>
              <w:t xml:space="preserve">Verbatim substring + type-specific rubric check</w:t>
            </w:r>
          </w:p>
        </w:tc>
        <w:tc>
          <w:tcPr>
            <w:tcW w:type="dxa" w:w="2200"/>
            <w:tcMar>
              <w:top w:type="dxa" w:w="80"/>
              <w:left w:type="dxa" w:w="100"/>
              <w:bottom w:type="dxa" w:w="80"/>
              <w:right w:type="dxa" w:w="100"/>
            </w:tcMar>
          </w:tcPr>
          <w:p>
            <w:r>
              <w:rPr>
                <w:b w:val="false"/>
                <w:bCs w:val="false"/>
                <w:color w:val="111111"/>
                <w:sz w:val="19"/>
                <w:szCs w:val="19"/>
              </w:rPr>
              <w:t xml:space="preserve">No (deterministic)</w:t>
            </w:r>
          </w:p>
        </w:tc>
        <w:tc>
          <w:tcPr>
            <w:tcW w:type="dxa" w:w="1700"/>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shd w:fill="EFF4F3" w:color="auto" w:val="clear"/>
            <w:tcMar>
              <w:top w:type="dxa" w:w="80"/>
              <w:left w:type="dxa" w:w="100"/>
              <w:bottom w:type="dxa" w:w="80"/>
              <w:right w:type="dxa" w:w="100"/>
            </w:tcMar>
          </w:tcPr>
          <w:p>
            <w:r>
              <w:rPr>
                <w:b w:val="false"/>
                <w:bCs w:val="false"/>
                <w:color w:val="111111"/>
                <w:sz w:val="19"/>
                <w:szCs w:val="19"/>
              </w:rPr>
              <w:t xml:space="preserve">Fallback MCQ generation</w:t>
            </w:r>
          </w:p>
        </w:tc>
        <w:tc>
          <w:tcPr>
            <w:tcW w:type="dxa" w:w="3260"/>
            <w:shd w:fill="EFF4F3" w:color="auto" w:val="clear"/>
            <w:tcMar>
              <w:top w:type="dxa" w:w="80"/>
              <w:left w:type="dxa" w:w="100"/>
              <w:bottom w:type="dxa" w:w="80"/>
              <w:right w:type="dxa" w:w="100"/>
            </w:tcMar>
          </w:tcPr>
          <w:p>
            <w:r>
              <w:rPr>
                <w:b w:val="false"/>
                <w:bCs w:val="false"/>
                <w:color w:val="111111"/>
                <w:sz w:val="19"/>
                <w:szCs w:val="19"/>
              </w:rPr>
              <w:t xml:space="preserve">TF-IDF keyword extraction + cloze blanking</w:t>
            </w:r>
          </w:p>
        </w:tc>
        <w:tc>
          <w:tcPr>
            <w:tcW w:type="dxa" w:w="2200"/>
            <w:shd w:fill="EFF4F3" w:color="auto" w:val="clear"/>
            <w:tcMar>
              <w:top w:type="dxa" w:w="80"/>
              <w:left w:type="dxa" w:w="100"/>
              <w:bottom w:type="dxa" w:w="80"/>
              <w:right w:type="dxa" w:w="100"/>
            </w:tcMar>
          </w:tcPr>
          <w:p>
            <w:r>
              <w:rPr>
                <w:b w:val="false"/>
                <w:bCs w:val="false"/>
                <w:color w:val="111111"/>
                <w:sz w:val="19"/>
                <w:szCs w:val="19"/>
              </w:rPr>
              <w:t xml:space="preserve">No</w:t>
            </w:r>
          </w:p>
        </w:tc>
        <w:tc>
          <w:tcPr>
            <w:tcW w:type="dxa" w:w="1700"/>
            <w:shd w:fill="EFF4F3" w:color="auto" w:val="clear"/>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Fallback theory generation</w:t>
            </w:r>
          </w:p>
        </w:tc>
        <w:tc>
          <w:tcPr>
            <w:tcW w:type="dxa" w:w="3260"/>
            <w:tcMar>
              <w:top w:type="dxa" w:w="80"/>
              <w:left w:type="dxa" w:w="100"/>
              <w:bottom w:type="dxa" w:w="80"/>
              <w:right w:type="dxa" w:w="100"/>
            </w:tcMar>
          </w:tcPr>
          <w:p>
            <w:r>
              <w:rPr>
                <w:b w:val="false"/>
                <w:bCs w:val="false"/>
                <w:color w:val="111111"/>
                <w:sz w:val="19"/>
                <w:szCs w:val="19"/>
              </w:rPr>
              <w:t xml:space="preserve">TF-IDF keyword extraction + explain-the-keyword prompt</w:t>
            </w:r>
          </w:p>
        </w:tc>
        <w:tc>
          <w:tcPr>
            <w:tcW w:type="dxa" w:w="2200"/>
            <w:tcMar>
              <w:top w:type="dxa" w:w="80"/>
              <w:left w:type="dxa" w:w="100"/>
              <w:bottom w:type="dxa" w:w="80"/>
              <w:right w:type="dxa" w:w="100"/>
            </w:tcMar>
          </w:tcPr>
          <w:p>
            <w:r>
              <w:rPr>
                <w:b w:val="false"/>
                <w:bCs w:val="false"/>
                <w:color w:val="111111"/>
                <w:sz w:val="19"/>
                <w:szCs w:val="19"/>
              </w:rPr>
              <w:t xml:space="preserve">No</w:t>
            </w:r>
          </w:p>
        </w:tc>
        <w:tc>
          <w:tcPr>
            <w:tcW w:type="dxa" w:w="1700"/>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shd w:fill="EFF4F3" w:color="auto" w:val="clear"/>
            <w:tcMar>
              <w:top w:type="dxa" w:w="80"/>
              <w:left w:type="dxa" w:w="100"/>
              <w:bottom w:type="dxa" w:w="80"/>
              <w:right w:type="dxa" w:w="100"/>
            </w:tcMar>
          </w:tcPr>
          <w:p>
            <w:r>
              <w:rPr>
                <w:b w:val="false"/>
                <w:bCs w:val="false"/>
                <w:color w:val="111111"/>
                <w:sz w:val="19"/>
                <w:szCs w:val="19"/>
              </w:rPr>
              <w:t xml:space="preserve">Distractor generation (fallback path)</w:t>
            </w:r>
          </w:p>
        </w:tc>
        <w:tc>
          <w:tcPr>
            <w:tcW w:type="dxa" w:w="3260"/>
            <w:shd w:fill="EFF4F3" w:color="auto" w:val="clear"/>
            <w:tcMar>
              <w:top w:type="dxa" w:w="80"/>
              <w:left w:type="dxa" w:w="100"/>
              <w:bottom w:type="dxa" w:w="80"/>
              <w:right w:type="dxa" w:w="100"/>
            </w:tcMar>
          </w:tcPr>
          <w:p>
            <w:r>
              <w:rPr>
                <w:b w:val="false"/>
                <w:bCs w:val="false"/>
                <w:color w:val="111111"/>
                <w:sz w:val="19"/>
                <w:szCs w:val="19"/>
              </w:rPr>
              <w:t xml:space="preserve">Cross-note keyword pooling</w:t>
            </w:r>
          </w:p>
        </w:tc>
        <w:tc>
          <w:tcPr>
            <w:tcW w:type="dxa" w:w="2200"/>
            <w:shd w:fill="EFF4F3" w:color="auto" w:val="clear"/>
            <w:tcMar>
              <w:top w:type="dxa" w:w="80"/>
              <w:left w:type="dxa" w:w="100"/>
              <w:bottom w:type="dxa" w:w="80"/>
              <w:right w:type="dxa" w:w="100"/>
            </w:tcMar>
          </w:tcPr>
          <w:p>
            <w:r>
              <w:rPr>
                <w:b w:val="false"/>
                <w:bCs w:val="false"/>
                <w:color w:val="111111"/>
                <w:sz w:val="19"/>
                <w:szCs w:val="19"/>
              </w:rPr>
              <w:t xml:space="preserve">No</w:t>
            </w:r>
          </w:p>
        </w:tc>
        <w:tc>
          <w:tcPr>
            <w:tcW w:type="dxa" w:w="1700"/>
            <w:shd w:fill="EFF4F3" w:color="auto" w:val="clear"/>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Theory answer grading</w:t>
            </w:r>
          </w:p>
        </w:tc>
        <w:tc>
          <w:tcPr>
            <w:tcW w:type="dxa" w:w="3260"/>
            <w:tcMar>
              <w:top w:type="dxa" w:w="80"/>
              <w:left w:type="dxa" w:w="100"/>
              <w:bottom w:type="dxa" w:w="80"/>
              <w:right w:type="dxa" w:w="100"/>
            </w:tcMar>
          </w:tcPr>
          <w:p>
            <w:r>
              <w:rPr>
                <w:b w:val="false"/>
                <w:bCs w:val="false"/>
                <w:color w:val="111111"/>
                <w:sz w:val="19"/>
                <w:szCs w:val="19"/>
              </w:rPr>
              <w:t xml:space="preserve">LLM meaning-based scoring, keyword-overlap fallback</w:t>
            </w:r>
          </w:p>
        </w:tc>
        <w:tc>
          <w:tcPr>
            <w:tcW w:type="dxa" w:w="2200"/>
            <w:tcMar>
              <w:top w:type="dxa" w:w="80"/>
              <w:left w:type="dxa" w:w="100"/>
              <w:bottom w:type="dxa" w:w="80"/>
              <w:right w:type="dxa" w:w="100"/>
            </w:tcMar>
          </w:tcPr>
          <w:p>
            <w:r>
              <w:rPr>
                <w:b w:val="false"/>
                <w:bCs w:val="false"/>
                <w:color w:val="111111"/>
                <w:sz w:val="19"/>
                <w:szCs w:val="19"/>
              </w:rPr>
              <w:t xml:space="preserve">Yes, optional</w:t>
            </w:r>
          </w:p>
        </w:tc>
        <w:tc>
          <w:tcPr>
            <w:tcW w:type="dxa" w:w="1700"/>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shd w:fill="EFF4F3" w:color="auto" w:val="clear"/>
            <w:tcMar>
              <w:top w:type="dxa" w:w="80"/>
              <w:left w:type="dxa" w:w="100"/>
              <w:bottom w:type="dxa" w:w="80"/>
              <w:right w:type="dxa" w:w="100"/>
            </w:tcMar>
          </w:tcPr>
          <w:p>
            <w:r>
              <w:rPr>
                <w:b w:val="false"/>
                <w:bCs w:val="false"/>
                <w:color w:val="111111"/>
                <w:sz w:val="19"/>
                <w:szCs w:val="19"/>
              </w:rPr>
              <w:t xml:space="preserve">Note-to-note graph linking</w:t>
            </w:r>
          </w:p>
        </w:tc>
        <w:tc>
          <w:tcPr>
            <w:tcW w:type="dxa" w:w="3260"/>
            <w:shd w:fill="EFF4F3" w:color="auto" w:val="clear"/>
            <w:tcMar>
              <w:top w:type="dxa" w:w="80"/>
              <w:left w:type="dxa" w:w="100"/>
              <w:bottom w:type="dxa" w:w="80"/>
              <w:right w:type="dxa" w:w="100"/>
            </w:tcMar>
          </w:tcPr>
          <w:p>
            <w:r>
              <w:rPr>
                <w:b w:val="false"/>
                <w:bCs w:val="false"/>
                <w:color w:val="111111"/>
                <w:sz w:val="19"/>
                <w:szCs w:val="19"/>
              </w:rPr>
              <w:t xml:space="preserve">TF-IDF + cosine similarity</w:t>
            </w:r>
          </w:p>
        </w:tc>
        <w:tc>
          <w:tcPr>
            <w:tcW w:type="dxa" w:w="2200"/>
            <w:shd w:fill="EFF4F3" w:color="auto" w:val="clear"/>
            <w:tcMar>
              <w:top w:type="dxa" w:w="80"/>
              <w:left w:type="dxa" w:w="100"/>
              <w:bottom w:type="dxa" w:w="80"/>
              <w:right w:type="dxa" w:w="100"/>
            </w:tcMar>
          </w:tcPr>
          <w:p>
            <w:r>
              <w:rPr>
                <w:b w:val="false"/>
                <w:bCs w:val="false"/>
                <w:color w:val="111111"/>
                <w:sz w:val="19"/>
                <w:szCs w:val="19"/>
              </w:rPr>
              <w:t xml:space="preserve">No</w:t>
            </w:r>
          </w:p>
        </w:tc>
        <w:tc>
          <w:tcPr>
            <w:tcW w:type="dxa" w:w="1700"/>
            <w:shd w:fill="EFF4F3" w:color="auto" w:val="clear"/>
            <w:tcMar>
              <w:top w:type="dxa" w:w="80"/>
              <w:left w:type="dxa" w:w="100"/>
              <w:bottom w:type="dxa" w:w="80"/>
              <w:right w:type="dxa" w:w="100"/>
            </w:tcMar>
          </w:tcPr>
          <w:p>
            <w:r>
              <w:rPr>
                <w:b w:val="false"/>
                <w:bCs w:val="false"/>
                <w:color w:val="111111"/>
                <w:sz w:val="19"/>
                <w:szCs w:val="19"/>
              </w:rPr>
              <w:t xml:space="preserve">Built, verified (Member 2 boundary)</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Per-topic scoring (mcq + theory combined)</w:t>
            </w:r>
          </w:p>
        </w:tc>
        <w:tc>
          <w:tcPr>
            <w:tcW w:type="dxa" w:w="3260"/>
            <w:tcMar>
              <w:top w:type="dxa" w:w="80"/>
              <w:left w:type="dxa" w:w="100"/>
              <w:bottom w:type="dxa" w:w="80"/>
              <w:right w:type="dxa" w:w="100"/>
            </w:tcMar>
          </w:tcPr>
          <w:p>
            <w:r>
              <w:rPr>
                <w:b w:val="false"/>
                <w:bCs w:val="false"/>
                <w:color w:val="111111"/>
                <w:sz w:val="19"/>
                <w:szCs w:val="19"/>
              </w:rPr>
              <w:t xml:space="preserve">Deterministic weighted fusion formula</w:t>
            </w:r>
          </w:p>
        </w:tc>
        <w:tc>
          <w:tcPr>
            <w:tcW w:type="dxa" w:w="2200"/>
            <w:tcMar>
              <w:top w:type="dxa" w:w="80"/>
              <w:left w:type="dxa" w:w="100"/>
              <w:bottom w:type="dxa" w:w="80"/>
              <w:right w:type="dxa" w:w="100"/>
            </w:tcMar>
          </w:tcPr>
          <w:p>
            <w:r>
              <w:rPr>
                <w:b w:val="false"/>
                <w:bCs w:val="false"/>
                <w:color w:val="111111"/>
                <w:sz w:val="19"/>
                <w:szCs w:val="19"/>
              </w:rPr>
              <w:t xml:space="preserve">No</w:t>
            </w:r>
          </w:p>
        </w:tc>
        <w:tc>
          <w:tcPr>
            <w:tcW w:type="dxa" w:w="1700"/>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shd w:fill="EFF4F3" w:color="auto" w:val="clear"/>
            <w:tcMar>
              <w:top w:type="dxa" w:w="80"/>
              <w:left w:type="dxa" w:w="100"/>
              <w:bottom w:type="dxa" w:w="80"/>
              <w:right w:type="dxa" w:w="100"/>
            </w:tcMar>
          </w:tcPr>
          <w:p>
            <w:r>
              <w:rPr>
                <w:b w:val="false"/>
                <w:bCs w:val="false"/>
                <w:color w:val="111111"/>
                <w:sz w:val="19"/>
                <w:szCs w:val="19"/>
              </w:rPr>
              <w:t xml:space="preserve">Feedback phrasing</w:t>
            </w:r>
          </w:p>
        </w:tc>
        <w:tc>
          <w:tcPr>
            <w:tcW w:type="dxa" w:w="3260"/>
            <w:shd w:fill="EFF4F3" w:color="auto" w:val="clear"/>
            <w:tcMar>
              <w:top w:type="dxa" w:w="80"/>
              <w:left w:type="dxa" w:w="100"/>
              <w:bottom w:type="dxa" w:w="80"/>
              <w:right w:type="dxa" w:w="100"/>
            </w:tcMar>
          </w:tcPr>
          <w:p>
            <w:r>
              <w:rPr>
                <w:b w:val="false"/>
                <w:bCs w:val="false"/>
                <w:color w:val="111111"/>
                <w:sz w:val="19"/>
                <w:szCs w:val="19"/>
              </w:rPr>
              <w:t xml:space="preserve">LLM phrasing of a fixed ranking, template fallback</w:t>
            </w:r>
          </w:p>
        </w:tc>
        <w:tc>
          <w:tcPr>
            <w:tcW w:type="dxa" w:w="2200"/>
            <w:shd w:fill="EFF4F3" w:color="auto" w:val="clear"/>
            <w:tcMar>
              <w:top w:type="dxa" w:w="80"/>
              <w:left w:type="dxa" w:w="100"/>
              <w:bottom w:type="dxa" w:w="80"/>
              <w:right w:type="dxa" w:w="100"/>
            </w:tcMar>
          </w:tcPr>
          <w:p>
            <w:r>
              <w:rPr>
                <w:b w:val="false"/>
                <w:bCs w:val="false"/>
                <w:color w:val="111111"/>
                <w:sz w:val="19"/>
                <w:szCs w:val="19"/>
              </w:rPr>
              <w:t xml:space="preserve">Yes, optional</w:t>
            </w:r>
          </w:p>
        </w:tc>
        <w:tc>
          <w:tcPr>
            <w:tcW w:type="dxa" w:w="1700"/>
            <w:shd w:fill="EFF4F3" w:color="auto" w:val="clear"/>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Difficulty tagging</w:t>
            </w:r>
          </w:p>
        </w:tc>
        <w:tc>
          <w:tcPr>
            <w:tcW w:type="dxa" w:w="3260"/>
            <w:tcMar>
              <w:top w:type="dxa" w:w="80"/>
              <w:left w:type="dxa" w:w="100"/>
              <w:bottom w:type="dxa" w:w="80"/>
              <w:right w:type="dxa" w:w="100"/>
            </w:tcMar>
          </w:tcPr>
          <w:p>
            <w:r>
              <w:rPr>
                <w:b w:val="false"/>
                <w:bCs w:val="false"/>
                <w:color w:val="111111"/>
                <w:sz w:val="19"/>
                <w:szCs w:val="19"/>
              </w:rPr>
              <w:t xml:space="preserve">Tier-first round-robin (fallback) / prompted (LLM)</w:t>
            </w:r>
          </w:p>
        </w:tc>
        <w:tc>
          <w:tcPr>
            <w:tcW w:type="dxa" w:w="2200"/>
            <w:tcMar>
              <w:top w:type="dxa" w:w="80"/>
              <w:left w:type="dxa" w:w="100"/>
              <w:bottom w:type="dxa" w:w="80"/>
              <w:right w:type="dxa" w:w="100"/>
            </w:tcMar>
          </w:tcPr>
          <w:p>
            <w:r>
              <w:rPr>
                <w:b w:val="false"/>
                <w:bCs w:val="false"/>
                <w:color w:val="111111"/>
                <w:sz w:val="19"/>
                <w:szCs w:val="19"/>
              </w:rPr>
              <w:t xml:space="preserve">Optional</w:t>
            </w:r>
          </w:p>
        </w:tc>
        <w:tc>
          <w:tcPr>
            <w:tcW w:type="dxa" w:w="1700"/>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shd w:fill="EFF4F3" w:color="auto" w:val="clear"/>
            <w:tcMar>
              <w:top w:type="dxa" w:w="80"/>
              <w:left w:type="dxa" w:w="100"/>
              <w:bottom w:type="dxa" w:w="80"/>
              <w:right w:type="dxa" w:w="100"/>
            </w:tcMar>
          </w:tcPr>
          <w:p>
            <w:r>
              <w:rPr>
                <w:b w:val="false"/>
                <w:bCs w:val="false"/>
                <w:color w:val="111111"/>
                <w:sz w:val="19"/>
                <w:szCs w:val="19"/>
              </w:rPr>
              <w:t xml:space="preserve">Adaptive item selection</w:t>
            </w:r>
          </w:p>
        </w:tc>
        <w:tc>
          <w:tcPr>
            <w:tcW w:type="dxa" w:w="3260"/>
            <w:shd w:fill="EFF4F3" w:color="auto" w:val="clear"/>
            <w:tcMar>
              <w:top w:type="dxa" w:w="80"/>
              <w:left w:type="dxa" w:w="100"/>
              <w:bottom w:type="dxa" w:w="80"/>
              <w:right w:type="dxa" w:w="100"/>
            </w:tcMar>
          </w:tcPr>
          <w:p>
            <w:r>
              <w:rPr>
                <w:b w:val="false"/>
                <w:bCs w:val="false"/>
                <w:color w:val="111111"/>
                <w:sz w:val="19"/>
                <w:szCs w:val="19"/>
              </w:rPr>
              <w:t xml:space="preserve">1-up-1-down staircase, nearest-tier fallback</w:t>
            </w:r>
          </w:p>
        </w:tc>
        <w:tc>
          <w:tcPr>
            <w:tcW w:type="dxa" w:w="2200"/>
            <w:shd w:fill="EFF4F3" w:color="auto" w:val="clear"/>
            <w:tcMar>
              <w:top w:type="dxa" w:w="80"/>
              <w:left w:type="dxa" w:w="100"/>
              <w:bottom w:type="dxa" w:w="80"/>
              <w:right w:type="dxa" w:w="100"/>
            </w:tcMar>
          </w:tcPr>
          <w:p>
            <w:r>
              <w:rPr>
                <w:b w:val="false"/>
                <w:bCs w:val="false"/>
                <w:color w:val="111111"/>
                <w:sz w:val="19"/>
                <w:szCs w:val="19"/>
              </w:rPr>
              <w:t xml:space="preserve">No (deterministic)</w:t>
            </w:r>
          </w:p>
        </w:tc>
        <w:tc>
          <w:tcPr>
            <w:tcW w:type="dxa" w:w="1700"/>
            <w:shd w:fill="EFF4F3" w:color="auto" w:val="clear"/>
            <w:tcMar>
              <w:top w:type="dxa" w:w="80"/>
              <w:left w:type="dxa" w:w="100"/>
              <w:bottom w:type="dxa" w:w="80"/>
              <w:right w:type="dxa" w:w="100"/>
            </w:tcMar>
          </w:tcPr>
          <w:p>
            <w:r>
              <w:rPr>
                <w:b w:val="false"/>
                <w:bCs w:val="false"/>
                <w:color w:val="111111"/>
                <w:sz w:val="19"/>
                <w:szCs w:val="19"/>
              </w:rPr>
              <w:t xml:space="preserve">Built, verified</w:t>
            </w:r>
          </w:p>
        </w:tc>
      </w:tr>
      <w:tr>
        <w:trPr>
          <w:cantSplit/>
        </w:trPr>
        <w:tc>
          <w:tcPr>
            <w:tcW w:type="dxa" w:w="2200"/>
            <w:tcMar>
              <w:top w:type="dxa" w:w="80"/>
              <w:left w:type="dxa" w:w="100"/>
              <w:bottom w:type="dxa" w:w="80"/>
              <w:right w:type="dxa" w:w="100"/>
            </w:tcMar>
          </w:tcPr>
          <w:p>
            <w:r>
              <w:rPr>
                <w:b w:val="false"/>
                <w:bCs w:val="false"/>
                <w:color w:val="111111"/>
                <w:sz w:val="19"/>
                <w:szCs w:val="19"/>
              </w:rPr>
              <w:t xml:space="preserve">Cross-attempt mastery modeling</w:t>
            </w:r>
          </w:p>
        </w:tc>
        <w:tc>
          <w:tcPr>
            <w:tcW w:type="dxa" w:w="3260"/>
            <w:tcMar>
              <w:top w:type="dxa" w:w="80"/>
              <w:left w:type="dxa" w:w="100"/>
              <w:bottom w:type="dxa" w:w="80"/>
              <w:right w:type="dxa" w:w="100"/>
            </w:tcMar>
          </w:tcPr>
          <w:p>
            <w:r>
              <w:rPr>
                <w:b w:val="false"/>
                <w:bCs w:val="false"/>
                <w:color w:val="111111"/>
                <w:sz w:val="19"/>
                <w:szCs w:val="19"/>
              </w:rPr>
              <w:t xml:space="preserve">Not implemented</w:t>
            </w:r>
          </w:p>
        </w:tc>
        <w:tc>
          <w:tcPr>
            <w:tcW w:type="dxa" w:w="2200"/>
            <w:tcMar>
              <w:top w:type="dxa" w:w="80"/>
              <w:left w:type="dxa" w:w="100"/>
              <w:bottom w:type="dxa" w:w="80"/>
              <w:right w:type="dxa" w:w="100"/>
            </w:tcMar>
          </w:tcPr>
          <w:p>
            <w:r>
              <w:rPr>
                <w:b w:val="false"/>
                <w:bCs w:val="false"/>
                <w:color w:val="111111"/>
                <w:sz w:val="19"/>
                <w:szCs w:val="19"/>
              </w:rPr>
              <w:t xml:space="preserve">—</w:t>
            </w:r>
          </w:p>
        </w:tc>
        <w:tc>
          <w:tcPr>
            <w:tcW w:type="dxa" w:w="1700"/>
            <w:tcMar>
              <w:top w:type="dxa" w:w="80"/>
              <w:left w:type="dxa" w:w="100"/>
              <w:bottom w:type="dxa" w:w="80"/>
              <w:right w:type="dxa" w:w="100"/>
            </w:tcMar>
          </w:tcPr>
          <w:p>
            <w:r>
              <w:rPr>
                <w:b w:val="false"/>
                <w:bCs w:val="false"/>
                <w:color w:val="111111"/>
                <w:sz w:val="19"/>
                <w:szCs w:val="19"/>
              </w:rPr>
              <w:t xml:space="preserve">Not built — see §5</w:t>
            </w:r>
          </w:p>
        </w:tc>
      </w:tr>
    </w:tbl>
    <w:p>
      <w:pPr>
        <w:spacing w:after="240" w:before="60"/>
      </w:pPr>
      <w:r>
        <w:rPr>
          <w:i/>
          <w:iCs/>
          <w:color w:val="5B6B70"/>
          <w:sz w:val="19"/>
          <w:szCs w:val="19"/>
        </w:rPr>
        <w:t xml:space="preserve">Every row marked "Built, verified" has passed automated end-to-end tests exercising the real API and, for the attempt flow, the real browser UI.</w:t>
      </w:r>
    </w:p>
    <w:p>
      <w:pPr>
        <w:pStyle w:val="Heading1"/>
        <w:pBdr>
          <w:bottom w:val="single" w:color="C9D3D2" w:sz="6" w:space="4"/>
        </w:pBdr>
        <w:spacing w:after="200" w:before="400"/>
      </w:pPr>
      <w:r>
        <w:rPr>
          <w:b/>
          <w:bCs/>
          <w:color w:val="1F4E5F"/>
          <w:sz w:val="30"/>
          <w:szCs w:val="30"/>
        </w:rPr>
        <w:t xml:space="preserve">4. Feasibility Analysis</w:t>
      </w:r>
    </w:p>
    <w:p>
      <w:pPr>
        <w:pStyle w:val="Heading2"/>
        <w:spacing w:after="120" w:before="300"/>
      </w:pPr>
      <w:r>
        <w:rPr>
          <w:b/>
          <w:bCs/>
          <w:color w:val="1F4E5F"/>
          <w:sz w:val="24"/>
          <w:szCs w:val="24"/>
        </w:rPr>
        <w:t xml:space="preserve">4.1 Technical feasibility</w:t>
      </w:r>
    </w:p>
    <w:p>
      <w:pPr>
        <w:spacing w:after="160" w:line="276"/>
      </w:pPr>
      <w:r>
        <w:rPr>
          <w:sz w:val="21"/>
          <w:szCs w:val="21"/>
        </w:rPr>
        <w:t xml:space="preserve">The module runs entirely on a standard Node.js/Express server with no GPU, no model-training step, and no vector database. TF-IDF and cosine similarity are pure-JavaScript computations over short text and scale linearly with corpus size, which is appropriate for a personal study app where a subject's note corpus is realistically dozens to low hundreds of notes rather than a large document collection. The LLM calls are stateless HTTP requests to Groq's hosted API wrapped in a single callLLM() function that returns null on any failure (timeout, missing key, malformed response), and every caller of that function already has a deterministic or template-based fallback path. This means the feature's availability does not depend on the LLM provider's uptime, which is a meaningful resilience property for a system that four team members and, eventually, real students will rely on.</w:t>
      </w:r>
    </w:p>
    <w:p>
      <w:pPr>
        <w:pStyle w:val="Heading2"/>
        <w:spacing w:after="120" w:before="300"/>
      </w:pPr>
      <w:r>
        <w:rPr>
          <w:b/>
          <w:bCs/>
          <w:color w:val="1F4E5F"/>
          <w:sz w:val="24"/>
          <w:szCs w:val="24"/>
        </w:rPr>
        <w:t xml:space="preserve">4.2 Cost and resource feasibility</w:t>
      </w:r>
    </w:p>
    <w:p>
      <w:pPr>
        <w:spacing w:after="160" w:line="276"/>
      </w:pPr>
      <w:r>
        <w:rPr>
          <w:sz w:val="21"/>
          <w:szCs w:val="21"/>
        </w:rPr>
        <w:t xml:space="preserve">There is no training cost because nothing in the pipeline is trained — TF-IDF, cosine similarity, and the fusion formula are all computed directly from data with fixed formulas, and the only learned component (the LLM) is used purely at inference time through a pay-per-call API rather than a fine-tuned or self-hosted model. This keeps the module runnable on free-tier or low-cost infrastructure, which matters for a student capstone project without a cloud budget, and aligns with Member 4's containerization workstream, which can package the server without needing to bundle any ML runtime beyond the OCR library already in use for note scanning.</w:t>
      </w:r>
    </w:p>
    <w:p>
      <w:pPr>
        <w:pStyle w:val="Heading2"/>
        <w:spacing w:after="120" w:before="300"/>
      </w:pPr>
      <w:r>
        <w:rPr>
          <w:b/>
          <w:bCs/>
          <w:color w:val="1F4E5F"/>
          <w:sz w:val="24"/>
          <w:szCs w:val="24"/>
        </w:rPr>
        <w:t xml:space="preserve">4.3 Academic and methodological soundness</w:t>
      </w:r>
    </w:p>
    <w:p>
      <w:pPr>
        <w:spacing w:after="160" w:line="276"/>
      </w:pPr>
      <w:r>
        <w:rPr>
          <w:sz w:val="21"/>
          <w:szCs w:val="21"/>
        </w:rPr>
        <w:t xml:space="preserve">Section 5 maps each of the module's design choices against the published literature area by area. The headline result is that most of the module's core techniques — LLM-based MCQ and theory-question generation with a curation/verification layer, TF-IDF-based keyword extraction feeding both cloze and explain-the-keyword generation, retrieval/verification-style grounding to reduce hallucination, LLM-based short-answer grading with a keyword-overlap fallback, and LLM-for-phrasing-only feedback generation — each have direct or closely analogous precedent in peer-reviewed work, which supports treating them as sound engineering choices rather than ad hoc shortcuts. A smaller number of choices — the exact verbatim-substring gate and the specific accuracy/time fusion weights — are original heuristics with no published precedent found; Section 5 and Section 8 state this explicitly and describe what each currently trades away by being a simplification of a more general published family of methods.</w:t>
      </w:r>
    </w:p>
    <w:p>
      <w:pPr>
        <w:pStyle w:val="Heading2"/>
        <w:spacing w:after="120" w:before="300"/>
      </w:pPr>
      <w:r>
        <w:rPr>
          <w:b/>
          <w:bCs/>
          <w:color w:val="1F4E5F"/>
          <w:sz w:val="24"/>
          <w:szCs w:val="24"/>
        </w:rPr>
        <w:t xml:space="preserve">4.4 Feasibility of the identified next steps</w:t>
      </w:r>
    </w:p>
    <w:p>
      <w:pPr>
        <w:spacing w:after="160" w:line="276"/>
      </w:pPr>
      <w:r>
        <w:rPr>
          <w:sz w:val="21"/>
          <w:szCs w:val="21"/>
        </w:rPr>
        <w:t xml:space="preserve">A basic version of one previously-identified next step — adaptive item selection — is now built, as a 1-up-1-down staircase over heuristically-tagged difficulty tiers (§3.5). It was feasible to build immediately because it needed no calibration data: the tiers come from a keyword-band heuristic at generation time, not from fitting a model to prior responses. The highest-priority upgrade that remains, Bayesian Knowledge Tracing, was deliberately chosen because it is feasible under the same no-ML-infra constraint: it is a lightweight probabilistic model that can be fit with simple update rules in ordinary application code, unlike its deep-learning successors (Deep Knowledge Tracing, SAKT, AKT) which require a training pipeline, GPU access, and a much larger logged-response dataset than a capstone project's user base is likely to produce in one semester. Replacing the staircase's heuristic tiers with calibrated Rasch (1-parameter IRT) difficulties and true ability-based selection is feasible on the same grounds, but only once the system has accumulated enough real response data to calibrate against — until then, estimated item parameters would be no more trustworthy than the heuristic tiers already in place, so it is sequenced after Bayesian Knowledge Tracing in Section 7.</w:t>
      </w:r>
    </w:p>
    <w:p>
      <w:r>
        <w:br w:type="page"/>
      </w:r>
    </w:p>
    <w:p>
      <w:pPr>
        <w:pStyle w:val="Heading1"/>
        <w:pBdr>
          <w:bottom w:val="single" w:color="C9D3D2" w:sz="6" w:space="4"/>
        </w:pBdr>
        <w:spacing w:after="200" w:before="400"/>
      </w:pPr>
      <w:r>
        <w:rPr>
          <w:b/>
          <w:bCs/>
          <w:color w:val="1F4E5F"/>
          <w:sz w:val="30"/>
          <w:szCs w:val="30"/>
        </w:rPr>
        <w:t xml:space="preserve">5. ML / Technology Algorithm Survey</w:t>
      </w:r>
    </w:p>
    <w:p>
      <w:pPr>
        <w:spacing w:after="160" w:line="276"/>
      </w:pPr>
      <w:r>
        <w:rPr>
          <w:sz w:val="21"/>
          <w:szCs w:val="21"/>
        </w:rPr>
        <w:t xml:space="preserve">This section works through the eight technique areas relevant to test generation and feedback — the original seven, plus automatic short-answer grading (area H), added once the module's scope grew from MCQ-only to also generating and grading free-text theory questions in mixed tests. For each area, it states what Mind Atlas has built, the closest published approaches (detailed with full citations in Section 6), and a concrete upgrade path with an honest effort estimate.</w:t>
      </w:r>
    </w:p>
    <w:p>
      <w:pPr>
        <w:pStyle w:val="Heading2"/>
        <w:spacing w:after="120" w:before="300"/>
      </w:pPr>
      <w:r>
        <w:rPr>
          <w:b/>
          <w:bCs/>
          <w:color w:val="1F4E5F"/>
          <w:sz w:val="24"/>
          <w:szCs w:val="24"/>
        </w:rPr>
        <w:t xml:space="preserve">A. Automatic Question Generation (AQG)</w:t>
      </w:r>
    </w:p>
    <w:p>
      <w:pPr>
        <w:spacing w:after="160" w:line="276"/>
      </w:pPr>
      <w:r>
        <w:rPr>
          <w:sz w:val="21"/>
          <w:szCs w:val="21"/>
        </w:rPr>
        <w:t xml:space="preserve">Built: LLM-prompted MCQ generation from note text (llama-3.3-70b-versatile), plus a fully independent rule-based cloze generator as a zero-cost fallback.</w:t>
      </w:r>
    </w:p>
    <w:p>
      <w:pPr>
        <w:spacing w:after="160" w:line="276"/>
      </w:pPr>
      <w:r>
        <w:rPr>
          <w:sz w:val="21"/>
          <w:szCs w:val="21"/>
        </w:rPr>
        <w:t xml:space="preserve">Literature position: neural AQG moved from trained seq2seq models (Du, Shao &amp; Cardie, 2017) to general-purpose LLM prompting; Kurdi et al.'s (2020) systematic review of 93 AQG papers explicitly names feedback generation and difficulty control as open gaps in the field, which is exactly where this module's feedback engine (area G) adds value beyond a typical AQG system. Lee et al. (2024) found LLMs draft strong stems but need a checking layer before the output can be trusted for real assessment — directly validating the decision to gate LLM output rather than accept it as-is.</w:t>
      </w:r>
    </w:p>
    <w:p>
      <w:pPr>
        <w:spacing w:after="160" w:line="276"/>
      </w:pPr>
      <w:r>
        <w:rPr>
          <w:i/>
          <w:iCs/>
          <w:sz w:val="21"/>
          <w:szCs w:val="21"/>
        </w:rPr>
        <w:t xml:space="preserve">Upgrade path (low effort): allow per-question difficulty tagging in the generation prompt, since difficulty control was named as an open gap the module could close cheaply.</w:t>
      </w:r>
    </w:p>
    <w:p>
      <w:pPr>
        <w:pStyle w:val="Heading2"/>
        <w:spacing w:after="120" w:before="300"/>
      </w:pPr>
      <w:r>
        <w:rPr>
          <w:b/>
          <w:bCs/>
          <w:color w:val="1F4E5F"/>
          <w:sz w:val="24"/>
          <w:szCs w:val="24"/>
        </w:rPr>
        <w:t xml:space="preserve">B. Distractor Generation</w:t>
      </w:r>
    </w:p>
    <w:p>
      <w:pPr>
        <w:spacing w:after="160" w:line="276"/>
      </w:pPr>
      <w:r>
        <w:rPr>
          <w:sz w:val="21"/>
          <w:szCs w:val="21"/>
        </w:rPr>
        <w:t xml:space="preserve">Built: LLM-generated distractors on the primary path (currently ungated); cross-note keyword pooling as the fallback path's distractor source.</w:t>
      </w:r>
    </w:p>
    <w:p>
      <w:pPr>
        <w:spacing w:after="160" w:line="276"/>
      </w:pPr>
      <w:r>
        <w:rPr>
          <w:sz w:val="21"/>
          <w:szCs w:val="21"/>
        </w:rPr>
        <w:t xml:space="preserve">Literature position: Nwafor &amp; Onyenwe (2021) describe a rule-based pipeline structurally identical to the fallback — TF-IDF keyword extraction, cloze blanking, distractors drawn from a keyword pool — which is strong evidence the fallback follows a recognized published pattern rather than an ad hoc shortcut. On the neural side, Bitew et al. (2023) found LLM+retrieval distractor generation cuts the nonsense-distractor rate roughly in half versus plain prompting, and Qiu, Wu &amp; Fan's (2020) EDGE model is the modern neural benchmark for keeping distractors plausible-but-wrong.</w:t>
      </w:r>
    </w:p>
    <w:p>
      <w:pPr>
        <w:spacing w:after="160" w:line="276"/>
      </w:pPr>
      <w:r>
        <w:rPr>
          <w:i/>
          <w:iCs/>
          <w:sz w:val="21"/>
          <w:szCs w:val="21"/>
        </w:rPr>
        <w:t xml:space="preserve">Upgrade path (medium effort): extend the existing hallucination gate to also verify distractor plausibility (e.g., reject a distractor that is itself a verbatim excerpt elsewhere in the notes, which would make it arguably correct), following Bitew et al.'s finding that ungated LLM distractors still fail a meaningful fraction of the time.</w:t>
      </w:r>
    </w:p>
    <w:p>
      <w:pPr>
        <w:pStyle w:val="Heading2"/>
        <w:spacing w:after="120" w:before="300"/>
      </w:pPr>
      <w:r>
        <w:rPr>
          <w:b/>
          <w:bCs/>
          <w:color w:val="1F4E5F"/>
          <w:sz w:val="24"/>
          <w:szCs w:val="24"/>
        </w:rPr>
        <w:t xml:space="preserve">C. Grounding &amp; Hallucination Reduction</w:t>
      </w:r>
    </w:p>
    <w:p>
      <w:pPr>
        <w:spacing w:after="160" w:line="276"/>
      </w:pPr>
      <w:r>
        <w:rPr>
          <w:sz w:val="21"/>
          <w:szCs w:val="21"/>
        </w:rPr>
        <w:t xml:space="preserve">Built: a whitespace-normalized verbatim-substring check of the generated supportingExcerpt against the source notes, plus a check that correctAnswer is literally among the offered options.</w:t>
      </w:r>
    </w:p>
    <w:p>
      <w:pPr>
        <w:spacing w:after="160" w:line="276"/>
      </w:pPr>
      <w:r>
        <w:rPr>
          <w:sz w:val="21"/>
          <w:szCs w:val="21"/>
        </w:rPr>
        <w:t xml:space="preserve">Literature position: this sits inside the broader "verify generation against a source" family that includes retrieval-augmented generation (Lewis et al., 2020) and post-hoc factual-consistency checking such as FActScore (Min et al., 2023). The module's gate is a stricter, purely lexical special case of that family — deterministic and auditable, but brittle to paraphrase in a way a semantic/entailment-based checker (as used in FActScore or TRUE) would not be. It is a different family from consistency-only detectors like SelfCheckGPT (Manakul et al., 2023), which need no source document at all — Mind Atlas deliberately uses the source-grounded family since the notes are available as ground truth.</w:t>
      </w:r>
    </w:p>
    <w:p>
      <w:pPr>
        <w:spacing w:after="160" w:line="276"/>
      </w:pPr>
      <w:r>
        <w:rPr>
          <w:i/>
          <w:iCs/>
          <w:sz w:val="21"/>
          <w:szCs w:val="21"/>
        </w:rPr>
        <w:t xml:space="preserve">Upgrade path (medium effort): relax the exact-substring check to a fuzzy or embedding-similarity threshold so a lightly paraphrased but faithful excerpt is not needlessly discarded, trading some strictness for recall.</w:t>
      </w:r>
    </w:p>
    <w:p>
      <w:pPr>
        <w:pStyle w:val="Heading2"/>
        <w:spacing w:after="120" w:before="300"/>
      </w:pPr>
      <w:r>
        <w:rPr>
          <w:b/>
          <w:bCs/>
          <w:color w:val="1F4E5F"/>
          <w:sz w:val="24"/>
          <w:szCs w:val="24"/>
        </w:rPr>
        <w:t xml:space="preserve">D. Classical NLP for Similarity &amp; Keyword Extraction</w:t>
      </w:r>
    </w:p>
    <w:p>
      <w:pPr>
        <w:spacing w:after="160" w:line="276"/>
      </w:pPr>
      <w:r>
        <w:rPr>
          <w:sz w:val="21"/>
          <w:szCs w:val="21"/>
        </w:rPr>
        <w:t xml:space="preserve">Built: TF-IDF vectors and cosine similarity, used both for fallback-path keyword extraction and for Member 2's note-to-note graph linking.</w:t>
      </w:r>
    </w:p>
    <w:p>
      <w:pPr>
        <w:spacing w:after="160" w:line="276"/>
      </w:pPr>
      <w:r>
        <w:rPr>
          <w:sz w:val="21"/>
          <w:szCs w:val="21"/>
        </w:rPr>
        <w:t xml:space="preserve">Literature position: TF-IDF itself is the long-established Salton &amp; Buckley (1988) term-weighting scheme. Its specific application here — linking short, informal student notes into a graph, rather than formal documents — has no exact published precedent found in this review; this is fairly described as the team's own pragmatic application of a well-understood technique, chosen specifically because it needs no embedding model or ML infra.</w:t>
      </w:r>
    </w:p>
    <w:p>
      <w:pPr>
        <w:spacing w:after="160" w:line="276"/>
      </w:pPr>
      <w:r>
        <w:rPr>
          <w:i/>
          <w:iCs/>
          <w:sz w:val="21"/>
          <w:szCs w:val="21"/>
        </w:rPr>
        <w:t xml:space="preserve">Upgrade path (low effort, no ML infra required): TextRank (Mihalcea &amp; Tarau, 2004) is a graph-based keyword extractor that captures word co-occurrence structure TF-IDF misses, and would be a drop-in upgrade to the fallback generator's keyword step without adding any dependency beyond what a pure-JS implementation needs.</w:t>
      </w:r>
    </w:p>
    <w:p>
      <w:pPr>
        <w:pStyle w:val="Heading2"/>
        <w:spacing w:after="120" w:before="300"/>
      </w:pPr>
      <w:r>
        <w:rPr>
          <w:b/>
          <w:bCs/>
          <w:color w:val="1F4E5F"/>
          <w:sz w:val="24"/>
          <w:szCs w:val="24"/>
        </w:rPr>
        <w:t xml:space="preserve">E. Item Response Theory &amp; Computerized Adaptive Testing</w:t>
      </w:r>
    </w:p>
    <w:p>
      <w:pPr>
        <w:spacing w:after="160" w:line="276"/>
      </w:pPr>
      <w:r>
        <w:rPr>
          <w:sz w:val="21"/>
          <w:szCs w:val="21"/>
        </w:rPr>
        <w:t xml:space="preserve">Built: a 1-up-1-down staircase controller (adaptiveEngine.js) — the simple end of this literature area, not full IRT. Each question carries a heuristically-assigned difficulty tier (easy/medium/hard) rather than a calibrated difficulty/discrimination parameter, and the controller tracks only a current tier, not a continuous ability estimate. A good response steps the next question up a tier, a poor one steps it down, drawing from a deeper generated pool than the test actually delivers so every tier has real depth to select from. This is a deliberate, named simplification, not the full model Lord (1980) and van der Linden &amp; Glas (2000) describe.</w:t>
      </w:r>
    </w:p>
    <w:p>
      <w:pPr>
        <w:spacing w:after="160" w:line="276"/>
      </w:pPr>
      <w:r>
        <w:rPr>
          <w:sz w:val="21"/>
          <w:szCs w:val="21"/>
        </w:rPr>
        <w:t xml:space="preserve">Literature position: Lord (1980) formalizes the classic IRT logistic models that a calibrated version of this controller would need; Weiss (1982)'s 1-up-1-down adaptive procedure is the direct precedent for the stepping rule actually implemented; van der Linden &amp; Glas (2000) is the standard engineering reference for the algorithms (ability estimation, maximum-information item selection, exposure control) a full CAT implementation would still need beyond what is built.</w:t>
      </w:r>
    </w:p>
    <w:p>
      <w:pPr>
        <w:spacing w:after="160" w:line="276"/>
      </w:pPr>
      <w:r>
        <w:rPr>
          <w:i/>
          <w:iCs/>
          <w:sz w:val="21"/>
          <w:szCs w:val="21"/>
        </w:rPr>
        <w:t xml:space="preserve">Upgrade path (higher effort, but no GPU needed): calibrate simple 1-parameter (Rasch) item difficulties from accumulated response data once enough attempts exist, then replace the staircase's heuristic tiers with true ability-based item selection — a scoped version of van der Linden &amp; Glas's engineering blueprint, and the natural successor to the staircase already in place.</w:t>
      </w:r>
    </w:p>
    <w:p>
      <w:pPr>
        <w:pStyle w:val="Heading2"/>
        <w:spacing w:after="120" w:before="300"/>
      </w:pPr>
      <w:r>
        <w:rPr>
          <w:b/>
          <w:bCs/>
          <w:color w:val="1F4E5F"/>
          <w:sz w:val="24"/>
          <w:szCs w:val="24"/>
        </w:rPr>
        <w:t xml:space="preserve">F. Knowledge Tracing</w:t>
      </w:r>
    </w:p>
    <w:p>
      <w:pPr>
        <w:spacing w:after="160" w:line="276"/>
      </w:pPr>
      <w:r>
        <w:rPr>
          <w:sz w:val="21"/>
          <w:szCs w:val="21"/>
        </w:rPr>
        <w:t xml:space="preserve">Built: none yet — feedback is computed from a single attempt's snapshot of accuracy and response time, with no model of mastery accumulating across multiple attempts over time.</w:t>
      </w:r>
    </w:p>
    <w:p>
      <w:pPr>
        <w:spacing w:after="160" w:line="276"/>
      </w:pPr>
      <w:r>
        <w:rPr>
          <w:sz w:val="21"/>
          <w:szCs w:val="21"/>
        </w:rPr>
        <w:t xml:space="preserve">Literature position: Corbett &amp; Anderson's (1994) Bayesian Knowledge Tracing (BKT) is the foundational lightweight per-skill mastery model, estimated with a simple Hidden Markov Model and no deep learning. Piech et al.'s (2015) Deep Knowledge Tracing (DKT), Pandey &amp; Karypis's (2019) SAKT, and Ghosh, Heffernan &amp; Lan's (2020) AKT represent progressively more powerful neural successors — all of which require a training pipeline and a much larger response-log dataset than a capstone project is likely to accumulate in one semester.</w:t>
      </w:r>
    </w:p>
    <w:p>
      <w:pPr>
        <w:spacing w:after="160" w:line="276"/>
      </w:pPr>
      <w:r>
        <w:rPr>
          <w:i/>
          <w:iCs/>
          <w:sz w:val="21"/>
          <w:szCs w:val="21"/>
        </w:rPr>
        <w:t xml:space="preserve">Upgrade path (medium effort, fits no-ML-infra constraint): implement BKT per topic, updating a mastery probability after every attempt rather than recomputing attentionScore from scratch each time — the single highest-value upgrade this report identifies, because it is both lightweight and directly extends the existing per-topic scoring the feedback engine already computes.</w:t>
      </w:r>
    </w:p>
    <w:p>
      <w:pPr>
        <w:pStyle w:val="Heading2"/>
        <w:spacing w:after="120" w:before="300"/>
      </w:pPr>
      <w:r>
        <w:rPr>
          <w:b/>
          <w:bCs/>
          <w:color w:val="1F4E5F"/>
          <w:sz w:val="24"/>
          <w:szCs w:val="24"/>
        </w:rPr>
        <w:t xml:space="preserve">G. Automated / Personalized Feedback Generation</w:t>
      </w:r>
    </w:p>
    <w:p>
      <w:pPr>
        <w:spacing w:after="160" w:line="276"/>
      </w:pPr>
      <w:r>
        <w:rPr>
          <w:sz w:val="21"/>
          <w:szCs w:val="21"/>
        </w:rPr>
        <w:t xml:space="preserve">Built: a deterministic per-topic score with no LLM involvement in the ranking, and an LLM used only to phrase the fixed ranking into natural language, with a template fallback.</w:t>
      </w:r>
    </w:p>
    <w:p>
      <w:pPr>
        <w:spacing w:after="160" w:line="276"/>
      </w:pPr>
      <w:r>
        <w:rPr>
          <w:sz w:val="21"/>
          <w:szCs w:val="21"/>
        </w:rPr>
        <w:t xml:space="preserve">Literature position: Shute's (2008) review establishes that elaborated, explanatory feedback outperforms simple correct/incorrect feedback, supporting the choice to phrase results in natural language at all. Reddig, Arora &amp; MacLellan (2025) is the closest verifiable match to the module's architecture: they found LLMs are reasonably good at diagnosing errors but only about a third of LLM-phrased hints were rated genuinely helpful — directly validating the decision to compute the diagnosis deterministically and use the LLM only for the language layer, with a template fallback for when that layer is unreliable or unavailable.</w:t>
      </w:r>
    </w:p>
    <w:p>
      <w:pPr>
        <w:spacing w:after="160" w:line="276"/>
      </w:pPr>
      <w:r>
        <w:rPr>
          <w:i/>
          <w:iCs/>
          <w:sz w:val="21"/>
          <w:szCs w:val="21"/>
        </w:rPr>
        <w:t xml:space="preserve">Upgrade path: none required for soundness — the current architecture already matches the safer pattern the literature recommends. The highest-value change here is upstream: feeding a knowledge-tracing-based mastery estimate (area F) into the phrasing step instead of a single-attempt snapshot.</w:t>
      </w:r>
    </w:p>
    <w:p>
      <w:pPr>
        <w:pStyle w:val="Heading2"/>
        <w:spacing w:after="120" w:before="300"/>
      </w:pPr>
      <w:r>
        <w:rPr>
          <w:b/>
          <w:bCs/>
          <w:color w:val="1F4E5F"/>
          <w:sz w:val="24"/>
          <w:szCs w:val="24"/>
        </w:rPr>
        <w:t xml:space="preserve">H. Automatic Short Answer Grading (ASAG)</w:t>
      </w:r>
    </w:p>
    <w:p>
      <w:pPr>
        <w:spacing w:after="160" w:line="276"/>
      </w:pPr>
      <w:r>
        <w:rPr>
          <w:sz w:val="21"/>
          <w:szCs w:val="21"/>
        </w:rPr>
        <w:t xml:space="preserve">Built: a theory-answer grading engine with the same two-path pattern used everywhere else — an LLM (Groq llama-3.3-70b) scores a student's free-text answer 0-1 against the question's modelAnswer and keyPoints, judging meaning rather than exact wording; when no LLM is available, a deterministic keyword-overlap fallback scores the fraction of keyPoints found as a substring of the student's normalized answer.</w:t>
      </w:r>
    </w:p>
    <w:p>
      <w:pPr>
        <w:spacing w:after="160" w:line="276"/>
      </w:pPr>
      <w:r>
        <w:rPr>
          <w:sz w:val="21"/>
          <w:szCs w:val="21"/>
        </w:rPr>
        <w:t xml:space="preserve">Literature position: Mohler &amp; Mihalcea's (2009) foundational ASAG benchmark shows purely lexical/keyword-overlap scoring — the family the fallback belongs to — correlates only moderately with human grades, which is a known, historically documented limitation rather than a new risk. On the LLM side, the evidence is mixed in a way that matters for design: Henkel et al. (2024) found GPT-4 with few-shot prompting approached human-human grading agreement on real K-12 short answers, supporting the viability of the LLM path, while Ferreira Mello et al. (2025) found traditional (non-LLM) models often matched or beat GPT-4 on multilingual ASAG, and Rodrigues et al. (2025) found GPT-4 tends to grade more leniently than human raters. Together these say an LLM grader is a reasonable default but not an automatic upgrade over a simpler method, and that leniency is a specific, documented failure mode to watch for.</w:t>
      </w:r>
    </w:p>
    <w:p>
      <w:pPr>
        <w:spacing w:after="160" w:line="276"/>
      </w:pPr>
      <w:r>
        <w:rPr>
          <w:i/>
          <w:iCs/>
          <w:sz w:val="21"/>
          <w:szCs w:val="21"/>
        </w:rPr>
        <w:t xml:space="preserve">Upgrade path (low effort): tighten the grading prompt to explicitly instruct the model to penalize missing key points rather than reward superficial similarity, directly targeting the leniency bias Rodrigues et al. (2025) documented in GPT-4 graders.</w:t>
      </w:r>
    </w:p>
    <w:p>
      <w:r>
        <w:br w:type="page"/>
      </w:r>
    </w:p>
    <w:p>
      <w:pPr>
        <w:pStyle w:val="Heading1"/>
        <w:pBdr>
          <w:bottom w:val="single" w:color="C9D3D2" w:sz="6" w:space="4"/>
        </w:pBdr>
        <w:spacing w:after="200" w:before="400"/>
      </w:pPr>
      <w:r>
        <w:rPr>
          <w:b/>
          <w:bCs/>
          <w:color w:val="1F4E5F"/>
          <w:sz w:val="30"/>
          <w:szCs w:val="30"/>
        </w:rPr>
        <w:t xml:space="preserve">6. Literature Review / Annotated Bibliography</w:t>
      </w:r>
    </w:p>
    <w:p>
      <w:pPr>
        <w:spacing w:after="160" w:line="276"/>
      </w:pPr>
      <w:r>
        <w:rPr>
          <w:sz w:val="21"/>
          <w:szCs w:val="21"/>
        </w:rPr>
        <w:t xml:space="preserve">Every source below was located and verified via live search against its original publication venue (arXiv, ACL Anthology, Springer, ACM, or SAGE) rather than recalled from memory. Two areas — the exact verbatim hallucination-gate design and the specific accuracy/response-time fusion formula — had no verifiable published precedent; this is stated plainly at the end of this section rather than attached to a citation that does not actually describe them.</w:t>
      </w:r>
    </w:p>
    <w:p>
      <w:pPr>
        <w:pStyle w:val="Heading2"/>
        <w:spacing w:after="120" w:before="300"/>
      </w:pPr>
      <w:r>
        <w:rPr>
          <w:b/>
          <w:bCs/>
          <w:color w:val="1F4E5F"/>
          <w:sz w:val="24"/>
          <w:szCs w:val="24"/>
        </w:rPr>
        <w:t xml:space="preserve">A. Automatic Question Generation</w:t>
      </w:r>
    </w:p>
    <w:p>
      <w:pPr>
        <w:pStyle w:val="Heading3"/>
        <w:spacing w:after="100" w:before="220"/>
      </w:pPr>
      <w:r>
        <w:rPr>
          <w:b/>
          <w:bCs/>
          <w:color w:val="2E7D6B"/>
          <w:sz w:val="22"/>
          <w:szCs w:val="22"/>
        </w:rPr>
        <w:t xml:space="preserve">Kurdi, G., Leo, J., Parsia, B., Sattler, U., &amp; Al-Emari, S. (2020). A Systematic Review of Automatic Question Generation for Educational Purposes. International Journal of Artificial Intelligence in Education, 30(1), 121–204.</w:t>
      </w:r>
    </w:p>
    <w:p>
      <w:pPr>
        <w:spacing w:after="160" w:line="276"/>
      </w:pPr>
      <w:r>
        <w:rPr>
          <w:sz w:val="21"/>
          <w:szCs w:val="21"/>
        </w:rPr>
        <w:t xml:space="preserve">Systematically reviewed 93 AQG papers (2015–early 2019), covering generation techniques, question types, and evaluation practices.</w:t>
      </w:r>
    </w:p>
    <w:p>
      <w:pPr>
        <w:spacing w:after="160" w:line="276"/>
      </w:pPr>
      <w:r>
        <w:rPr>
          <w:i w:val="false"/>
          <w:iCs w:val="false"/>
          <w:sz w:val="21"/>
          <w:szCs w:val="21"/>
        </w:rPr>
        <w:t xml:space="preserve">Explicitly names feedback generation and difficulty control as underexplored gaps — positioning Mind Atlas's feedback engine (area G) as addressing a genuine, still-open problem rather than a solved one.</w:t>
      </w:r>
    </w:p>
    <w:p>
      <w:pPr>
        <w:pStyle w:val="Heading3"/>
        <w:spacing w:after="100" w:before="220"/>
      </w:pPr>
      <w:r>
        <w:rPr>
          <w:b/>
          <w:bCs/>
          <w:color w:val="2E7D6B"/>
          <w:sz w:val="22"/>
          <w:szCs w:val="22"/>
        </w:rPr>
        <w:t xml:space="preserve">Du, X., Shao, J., &amp; Cardie, C. (2017). Learning to Ask: Neural Question Generation for Reading Comprehension. Proceedings of ACL 2017.</w:t>
      </w:r>
    </w:p>
    <w:p>
      <w:pPr>
        <w:spacing w:after="160" w:line="276"/>
      </w:pPr>
      <w:r>
        <w:rPr>
          <w:sz w:val="21"/>
          <w:szCs w:val="21"/>
        </w:rPr>
        <w:t xml:space="preserve">One of the first neural sequence-to-sequence models to generate questions directly from a passage, moving the field beyond template-based transformation rules.</w:t>
      </w:r>
    </w:p>
    <w:p>
      <w:pPr>
        <w:spacing w:after="160" w:line="276"/>
      </w:pPr>
      <w:r>
        <w:rPr>
          <w:i w:val="false"/>
          <w:iCs w:val="false"/>
          <w:sz w:val="21"/>
          <w:szCs w:val="21"/>
        </w:rPr>
        <w:t xml:space="preserve">Establishes the historical baseline that Mind Atlas's LLM-prompting approach supersedes architecturally, by using a general-purpose pretrained model instead of a bespoke trained generator.</w:t>
      </w:r>
    </w:p>
    <w:p>
      <w:pPr>
        <w:pStyle w:val="Heading3"/>
        <w:spacing w:after="100" w:before="220"/>
      </w:pPr>
      <w:r>
        <w:rPr>
          <w:b/>
          <w:bCs/>
          <w:color w:val="2E7D6B"/>
          <w:sz w:val="22"/>
          <w:szCs w:val="22"/>
        </w:rPr>
        <w:t xml:space="preserve">Lee, J., Smith, D., Woodhead, S., &amp; Lan, A. (2024). Math Multiple Choice Question Generation via Human–Large Language Model Collaboration. Proceedings of the 17th International Conference on Educational Data Mining (EDM 2024).</w:t>
      </w:r>
    </w:p>
    <w:p>
      <w:pPr>
        <w:spacing w:after="160" w:line="276"/>
      </w:pPr>
      <w:r>
        <w:rPr>
          <w:sz w:val="21"/>
          <w:szCs w:val="21"/>
        </w:rPr>
        <w:t xml:space="preserve">A human-in-the-loop tool where an LLM drafts MCQ stems for a teacher to edit; found LLMs strong at stems but weak at distractors capturing real misconceptions.</w:t>
      </w:r>
    </w:p>
    <w:p>
      <w:pPr>
        <w:spacing w:after="160" w:line="276"/>
      </w:pPr>
      <w:r>
        <w:rPr>
          <w:i w:val="false"/>
          <w:iCs w:val="false"/>
          <w:sz w:val="21"/>
          <w:szCs w:val="21"/>
        </w:rPr>
        <w:t xml:space="preserve">Supports gating LLM output with an independent check rather than trusting it wholesale — the same principle behind the hallucination gate.</w:t>
      </w:r>
    </w:p>
    <w:p>
      <w:pPr>
        <w:pStyle w:val="Heading2"/>
        <w:spacing w:after="120" w:before="300"/>
      </w:pPr>
      <w:r>
        <w:rPr>
          <w:b/>
          <w:bCs/>
          <w:color w:val="1F4E5F"/>
          <w:sz w:val="24"/>
          <w:szCs w:val="24"/>
        </w:rPr>
        <w:t xml:space="preserve">B. Distractor Generation</w:t>
      </w:r>
    </w:p>
    <w:p>
      <w:pPr>
        <w:pStyle w:val="Heading3"/>
        <w:spacing w:after="100" w:before="220"/>
      </w:pPr>
      <w:r>
        <w:rPr>
          <w:b/>
          <w:bCs/>
          <w:color w:val="2E7D6B"/>
          <w:sz w:val="22"/>
          <w:szCs w:val="22"/>
        </w:rPr>
        <w:t xml:space="preserve">Qiu, Z., Wu, X., &amp; Fan, W. (2020). Automatic Distractor Generation for Multiple Choice Questions in Standard Tests. Proceedings of COLING 2020, 2096–2106.</w:t>
      </w:r>
    </w:p>
    <w:p>
      <w:pPr>
        <w:spacing w:after="160" w:line="276"/>
      </w:pPr>
      <w:r>
        <w:rPr>
          <w:sz w:val="21"/>
          <w:szCs w:val="21"/>
        </w:rPr>
        <w:t xml:space="preserve">Proposed EDGE, a neural sequence model with gating mechanisms designed to keep generated distractors plausible but wrong.</w:t>
      </w:r>
    </w:p>
    <w:p>
      <w:pPr>
        <w:spacing w:after="160" w:line="276"/>
      </w:pPr>
      <w:r>
        <w:rPr>
          <w:i w:val="false"/>
          <w:iCs w:val="false"/>
          <w:sz w:val="21"/>
          <w:szCs w:val="21"/>
        </w:rPr>
        <w:t xml:space="preserve">The modern neural benchmark to contrast against the fallback generator's cross-note keyword-pooling distractors, useful for framing the fallback as a deliberately cheap substitute rather than state of the art.</w:t>
      </w:r>
    </w:p>
    <w:p>
      <w:pPr>
        <w:pStyle w:val="Heading3"/>
        <w:spacing w:after="100" w:before="220"/>
      </w:pPr>
      <w:r>
        <w:rPr>
          <w:b/>
          <w:bCs/>
          <w:color w:val="2E7D6B"/>
          <w:sz w:val="22"/>
          <w:szCs w:val="22"/>
        </w:rPr>
        <w:t xml:space="preserve">Bitew, S. K., Deleu, J., Develder, C., &amp; Demeester, T. (2023). Distractor Generation for Multiple-Choice Questions with Predictive Prompting and Large Language Models. ECML PKDD 2023 Workshop Track, CCIS vol. 2134, 48–63.</w:t>
      </w:r>
    </w:p>
    <w:p>
      <w:pPr>
        <w:spacing w:after="160" w:line="276"/>
      </w:pPr>
      <w:r>
        <w:rPr>
          <w:sz w:val="21"/>
          <w:szCs w:val="21"/>
        </w:rPr>
        <w:t xml:space="preserve">Compared fine-tuned T5, zero-shot ChatGPT, and a retrieval-augmented "predictive prompting" ChatGPT approach for distractor generation, finding the retrieval-augmented approach roughly halved the nonsense-distractor rate.</w:t>
      </w:r>
    </w:p>
    <w:p>
      <w:pPr>
        <w:spacing w:after="160" w:line="276"/>
      </w:pPr>
      <w:r>
        <w:rPr>
          <w:i w:val="false"/>
          <w:iCs w:val="false"/>
          <w:sz w:val="21"/>
          <w:szCs w:val="21"/>
        </w:rPr>
        <w:t xml:space="preserve">Validates using an LLM for distractor generation, and its finding that ungated LLM prompting still produces bad distractors a meaningful fraction of the time motivates extending the existing hallucination gate to cover distractors specifically.</w:t>
      </w:r>
    </w:p>
    <w:p>
      <w:pPr>
        <w:pStyle w:val="Heading3"/>
        <w:spacing w:after="100" w:before="220"/>
      </w:pPr>
      <w:r>
        <w:rPr>
          <w:b/>
          <w:bCs/>
          <w:color w:val="2E7D6B"/>
          <w:sz w:val="22"/>
          <w:szCs w:val="22"/>
        </w:rPr>
        <w:t xml:space="preserve">Nwafor, C. A., &amp; Onyenwe, I. E. (2021). An Automated Multiple-Choice Question Generation Using Natural Language Processing Techniques. International Journal on Natural Language Computing, April 2021.</w:t>
      </w:r>
    </w:p>
    <w:p>
      <w:pPr>
        <w:spacing w:after="160" w:line="276"/>
      </w:pPr>
      <w:r>
        <w:rPr>
          <w:sz w:val="21"/>
          <w:szCs w:val="21"/>
        </w:rPr>
        <w:t xml:space="preserve">A fully rule-based pipeline: TF-IDF keyword extraction, cloze-blanking of the top keyword, and distractors sampled from other extracted keywords.</w:t>
      </w:r>
    </w:p>
    <w:p>
      <w:pPr>
        <w:spacing w:after="160" w:line="276"/>
      </w:pPr>
      <w:r>
        <w:rPr>
          <w:i w:val="false"/>
          <w:iCs w:val="false"/>
          <w:sz w:val="21"/>
          <w:szCs w:val="21"/>
        </w:rPr>
        <w:t xml:space="preserve">A structurally close match to Mind Atlas's rule-based fallback, evidencing that the fallback follows a recognized published pattern rather than an ad hoc design, with cross-note (rather than same-document) distractor pooling as this project's specific variant.</w:t>
      </w:r>
    </w:p>
    <w:p>
      <w:pPr>
        <w:pStyle w:val="Heading2"/>
        <w:spacing w:after="120" w:before="300"/>
      </w:pPr>
      <w:r>
        <w:rPr>
          <w:b/>
          <w:bCs/>
          <w:color w:val="1F4E5F"/>
          <w:sz w:val="24"/>
          <w:szCs w:val="24"/>
        </w:rPr>
        <w:t xml:space="preserve">C. Grounding &amp; Hallucination Reduction</w:t>
      </w:r>
    </w:p>
    <w:p>
      <w:pPr>
        <w:pStyle w:val="Heading3"/>
        <w:spacing w:after="100" w:before="220"/>
      </w:pPr>
      <w:r>
        <w:rPr>
          <w:b/>
          <w:bCs/>
          <w:color w:val="2E7D6B"/>
          <w:sz w:val="22"/>
          <w:szCs w:val="22"/>
        </w:rPr>
        <w:t xml:space="preserve">Lewis, P., Perez, E., Piktus, A., et al. (2020). Retrieval-Augmented Generation for Knowledge-Intensive NLP Tasks. NeurIPS 2020.</w:t>
      </w:r>
    </w:p>
    <w:p>
      <w:pPr>
        <w:spacing w:after="160" w:line="276"/>
      </w:pPr>
      <w:r>
        <w:rPr>
          <w:sz w:val="21"/>
          <w:szCs w:val="21"/>
        </w:rPr>
        <w:t xml:space="preserve">Introduced RAG, combining a generator with a retrieved-document memory to improve factuality and specificity.</w:t>
      </w:r>
    </w:p>
    <w:p>
      <w:pPr>
        <w:spacing w:after="160" w:line="276"/>
      </w:pPr>
      <w:r>
        <w:rPr>
          <w:i w:val="false"/>
          <w:iCs w:val="false"/>
          <w:sz w:val="21"/>
          <w:szCs w:val="21"/>
        </w:rPr>
        <w:t xml:space="preserve">The paradigm Mind Atlas's note-grounded generation belongs to conceptually — notes function as the provided context. Points toward true retrieval (nearest-note lookup) as the corpus grows beyond what fits in a single prompt.</w:t>
      </w:r>
    </w:p>
    <w:p>
      <w:pPr>
        <w:pStyle w:val="Heading3"/>
        <w:spacing w:after="100" w:before="220"/>
      </w:pPr>
      <w:r>
        <w:rPr>
          <w:b/>
          <w:bCs/>
          <w:color w:val="2E7D6B"/>
          <w:sz w:val="22"/>
          <w:szCs w:val="22"/>
        </w:rPr>
        <w:t xml:space="preserve">Huang, L., Yu, W., Ma, W., et al. (2023). A Survey on Hallucination in Large Language Models: Principles, Taxonomy, Challenges, and Open Questions. ACM Transactions on Information Systems.</w:t>
      </w:r>
    </w:p>
    <w:p>
      <w:pPr>
        <w:spacing w:after="160" w:line="276"/>
      </w:pPr>
      <w:r>
        <w:rPr>
          <w:sz w:val="21"/>
          <w:szCs w:val="21"/>
        </w:rPr>
        <w:t xml:space="preserve">A comprehensive taxonomy of LLM hallucination types, causes, and mitigation strategies.</w:t>
      </w:r>
    </w:p>
    <w:p>
      <w:pPr>
        <w:spacing w:after="160" w:line="276"/>
      </w:pPr>
      <w:r>
        <w:rPr>
          <w:i w:val="false"/>
          <w:iCs w:val="false"/>
          <w:sz w:val="21"/>
          <w:szCs w:val="21"/>
        </w:rPr>
        <w:t xml:space="preserve">Frames the module's "hallucination gate" precisely within the field's own vocabulary — a post-hoc factual-consistency check against extrinsic hallucination.</w:t>
      </w:r>
    </w:p>
    <w:p>
      <w:pPr>
        <w:pStyle w:val="Heading3"/>
        <w:spacing w:after="100" w:before="220"/>
      </w:pPr>
      <w:r>
        <w:rPr>
          <w:b/>
          <w:bCs/>
          <w:color w:val="2E7D6B"/>
          <w:sz w:val="22"/>
          <w:szCs w:val="22"/>
        </w:rPr>
        <w:t xml:space="preserve">Min, S., Krishna, K., Lyu, X., et al. (2023). FActScore: Fine-grained Atomic Evaluation of Factual Precision in Long Form Text Generation. EMNLP 2023.</w:t>
      </w:r>
    </w:p>
    <w:p>
      <w:pPr>
        <w:spacing w:after="160" w:line="276"/>
      </w:pPr>
      <w:r>
        <w:rPr>
          <w:sz w:val="21"/>
          <w:szCs w:val="21"/>
        </w:rPr>
        <w:t xml:space="preserve">Decomposes generated text into atomic facts and verifies each against a trusted source, producing a factual-precision score.</w:t>
      </w:r>
    </w:p>
    <w:p>
      <w:pPr>
        <w:spacing w:after="160" w:line="276"/>
      </w:pPr>
      <w:r>
        <w:rPr>
          <w:i w:val="false"/>
          <w:iCs w:val="false"/>
          <w:sz w:val="21"/>
          <w:szCs w:val="21"/>
        </w:rPr>
        <w:t xml:space="preserve">Structurally analogous to the module's gate (verify a generated claim against a source), but via semantic/entailment matching rather than exact substring matching — a useful contrast for naming the gate's brittleness to paraphrase as a known limitation.</w:t>
      </w:r>
    </w:p>
    <w:p>
      <w:pPr>
        <w:pStyle w:val="Heading3"/>
        <w:spacing w:after="100" w:before="220"/>
      </w:pPr>
      <w:r>
        <w:rPr>
          <w:b/>
          <w:bCs/>
          <w:color w:val="2E7D6B"/>
          <w:sz w:val="22"/>
          <w:szCs w:val="22"/>
        </w:rPr>
        <w:t xml:space="preserve">Manakul, P., Liusie, A., &amp; Gales, M. J. F. (2023). SelfCheckGPT: Zero-Resource Black-Box Hallucination Detection for Generative Large Language Models. EMNLP 2023.</w:t>
      </w:r>
    </w:p>
    <w:p>
      <w:pPr>
        <w:spacing w:after="160" w:line="276"/>
      </w:pPr>
      <w:r>
        <w:rPr>
          <w:sz w:val="21"/>
          <w:szCs w:val="21"/>
        </w:rPr>
        <w:t xml:space="preserve">Detects hallucination via mutual consistency across multiple sampled outputs, with no external source document required.</w:t>
      </w:r>
    </w:p>
    <w:p>
      <w:pPr>
        <w:spacing w:after="160" w:line="276"/>
      </w:pPr>
      <w:r>
        <w:rPr>
          <w:i w:val="false"/>
          <w:iCs w:val="false"/>
          <w:sz w:val="21"/>
          <w:szCs w:val="21"/>
        </w:rPr>
        <w:t xml:space="preserve">A contrasting family (consistency-based, source-free) to the module's chosen family (grounding-based, source-required) — cited to show the source-grounded choice was deliberate, since the notes are available as ground truth.</w:t>
      </w:r>
    </w:p>
    <w:p>
      <w:pPr>
        <w:pStyle w:val="Heading2"/>
        <w:spacing w:after="120" w:before="300"/>
      </w:pPr>
      <w:r>
        <w:rPr>
          <w:b/>
          <w:bCs/>
          <w:color w:val="1F4E5F"/>
          <w:sz w:val="24"/>
          <w:szCs w:val="24"/>
        </w:rPr>
        <w:t xml:space="preserve">D. Classical NLP for Similarity &amp; Keyword Extraction</w:t>
      </w:r>
    </w:p>
    <w:p>
      <w:pPr>
        <w:pStyle w:val="Heading3"/>
        <w:spacing w:after="100" w:before="220"/>
      </w:pPr>
      <w:r>
        <w:rPr>
          <w:b/>
          <w:bCs/>
          <w:color w:val="2E7D6B"/>
          <w:sz w:val="22"/>
          <w:szCs w:val="22"/>
        </w:rPr>
        <w:t xml:space="preserve">Salton, G., &amp; Buckley, C. (1988). Term-Weighting Approaches in Automatic Text Retrieval. Information Processing &amp; Management, 24(5), 513–523.</w:t>
      </w:r>
    </w:p>
    <w:p>
      <w:pPr>
        <w:spacing w:after="160" w:line="276"/>
      </w:pPr>
      <w:r>
        <w:rPr>
          <w:sz w:val="21"/>
          <w:szCs w:val="21"/>
        </w:rPr>
        <w:t xml:space="preserve">The foundational empirical study establishing and comparing TF-IDF term-weighting schemes.</w:t>
      </w:r>
    </w:p>
    <w:p>
      <w:pPr>
        <w:spacing w:after="160" w:line="276"/>
      </w:pPr>
      <w:r>
        <w:rPr>
          <w:i w:val="false"/>
          <w:iCs w:val="false"/>
          <w:sz w:val="21"/>
          <w:szCs w:val="21"/>
        </w:rPr>
        <w:t xml:space="preserve">The canonical citation underpinning both the fallback generator's keyword extraction and the knowledge graph's cosine-similarity note linking.</w:t>
      </w:r>
    </w:p>
    <w:p>
      <w:pPr>
        <w:pStyle w:val="Heading3"/>
        <w:spacing w:after="100" w:before="220"/>
      </w:pPr>
      <w:r>
        <w:rPr>
          <w:b/>
          <w:bCs/>
          <w:color w:val="2E7D6B"/>
          <w:sz w:val="22"/>
          <w:szCs w:val="22"/>
        </w:rPr>
        <w:t xml:space="preserve">Mihalcea, R., &amp; Tarau, P. (2004). TextRank: Bringing Order into Texts. Proceedings of EMNLP 2004.</w:t>
      </w:r>
    </w:p>
    <w:p>
      <w:pPr>
        <w:spacing w:after="160" w:line="276"/>
      </w:pPr>
      <w:r>
        <w:rPr>
          <w:sz w:val="21"/>
          <w:szCs w:val="21"/>
        </w:rPr>
        <w:t xml:space="preserve">A graph-based, unsupervised keyword and sentence extraction algorithm built on word co-occurrence graphs.</w:t>
      </w:r>
    </w:p>
    <w:p>
      <w:pPr>
        <w:spacing w:after="160" w:line="276"/>
      </w:pPr>
      <w:r>
        <w:rPr>
          <w:i w:val="false"/>
          <w:iCs w:val="false"/>
          <w:sz w:val="21"/>
          <w:szCs w:val="21"/>
        </w:rPr>
        <w:t xml:space="preserve">A concrete, zero-ML-infra upgrade path for the fallback generator's keyword step, capturing co-occurrence structure that bag-of-words TF-IDF misses.</w:t>
      </w:r>
    </w:p>
    <w:p>
      <w:pPr>
        <w:pStyle w:val="Heading2"/>
        <w:spacing w:after="120" w:before="300"/>
      </w:pPr>
      <w:r>
        <w:rPr>
          <w:b/>
          <w:bCs/>
          <w:color w:val="1F4E5F"/>
          <w:sz w:val="24"/>
          <w:szCs w:val="24"/>
        </w:rPr>
        <w:t xml:space="preserve">E. Item Response Theory &amp; Computerized Adaptive Testing</w:t>
      </w:r>
    </w:p>
    <w:p>
      <w:pPr>
        <w:pStyle w:val="Heading3"/>
        <w:spacing w:after="100" w:before="220"/>
      </w:pPr>
      <w:r>
        <w:rPr>
          <w:b/>
          <w:bCs/>
          <w:color w:val="2E7D6B"/>
          <w:sz w:val="22"/>
          <w:szCs w:val="22"/>
        </w:rPr>
        <w:t xml:space="preserve">Lord, F. M. (1980). Applications of Item Response Theory to Practical Testing Problems. Lawrence Erlbaum Associates.</w:t>
      </w:r>
    </w:p>
    <w:p>
      <w:pPr>
        <w:spacing w:after="160" w:line="276"/>
      </w:pPr>
      <w:r>
        <w:rPr>
          <w:sz w:val="21"/>
          <w:szCs w:val="21"/>
        </w:rPr>
        <w:t xml:space="preserve">The classic text formalizing IRT models (1PL/2PL/3PL) for estimating latent examinee ability from item responses.</w:t>
      </w:r>
    </w:p>
    <w:p>
      <w:pPr>
        <w:spacing w:after="160" w:line="276"/>
      </w:pPr>
      <w:r>
        <w:rPr>
          <w:i w:val="false"/>
          <w:iCs w:val="false"/>
          <w:sz w:val="21"/>
          <w:szCs w:val="21"/>
        </w:rPr>
        <w:t xml:space="preserve">The canonical reference for what the built staircase controller does not do: no item difficulty/discrimination parameters, no latent ability estimate — only three heuristic tiers and a current position among them.</w:t>
      </w:r>
    </w:p>
    <w:p>
      <w:pPr>
        <w:pStyle w:val="Heading3"/>
        <w:spacing w:after="100" w:before="220"/>
      </w:pPr>
      <w:r>
        <w:rPr>
          <w:b/>
          <w:bCs/>
          <w:color w:val="2E7D6B"/>
          <w:sz w:val="22"/>
          <w:szCs w:val="22"/>
        </w:rPr>
        <w:t xml:space="preserve">Weiss, D. J. (1982). Improving Measurement Quality and Efficiency with Adaptive Testing. Applied Psychological Measurement, 6(4), 473–492.</w:t>
      </w:r>
    </w:p>
    <w:p>
      <w:pPr>
        <w:spacing w:after="160" w:line="276"/>
      </w:pPr>
      <w:r>
        <w:rPr>
          <w:sz w:val="21"/>
          <w:szCs w:val="21"/>
        </w:rPr>
        <w:t xml:space="preserve">Foundational demonstration that adaptive item selection by interim ability estimate improves measurement precision with fewer items than fixed-order delivery, including the 1-up-1-down stepping procedure.</w:t>
      </w:r>
    </w:p>
    <w:p>
      <w:pPr>
        <w:spacing w:after="160" w:line="276"/>
      </w:pPr>
      <w:r>
        <w:rPr>
          <w:i w:val="false"/>
          <w:iCs w:val="false"/>
          <w:sz w:val="21"/>
          <w:szCs w:val="21"/>
        </w:rPr>
        <w:t xml:space="preserve">The direct precedent for the 1-up-1-down staircase controller (adaptiveEngine.js) actually built and verified this cycle — the primary citation for what Section 3.5 implements.</w:t>
      </w:r>
    </w:p>
    <w:p>
      <w:pPr>
        <w:pStyle w:val="Heading3"/>
        <w:spacing w:after="100" w:before="220"/>
      </w:pPr>
      <w:r>
        <w:rPr>
          <w:b/>
          <w:bCs/>
          <w:color w:val="2E7D6B"/>
          <w:sz w:val="22"/>
          <w:szCs w:val="22"/>
        </w:rPr>
        <w:t xml:space="preserve">van der Linden, W. J., &amp; Glas, C. A. W. (Eds.). (2000). Computerized Adaptive Testing: Theory and Practice. Springer/Kluwer.</w:t>
      </w:r>
    </w:p>
    <w:p>
      <w:pPr>
        <w:spacing w:after="160" w:line="276"/>
      </w:pPr>
      <w:r>
        <w:rPr>
          <w:sz w:val="21"/>
          <w:szCs w:val="21"/>
        </w:rPr>
        <w:t xml:space="preserve">The standard reference covering CAT algorithms: ability estimation, item-selection rules, exposure control, and stopping rules.</w:t>
      </w:r>
    </w:p>
    <w:p>
      <w:pPr>
        <w:spacing w:after="160" w:line="276"/>
      </w:pPr>
      <w:r>
        <w:rPr>
          <w:i w:val="false"/>
          <w:iCs w:val="false"/>
          <w:sz w:val="21"/>
          <w:szCs w:val="21"/>
        </w:rPr>
        <w:t xml:space="preserve">The practical engineering blueprint for the upgrade from the built staircase to a fully calibrated CAT implementation.</w:t>
      </w:r>
    </w:p>
    <w:p>
      <w:pPr>
        <w:pStyle w:val="Heading2"/>
        <w:spacing w:after="120" w:before="300"/>
      </w:pPr>
      <w:r>
        <w:rPr>
          <w:b/>
          <w:bCs/>
          <w:color w:val="1F4E5F"/>
          <w:sz w:val="24"/>
          <w:szCs w:val="24"/>
        </w:rPr>
        <w:t xml:space="preserve">F. Knowledge Tracing</w:t>
      </w:r>
    </w:p>
    <w:p>
      <w:pPr>
        <w:pStyle w:val="Heading3"/>
        <w:spacing w:after="100" w:before="220"/>
      </w:pPr>
      <w:r>
        <w:rPr>
          <w:b/>
          <w:bCs/>
          <w:color w:val="2E7D6B"/>
          <w:sz w:val="22"/>
          <w:szCs w:val="22"/>
        </w:rPr>
        <w:t xml:space="preserve">Corbett, A. T., &amp; Anderson, J. R. (1994). Knowledge Tracing: Modeling the Acquisition of Procedural Knowledge. User Modeling and User-Adapted Interaction, 4(4), 253–278.</w:t>
      </w:r>
    </w:p>
    <w:p>
      <w:pPr>
        <w:spacing w:after="160" w:line="276"/>
      </w:pPr>
      <w:r>
        <w:rPr>
          <w:sz w:val="21"/>
          <w:szCs w:val="21"/>
        </w:rPr>
        <w:t xml:space="preserve">Introduced Bayesian Knowledge Tracing (BKT), a Hidden Markov Model estimating per-skill mastery probability from a sequence of correct/incorrect responses.</w:t>
      </w:r>
    </w:p>
    <w:p>
      <w:pPr>
        <w:spacing w:after="160" w:line="276"/>
      </w:pPr>
      <w:r>
        <w:rPr>
          <w:i w:val="false"/>
          <w:iCs w:val="false"/>
          <w:sz w:val="21"/>
          <w:szCs w:val="21"/>
        </w:rPr>
        <w:t xml:space="preserve">The precise citation for the module's current gap (no mastery model across attempts) and the report's top-priority recommended upgrade, since BKT needs no deep-learning infrastructure.</w:t>
      </w:r>
    </w:p>
    <w:p>
      <w:pPr>
        <w:pStyle w:val="Heading3"/>
        <w:spacing w:after="100" w:before="220"/>
      </w:pPr>
      <w:r>
        <w:rPr>
          <w:b/>
          <w:bCs/>
          <w:color w:val="2E7D6B"/>
          <w:sz w:val="22"/>
          <w:szCs w:val="22"/>
        </w:rPr>
        <w:t xml:space="preserve">Piech, C., Bassen, J., Huang, J., et al. (2015). Deep Knowledge Tracing. Advances in Neural Information Processing Systems 28 (NeurIPS 2015).</w:t>
      </w:r>
    </w:p>
    <w:p>
      <w:pPr>
        <w:spacing w:after="160" w:line="276"/>
      </w:pPr>
      <w:r>
        <w:rPr>
          <w:sz w:val="21"/>
          <w:szCs w:val="21"/>
        </w:rPr>
        <w:t xml:space="preserve">Introduced Deep Knowledge Tracing (DKT), using an RNN/LSTM over response sequences, substantially outperforming BKT on prediction benchmarks.</w:t>
      </w:r>
    </w:p>
    <w:p>
      <w:pPr>
        <w:spacing w:after="160" w:line="276"/>
      </w:pPr>
      <w:r>
        <w:rPr>
          <w:i w:val="false"/>
          <w:iCs w:val="false"/>
          <w:sz w:val="21"/>
          <w:szCs w:val="21"/>
        </w:rPr>
        <w:t xml:space="preserve">The aspirational long-term upgrade once the team has both a training pipeline and enough accumulated response-log data — explicitly out of near-term scope given the no-ML-infra constraint.</w:t>
      </w:r>
    </w:p>
    <w:p>
      <w:pPr>
        <w:pStyle w:val="Heading3"/>
        <w:spacing w:after="100" w:before="220"/>
      </w:pPr>
      <w:r>
        <w:rPr>
          <w:b/>
          <w:bCs/>
          <w:color w:val="2E7D6B"/>
          <w:sz w:val="22"/>
          <w:szCs w:val="22"/>
        </w:rPr>
        <w:t xml:space="preserve">Pandey, S., &amp; Karypis, G. (2019). A Self-Attentive Model for Knowledge Tracing. Proceedings of the 12th International Conference on Educational Data Mining (EDM 2019).</w:t>
      </w:r>
    </w:p>
    <w:p>
      <w:pPr>
        <w:spacing w:after="160" w:line="276"/>
      </w:pPr>
      <w:r>
        <w:rPr>
          <w:sz w:val="21"/>
          <w:szCs w:val="21"/>
        </w:rPr>
        <w:t xml:space="preserve">SAKT, a self-attention model replacing DKT's RNN, better handling sparse interaction data.</w:t>
      </w:r>
    </w:p>
    <w:p>
      <w:pPr>
        <w:spacing w:after="160" w:line="276"/>
      </w:pPr>
      <w:r>
        <w:rPr>
          <w:i w:val="false"/>
          <w:iCs w:val="false"/>
          <w:sz w:val="21"/>
          <w:szCs w:val="21"/>
        </w:rPr>
        <w:t xml:space="preserve">Names a more modern architecture in the same family, relevant context if the team pursues neural knowledge tracing after DKT.</w:t>
      </w:r>
    </w:p>
    <w:p>
      <w:pPr>
        <w:pStyle w:val="Heading3"/>
        <w:spacing w:after="100" w:before="220"/>
      </w:pPr>
      <w:r>
        <w:rPr>
          <w:b/>
          <w:bCs/>
          <w:color w:val="2E7D6B"/>
          <w:sz w:val="22"/>
          <w:szCs w:val="22"/>
        </w:rPr>
        <w:t xml:space="preserve">Ghosh, A., Heffernan, N., &amp; Lan, A. S. (2020). Context-Aware Attentive Knowledge Tracing. Proceedings of KDD 2020.</w:t>
      </w:r>
    </w:p>
    <w:p>
      <w:pPr>
        <w:spacing w:after="160" w:line="276"/>
      </w:pPr>
      <w:r>
        <w:rPr>
          <w:sz w:val="21"/>
          <w:szCs w:val="21"/>
        </w:rPr>
        <w:t xml:space="preserve">AKT combines attention with IRT-inspired monotonic attention decay and Rasch-model item embeddings.</w:t>
      </w:r>
    </w:p>
    <w:p>
      <w:pPr>
        <w:spacing w:after="160" w:line="276"/>
      </w:pPr>
      <w:r>
        <w:rPr>
          <w:i w:val="false"/>
          <w:iCs w:val="false"/>
          <w:sz w:val="21"/>
          <w:szCs w:val="21"/>
        </w:rPr>
        <w:t xml:space="preserve">Bridges areas E and F directly, pointing toward a unified long-term architecture combining adaptive item selection and mastery tracing rather than treating them as separate features.</w:t>
      </w:r>
    </w:p>
    <w:p>
      <w:pPr>
        <w:pStyle w:val="Heading2"/>
        <w:spacing w:after="120" w:before="300"/>
      </w:pPr>
      <w:r>
        <w:rPr>
          <w:b/>
          <w:bCs/>
          <w:color w:val="1F4E5F"/>
          <w:sz w:val="24"/>
          <w:szCs w:val="24"/>
        </w:rPr>
        <w:t xml:space="preserve">G. Automated / Personalized Feedback Generation</w:t>
      </w:r>
    </w:p>
    <w:p>
      <w:pPr>
        <w:pStyle w:val="Heading3"/>
        <w:spacing w:after="100" w:before="220"/>
      </w:pPr>
      <w:r>
        <w:rPr>
          <w:b/>
          <w:bCs/>
          <w:color w:val="2E7D6B"/>
          <w:sz w:val="22"/>
          <w:szCs w:val="22"/>
        </w:rPr>
        <w:t xml:space="preserve">Shute, V. J. (2008). Focus on Formative Feedback. Review of Educational Research, 78(1), 153–189.</w:t>
      </w:r>
    </w:p>
    <w:p>
      <w:pPr>
        <w:spacing w:after="160" w:line="276"/>
      </w:pPr>
      <w:r>
        <w:rPr>
          <w:sz w:val="21"/>
          <w:szCs w:val="21"/>
        </w:rPr>
        <w:t xml:space="preserve">A major synthesis of formative-feedback research: elaborated, explanatory feedback outperforms simple correct/incorrect feedback.</w:t>
      </w:r>
    </w:p>
    <w:p>
      <w:pPr>
        <w:spacing w:after="160" w:line="276"/>
      </w:pPr>
      <w:r>
        <w:rPr>
          <w:i w:val="false"/>
          <w:iCs w:val="false"/>
          <w:sz w:val="21"/>
          <w:szCs w:val="21"/>
        </w:rPr>
        <w:t xml:space="preserve">The theoretical grounding for phrasing computed rankings into explanatory feedback text rather than showing a raw score list.</w:t>
      </w:r>
    </w:p>
    <w:p>
      <w:pPr>
        <w:pStyle w:val="Heading3"/>
        <w:spacing w:after="100" w:before="220"/>
      </w:pPr>
      <w:r>
        <w:rPr>
          <w:b/>
          <w:bCs/>
          <w:color w:val="2E7D6B"/>
          <w:sz w:val="22"/>
          <w:szCs w:val="22"/>
        </w:rPr>
        <w:t xml:space="preserve">VanLehn, K. (2011). The Relative Effectiveness of Human Tutoring, Intelligent Tutoring Systems, and Other Tutoring Systems. Educational Psychologist, 46(4), 197–221.</w:t>
      </w:r>
    </w:p>
    <w:p>
      <w:pPr>
        <w:spacing w:after="160" w:line="276"/>
      </w:pPr>
      <w:r>
        <w:rPr>
          <w:sz w:val="21"/>
          <w:szCs w:val="21"/>
        </w:rPr>
        <w:t xml:space="preserve">A meta-analysis comparing learning gains from human tutors, step-based ITS, and answer-based ITS.</w:t>
      </w:r>
    </w:p>
    <w:p>
      <w:pPr>
        <w:spacing w:after="160" w:line="276"/>
      </w:pPr>
      <w:r>
        <w:rPr>
          <w:i w:val="false"/>
          <w:iCs w:val="false"/>
          <w:sz w:val="21"/>
          <w:szCs w:val="21"/>
        </w:rPr>
        <w:t xml:space="preserve">General background motivating why an automated feedback layer is worth building, independent of any specific formula.</w:t>
      </w:r>
    </w:p>
    <w:p>
      <w:pPr>
        <w:pStyle w:val="Heading3"/>
        <w:spacing w:after="100" w:before="220"/>
      </w:pPr>
      <w:r>
        <w:rPr>
          <w:b/>
          <w:bCs/>
          <w:color w:val="2E7D6B"/>
          <w:sz w:val="22"/>
          <w:szCs w:val="22"/>
        </w:rPr>
        <w:t xml:space="preserve">Reddig, J. M., Arora, A., &amp; MacLellan, C. J. (2025). Generating In-Context, Personalized Feedback for Intelligent Tutors with Large Language Models. International Journal of Artificial Intelligence in Education.</w:t>
      </w:r>
    </w:p>
    <w:p>
      <w:pPr>
        <w:spacing w:after="160" w:line="276"/>
      </w:pPr>
      <w:r>
        <w:rPr>
          <w:sz w:val="21"/>
          <w:szCs w:val="21"/>
        </w:rPr>
        <w:t xml:space="preserve">Used GPT-4 to diagnose student errors and phrase feedback in an algebra ITS; diagnosis was accurate (~80%) but only about a third of LLM-phrased hints were rated genuinely helpful.</w:t>
      </w:r>
    </w:p>
    <w:p>
      <w:pPr>
        <w:spacing w:after="160" w:line="276"/>
      </w:pPr>
      <w:r>
        <w:rPr>
          <w:i w:val="false"/>
          <w:iCs w:val="false"/>
          <w:sz w:val="21"/>
          <w:szCs w:val="21"/>
        </w:rPr>
        <w:t xml:space="preserve">The closest verifiable match to the module's architecture — diagnose/score deterministically, use the LLM only to phrase the result, with a template fallback — and direct evidence that this split is the safer design.</w:t>
      </w:r>
    </w:p>
    <w:p>
      <w:pPr>
        <w:pStyle w:val="Heading2"/>
        <w:spacing w:after="120" w:before="300"/>
      </w:pPr>
      <w:r>
        <w:rPr>
          <w:b/>
          <w:bCs/>
          <w:color w:val="1F4E5F"/>
          <w:sz w:val="24"/>
          <w:szCs w:val="24"/>
        </w:rPr>
        <w:t xml:space="preserve">H. Automatic Short Answer Grading (ASAG)</w:t>
      </w:r>
    </w:p>
    <w:p>
      <w:pPr>
        <w:pStyle w:val="Heading3"/>
        <w:spacing w:after="100" w:before="220"/>
      </w:pPr>
      <w:r>
        <w:rPr>
          <w:b/>
          <w:bCs/>
          <w:color w:val="2E7D6B"/>
          <w:sz w:val="22"/>
          <w:szCs w:val="22"/>
        </w:rPr>
        <w:t xml:space="preserve">Mohler, M., &amp; Mihalcea, R. (2009). Text-to-Text Semantic Similarity for Automatic Short Answer Grading. Proceedings of EACL 2009, 567–575.</w:t>
      </w:r>
    </w:p>
    <w:p>
      <w:pPr>
        <w:spacing w:after="160" w:line="276"/>
      </w:pPr>
      <w:r>
        <w:rPr>
          <w:sz w:val="21"/>
          <w:szCs w:val="21"/>
        </w:rPr>
        <w:t xml:space="preserve">The foundational ASAG benchmark (introducing the widely-reused "Mohler dataset" of CS short answers), comparing lexical baselines (bag-of-words/TF-IDF overlap) against corpus-based and knowledge-based semantic similarity for scoring answers against a reference.</w:t>
      </w:r>
    </w:p>
    <w:p>
      <w:pPr>
        <w:spacing w:after="160" w:line="276"/>
      </w:pPr>
      <w:r>
        <w:rPr>
          <w:i w:val="false"/>
          <w:iCs w:val="false"/>
          <w:sz w:val="21"/>
          <w:szCs w:val="21"/>
        </w:rPr>
        <w:t xml:space="preserve">Evidences that the keyword-overlap family the grading engine's fallback belongs to correlates only moderately with human grades — a known, historically documented limitation of the fallback rather than a new risk this project introduced.</w:t>
      </w:r>
    </w:p>
    <w:p>
      <w:pPr>
        <w:pStyle w:val="Heading3"/>
        <w:spacing w:after="100" w:before="220"/>
      </w:pPr>
      <w:r>
        <w:rPr>
          <w:b/>
          <w:bCs/>
          <w:color w:val="2E7D6B"/>
          <w:sz w:val="22"/>
          <w:szCs w:val="22"/>
        </w:rPr>
        <w:t xml:space="preserve">Henkel, O., Boxer, A., Hills, L., &amp; Roberts, B. (2024). Can Large Language Models Make the Grade? An Empirical Study Evaluating LLMs' Ability to Mark Short Answer Questions in K-12 Education. arXiv:2405.02985.</w:t>
      </w:r>
    </w:p>
    <w:p>
      <w:pPr>
        <w:spacing w:after="160" w:line="276"/>
      </w:pPr>
      <w:r>
        <w:rPr>
          <w:sz w:val="21"/>
          <w:szCs w:val="21"/>
        </w:rPr>
        <w:t xml:space="preserve">Tested GPT-3.5/GPT-4 with different prompting strategies against expert human raters on real K-12 short-answer responses; few-shot GPT-4 reached agreement with human raters close to human-human agreement levels.</w:t>
      </w:r>
    </w:p>
    <w:p>
      <w:pPr>
        <w:spacing w:after="160" w:line="276"/>
      </w:pPr>
      <w:r>
        <w:rPr>
          <w:i w:val="false"/>
          <w:iCs w:val="false"/>
          <w:sz w:val="21"/>
          <w:szCs w:val="21"/>
        </w:rPr>
        <w:t xml:space="preserve">Supports the viability of the module's LLM grading path — an LLM given the question and a model answer can approach human-level reliability — while noting performance is sensitive to how much example/rubric detail the prompt supplies.</w:t>
      </w:r>
    </w:p>
    <w:p>
      <w:pPr>
        <w:pStyle w:val="Heading3"/>
        <w:spacing w:after="100" w:before="220"/>
      </w:pPr>
      <w:r>
        <w:rPr>
          <w:b/>
          <w:bCs/>
          <w:color w:val="2E7D6B"/>
          <w:sz w:val="22"/>
          <w:szCs w:val="22"/>
        </w:rPr>
        <w:t xml:space="preserve">Ferreira Mello, R., Pereira Junior, C., Rodrigues, L., Dwan Pereira, F., Cabral, L., Costa, N., Ramalho, G., &amp; Gašević, D. (2025). Automatic Short Answer Grading in the LLM Era: Does GPT-4 with Prompt Engineering Beat Traditional Models? Proceedings of LAK 2025 (ACM).</w:t>
      </w:r>
    </w:p>
    <w:p>
      <w:pPr>
        <w:spacing w:after="160" w:line="276"/>
      </w:pPr>
      <w:r>
        <w:rPr>
          <w:sz w:val="21"/>
          <w:szCs w:val="21"/>
        </w:rPr>
        <w:t xml:space="preserve">Compared GPT-4 (with several prompting strategies) against traditional ML/embedding-based ASAG models on multilingual data; traditional models often matched or outperformed GPT-4 overall, though optimized prompting narrowed the gap.</w:t>
      </w:r>
    </w:p>
    <w:p>
      <w:pPr>
        <w:spacing w:after="160" w:line="276"/>
      </w:pPr>
      <w:r>
        <w:rPr>
          <w:i w:val="false"/>
          <w:iCs w:val="false"/>
          <w:sz w:val="21"/>
          <w:szCs w:val="21"/>
        </w:rPr>
        <w:t xml:space="preserve">A caution against assuming the LLM grading path is automatically superior to a simpler method, and evidence that supplying explicit key points in the prompt (as the module does) is the kind of prompt engineering that measurably helps.</w:t>
      </w:r>
    </w:p>
    <w:p>
      <w:pPr>
        <w:pStyle w:val="Heading3"/>
        <w:spacing w:after="100" w:before="220"/>
      </w:pPr>
      <w:r>
        <w:rPr>
          <w:b/>
          <w:bCs/>
          <w:color w:val="2E7D6B"/>
          <w:sz w:val="22"/>
          <w:szCs w:val="22"/>
        </w:rPr>
        <w:t xml:space="preserve">Rodrigues, L., Xavier, C., Costa, N., Gašević, D., &amp; Ferreira Mello, R. (2025). Is GPT-4 Fair? An Empirical Analysis in Automatic Short Answer Grading. Computers and Education: Artificial Intelligence.</w:t>
      </w:r>
    </w:p>
    <w:p>
      <w:pPr>
        <w:spacing w:after="160" w:line="276"/>
      </w:pPr>
      <w:r>
        <w:rPr>
          <w:sz w:val="21"/>
          <w:szCs w:val="21"/>
        </w:rPr>
        <w:t xml:space="preserve">Analyzed GPT-4 grading across demographic groups, subjects, and Bloom's-taxonomy levels; found no demographic bias but a systematic tendency to grade more leniently than human raters.</w:t>
      </w:r>
    </w:p>
    <w:p>
      <w:pPr>
        <w:spacing w:after="160" w:line="276"/>
      </w:pPr>
      <w:r>
        <w:rPr>
          <w:i w:val="false"/>
          <w:iCs w:val="false"/>
          <w:sz w:val="21"/>
          <w:szCs w:val="21"/>
        </w:rPr>
        <w:t xml:space="preserve">Names the specific failure mode the module's LLM grading path should be designed against — over-scoring partial or superficially plausible answers — motivating the P1 roadmap item to prompt the grader to penalize missing key points explicitly.</w:t>
      </w:r>
    </w:p>
    <w:p>
      <w:pPr>
        <w:pStyle w:val="Heading2"/>
        <w:spacing w:after="120" w:before="300"/>
      </w:pPr>
      <w:r>
        <w:rPr>
          <w:b/>
          <w:bCs/>
          <w:color w:val="1F4E5F"/>
          <w:sz w:val="24"/>
          <w:szCs w:val="24"/>
        </w:rPr>
        <w:t xml:space="preserve">Explicit gaps: original, non-literature design choices</w:t>
      </w:r>
    </w:p>
    <w:p>
      <w:pPr>
        <w:spacing w:after="160" w:line="276"/>
      </w:pPr>
      <w:r>
        <w:rPr>
          <w:sz w:val="21"/>
          <w:szCs w:val="21"/>
        </w:rPr>
        <w:t xml:space="preserve">Two design decisions in this module have no verifiable published precedent and are stated here as original engineering contributions rather than attached to a citation that does not actually describe them:</w:t>
      </w:r>
    </w:p>
    <w:p>
      <w:pPr>
        <w:pStyle w:val="ListParagraph"/>
        <w:numPr>
          <w:ilvl w:val="0"/>
          <w:numId w:val="2"/>
        </w:numPr>
        <w:spacing w:after="90" w:line="268"/>
      </w:pPr>
      <w:r>
        <w:rPr>
          <w:sz w:val="21"/>
          <w:szCs w:val="21"/>
        </w:rPr>
        <w:t xml:space="preserve">The verbatim-substring hallucination gate (exact, whitespace-normalized excerpt matching plus an answer-in-options check) is a deliberately strict, purely lexical simplification of the broader grounding/verification family (Lewis et al., 2020; Min et al., 2023). It is cheaper and fully deterministic — no extra model call — but brittle to any paraphrasing by the generating LLM, which a semantic or entailment-based checker would tolerate.</w:t>
      </w:r>
    </w:p>
    <w:p>
      <w:pPr>
        <w:pStyle w:val="ListParagraph"/>
        <w:numPr>
          <w:ilvl w:val="0"/>
          <w:numId w:val="2"/>
        </w:numPr>
        <w:spacing w:after="90" w:line="268"/>
      </w:pPr>
      <w:r>
        <w:rPr>
          <w:sz w:val="21"/>
          <w:szCs w:val="21"/>
        </w:rPr>
        <w:t xml:space="preserve">The attentionScore = 0.7×(1−accuracy) + 0.3×normalizedResponseTime fusion formula is a hand-tuned heuristic. Response-time-augmented ability models exist in the psychometrics literature as formal joint statistical models fit to data (e.g., time-sensitive IRT models used in adaptive testing), but no published source uses this specific linear weighting of raw accuracy and normalized time. The formula is motivated by, but not derived from, that literature's general finding that both correctness and response time carry diagnostic signal.</w:t>
      </w:r>
    </w:p>
    <w:p>
      <w:r>
        <w:br w:type="page"/>
      </w:r>
    </w:p>
    <w:p>
      <w:pPr>
        <w:pStyle w:val="Heading1"/>
        <w:pBdr>
          <w:bottom w:val="single" w:color="C9D3D2" w:sz="6" w:space="4"/>
        </w:pBdr>
        <w:spacing w:after="200" w:before="400"/>
      </w:pPr>
      <w:r>
        <w:rPr>
          <w:b/>
          <w:bCs/>
          <w:color w:val="1F4E5F"/>
          <w:sz w:val="30"/>
          <w:szCs w:val="30"/>
        </w:rPr>
        <w:t xml:space="preserve">7. Recommendations &amp; Roadmap</w:t>
      </w:r>
    </w:p>
    <w:p>
      <w:pPr>
        <w:spacing w:after="160" w:line="276"/>
      </w:pPr>
      <w:r>
        <w:rPr>
          <w:sz w:val="21"/>
          <w:szCs w:val="21"/>
        </w:rPr>
        <w:t xml:space="preserve">Ordered by return relative to effort, and constrained to what is buildable without a GPU or a dedicated ML training pipeline unless stated otherwise.</w:t>
      </w:r>
    </w:p>
    <w:p>
      <w:pPr>
        <w:pStyle w:val="Heading2"/>
        <w:spacing w:after="120" w:before="300"/>
      </w:pPr>
      <w:r>
        <w:rPr>
          <w:b/>
          <w:bCs/>
          <w:color w:val="1F4E5F"/>
          <w:sz w:val="24"/>
          <w:szCs w:val="24"/>
        </w:rPr>
        <w:t xml:space="preserve">P1 — Low effort, near-term</w:t>
      </w:r>
    </w:p>
    <w:p>
      <w:pPr>
        <w:pStyle w:val="ListParagraph"/>
        <w:numPr>
          <w:ilvl w:val="0"/>
          <w:numId w:val="2"/>
        </w:numPr>
        <w:spacing w:after="90" w:line="268"/>
      </w:pPr>
      <w:r>
        <w:rPr>
          <w:sz w:val="21"/>
          <w:szCs w:val="21"/>
        </w:rPr>
        <w:t xml:space="preserve">Extend the hallucination gate to distractors: reject a distractor that is itself a verbatim excerpt elsewhere in the notes (Bitew et al., 2023's finding that ungated LLM distractors are still frequently poor motivates this).</w:t>
      </w:r>
    </w:p>
    <w:p>
      <w:pPr>
        <w:pStyle w:val="ListParagraph"/>
        <w:numPr>
          <w:ilvl w:val="0"/>
          <w:numId w:val="2"/>
        </w:numPr>
        <w:spacing w:after="90" w:line="268"/>
      </w:pPr>
      <w:r>
        <w:rPr>
          <w:sz w:val="21"/>
          <w:szCs w:val="21"/>
        </w:rPr>
        <w:t xml:space="preserve">Swap the fallback generator's TF-IDF keyword step for TextRank (Mihalcea &amp; Tarau, 2004) — a pure-JS, zero-infrastructure upgrade that captures co-occurrence structure TF-IDF misses.</w:t>
      </w:r>
    </w:p>
    <w:p>
      <w:pPr>
        <w:pStyle w:val="ListParagraph"/>
        <w:numPr>
          <w:ilvl w:val="0"/>
          <w:numId w:val="2"/>
        </w:numPr>
        <w:spacing w:after="90" w:line="268"/>
      </w:pPr>
      <w:r>
        <w:rPr>
          <w:sz w:val="21"/>
          <w:szCs w:val="21"/>
        </w:rPr>
        <w:t xml:space="preserve">Add optional per-question difficulty tagging to the LLM generation prompt, closing the "difficulty control" gap Kurdi et al. (2020) name as underexplored in the wider AQG field.</w:t>
      </w:r>
    </w:p>
    <w:p>
      <w:pPr>
        <w:pStyle w:val="ListParagraph"/>
        <w:numPr>
          <w:ilvl w:val="0"/>
          <w:numId w:val="2"/>
        </w:numPr>
        <w:spacing w:after="90" w:line="268"/>
      </w:pPr>
      <w:r>
        <w:rPr>
          <w:sz w:val="21"/>
          <w:szCs w:val="21"/>
        </w:rPr>
        <w:t xml:space="preserve">Tighten the theory-grading prompt to explicitly penalize missing key points rather than reward superficial similarity, directly targeting the LLM leniency bias Rodrigues et al. (2025) documented in GPT-4 graders.</w:t>
      </w:r>
    </w:p>
    <w:p>
      <w:pPr>
        <w:pStyle w:val="Heading2"/>
        <w:spacing w:after="120" w:before="300"/>
      </w:pPr>
      <w:r>
        <w:rPr>
          <w:b/>
          <w:bCs/>
          <w:color w:val="1F4E5F"/>
          <w:sz w:val="24"/>
          <w:szCs w:val="24"/>
        </w:rPr>
        <w:t xml:space="preserve">P2 — Medium effort, highest value</w:t>
      </w:r>
    </w:p>
    <w:p>
      <w:pPr>
        <w:pStyle w:val="ListParagraph"/>
        <w:numPr>
          <w:ilvl w:val="0"/>
          <w:numId w:val="2"/>
        </w:numPr>
        <w:spacing w:after="90" w:line="268"/>
      </w:pPr>
      <w:r>
        <w:rPr>
          <w:sz w:val="21"/>
          <w:szCs w:val="21"/>
        </w:rPr>
        <w:t xml:space="preserve">Implement Bayesian Knowledge Tracing (Corbett &amp; Anderson, 1994) per topic: update a mastery probability after every attempt instead of recomputing attentionScore from a single snapshot. This is the single highest-value recommendation in this report — it directly extends the existing per-topic scoring, needs no GPU or training pipeline, and turns the feedback engine from a one-shot report into a model of learning over time.</w:t>
      </w:r>
    </w:p>
    <w:p>
      <w:pPr>
        <w:pStyle w:val="ListParagraph"/>
        <w:numPr>
          <w:ilvl w:val="0"/>
          <w:numId w:val="2"/>
        </w:numPr>
        <w:spacing w:after="90" w:line="268"/>
      </w:pPr>
      <w:r>
        <w:rPr>
          <w:sz w:val="21"/>
          <w:szCs w:val="21"/>
        </w:rPr>
        <w:t xml:space="preserve">Relax the hallucination gate's exact-substring match to a fuzzy or embedding-similarity threshold, trading some strictness for tolerance of light paraphrasing, following the semantic-verification approach used in FActScore (Min et al., 2023).</w:t>
      </w:r>
    </w:p>
    <w:p>
      <w:pPr>
        <w:pStyle w:val="Heading2"/>
        <w:spacing w:after="120" w:before="300"/>
      </w:pPr>
      <w:r>
        <w:rPr>
          <w:b/>
          <w:bCs/>
          <w:color w:val="1F4E5F"/>
          <w:sz w:val="24"/>
          <w:szCs w:val="24"/>
        </w:rPr>
        <w:t xml:space="preserve">P3 — Higher effort, once enough response data exists</w:t>
      </w:r>
    </w:p>
    <w:p>
      <w:pPr>
        <w:pStyle w:val="ListParagraph"/>
        <w:numPr>
          <w:ilvl w:val="0"/>
          <w:numId w:val="2"/>
        </w:numPr>
        <w:spacing w:after="90" w:line="268"/>
      </w:pPr>
      <w:r>
        <w:rPr>
          <w:sz w:val="21"/>
          <w:szCs w:val="21"/>
        </w:rPr>
        <w:t xml:space="preserve">Replace the staircase controller's heuristic difficulty tiers with calibrated Rasch (1-parameter IRT) item difficulties from accumulated response logs, and step from tier-based selection to true ability-based item selection — the natural successor to the 1-up-1-down staircase (Weiss, 1982) already built, following the fuller engineering blueprint in van der Linden &amp; Glas (2000).</w:t>
      </w:r>
    </w:p>
    <w:p>
      <w:pPr>
        <w:pStyle w:val="Heading2"/>
        <w:spacing w:after="120" w:before="300"/>
      </w:pPr>
      <w:r>
        <w:rPr>
          <w:b/>
          <w:bCs/>
          <w:color w:val="1F4E5F"/>
          <w:sz w:val="24"/>
          <w:szCs w:val="24"/>
        </w:rPr>
        <w:t xml:space="preserve">P4 — Stretch goals, contingent on future ML infrastructure</w:t>
      </w:r>
    </w:p>
    <w:p>
      <w:pPr>
        <w:pStyle w:val="ListParagraph"/>
        <w:numPr>
          <w:ilvl w:val="0"/>
          <w:numId w:val="2"/>
        </w:numPr>
        <w:spacing w:after="90" w:line="268"/>
      </w:pPr>
      <w:r>
        <w:rPr>
          <w:sz w:val="21"/>
          <w:szCs w:val="21"/>
        </w:rPr>
        <w:t xml:space="preserve">Neural distractor generation (Qiu, Wu &amp; Fan's EDGE, 2020, or Bitew et al.'s retrieval-augmented prompting, 2023) if the team later wants distractor quality beyond what prompting alone achieves.</w:t>
      </w:r>
    </w:p>
    <w:p>
      <w:pPr>
        <w:pStyle w:val="ListParagraph"/>
        <w:numPr>
          <w:ilvl w:val="0"/>
          <w:numId w:val="2"/>
        </w:numPr>
        <w:spacing w:after="90" w:line="268"/>
      </w:pPr>
      <w:r>
        <w:rPr>
          <w:sz w:val="21"/>
          <w:szCs w:val="21"/>
        </w:rPr>
        <w:t xml:space="preserve">Deep or attention-based knowledge tracing (DKT, SAKT, or AKT) once a training pipeline and a substantially larger logged-response dataset exist — explicitly deferred past this capstone's timeline given the no-ML-infra constraint.</w:t>
      </w:r>
    </w:p>
    <w:p>
      <w:pPr>
        <w:pStyle w:val="ListParagraph"/>
        <w:numPr>
          <w:ilvl w:val="0"/>
          <w:numId w:val="2"/>
        </w:numPr>
        <w:spacing w:after="90" w:line="268"/>
      </w:pPr>
      <w:r>
        <w:rPr>
          <w:sz w:val="21"/>
          <w:szCs w:val="21"/>
        </w:rPr>
        <w:t xml:space="preserve">True retrieval-augmented generation (Lewis et al., 2020) with an embedding index, once a subject's note corpus grows too large to fit in a single LLM prompt context window.</w:t>
      </w:r>
    </w:p>
    <w:p>
      <w:pPr>
        <w:pStyle w:val="Heading1"/>
        <w:pBdr>
          <w:bottom w:val="single" w:color="C9D3D2" w:sz="6" w:space="4"/>
        </w:pBdr>
        <w:spacing w:after="200" w:before="400"/>
      </w:pPr>
      <w:r>
        <w:rPr>
          <w:b/>
          <w:bCs/>
          <w:color w:val="1F4E5F"/>
          <w:sz w:val="30"/>
          <w:szCs w:val="30"/>
        </w:rPr>
        <w:t xml:space="preserve">8. Risks &amp; Limitations</w:t>
      </w:r>
    </w:p>
    <w:p>
      <w:pPr>
        <w:pStyle w:val="Heading2"/>
        <w:spacing w:after="120" w:before="300"/>
      </w:pPr>
      <w:r>
        <w:rPr>
          <w:b/>
          <w:bCs/>
          <w:color w:val="1F4E5F"/>
          <w:sz w:val="24"/>
          <w:szCs w:val="24"/>
        </w:rPr>
        <w:t xml:space="preserve">8.1 Hallucination gate is lexical, not semantic</w:t>
      </w:r>
    </w:p>
    <w:p>
      <w:pPr>
        <w:spacing w:after="160" w:line="276"/>
      </w:pPr>
      <w:r>
        <w:rPr>
          <w:sz w:val="21"/>
          <w:szCs w:val="21"/>
        </w:rPr>
        <w:t xml:space="preserve">A faithful but paraphrased excerpt is currently rejected just as readily as a fabricated one, since the check is an exact substring match rather than a meaning-based comparison. This trades recall for auditability and determinism — a defensible trade-off for a student-facing assessment tool, but one worth stating rather than leaving implicit.</w:t>
      </w:r>
    </w:p>
    <w:p>
      <w:pPr>
        <w:pStyle w:val="Heading2"/>
        <w:spacing w:after="120" w:before="300"/>
      </w:pPr>
      <w:r>
        <w:rPr>
          <w:b/>
          <w:bCs/>
          <w:color w:val="1F4E5F"/>
          <w:sz w:val="24"/>
          <w:szCs w:val="24"/>
        </w:rPr>
        <w:t xml:space="preserve">8.2 Theory grading inherits ASAG's known failure modes</w:t>
      </w:r>
    </w:p>
    <w:p>
      <w:pPr>
        <w:spacing w:after="160" w:line="276"/>
      </w:pPr>
      <w:r>
        <w:rPr>
          <w:sz w:val="21"/>
          <w:szCs w:val="21"/>
        </w:rPr>
        <w:t xml:space="preserve">The LLM grading path is a reasonable default (Henkel et al., 2024, found few-shot GPT-4 approaching human-human agreement on real short answers), but the literature also documents that LLM graders tend to be lenient (Rodrigues et al., 2025) and don't automatically beat simpler methods (Ferreira Mello et al., 2025). The keyword-overlap fallback, in turn, inherits the older, well-documented weakness that pure lexical overlap correlates only moderately with human grading (Mohler &amp; Mihalcea, 2009). Neither grading path has been validated against real student answers and real human grades yet — both are sound choices by literature standards, but unvalidated in this specific deployment.</w:t>
      </w:r>
    </w:p>
    <w:p>
      <w:pPr>
        <w:pStyle w:val="Heading2"/>
        <w:spacing w:after="120" w:before="300"/>
      </w:pPr>
      <w:r>
        <w:rPr>
          <w:b/>
          <w:bCs/>
          <w:color w:val="1F4E5F"/>
          <w:sz w:val="24"/>
          <w:szCs w:val="24"/>
        </w:rPr>
        <w:t xml:space="preserve">8.3 Two core formulas are original heuristics</w:t>
      </w:r>
    </w:p>
    <w:p>
      <w:pPr>
        <w:spacing w:after="160" w:line="276"/>
      </w:pPr>
      <w:r>
        <w:rPr>
          <w:sz w:val="21"/>
          <w:szCs w:val="21"/>
        </w:rPr>
        <w:t xml:space="preserve">The hallucination gate's exact design and the attentionScore fusion weights (0.7/0.3) are this team's own choices, not reproductions of a published method. They are internally consistent and behave sensibly in testing, but the specific weights have not been empirically validated against real student outcome data, since no such data exists yet for a capstone project in its first semester.</w:t>
      </w:r>
    </w:p>
    <w:p>
      <w:pPr>
        <w:pStyle w:val="Heading2"/>
        <w:spacing w:after="120" w:before="300"/>
      </w:pPr>
      <w:r>
        <w:rPr>
          <w:b/>
          <w:bCs/>
          <w:color w:val="1F4E5F"/>
          <w:sz w:val="24"/>
          <w:szCs w:val="24"/>
        </w:rPr>
        <w:t xml:space="preserve">8.4 External LLM dependency</w:t>
      </w:r>
    </w:p>
    <w:p>
      <w:pPr>
        <w:spacing w:after="160" w:line="276"/>
      </w:pPr>
      <w:r>
        <w:rPr>
          <w:sz w:val="21"/>
          <w:szCs w:val="21"/>
        </w:rPr>
        <w:t xml:space="preserve">The primary generation, grading, and phrasing paths depend on Groq's hosted API. This risk is directly mitigated by design: every LLM call path already has a deterministic or template-based fallback, so the feature degrades rather than fails outright if the API is slow, rate-limited, or unavailable — verified in testing by running the full flow, mixed tests included, with no API key configured at all.</w:t>
      </w:r>
    </w:p>
    <w:p>
      <w:pPr>
        <w:pStyle w:val="Heading2"/>
        <w:spacing w:after="120" w:before="300"/>
      </w:pPr>
      <w:r>
        <w:rPr>
          <w:b/>
          <w:bCs/>
          <w:color w:val="1F4E5F"/>
          <w:sz w:val="24"/>
          <w:szCs w:val="24"/>
        </w:rPr>
        <w:t xml:space="preserve">8.5 Adaptive delivery is a staircase, not calibrated IRT</w:t>
      </w:r>
    </w:p>
    <w:p>
      <w:pPr>
        <w:spacing w:after="160" w:line="276"/>
      </w:pPr>
      <w:r>
        <w:rPr>
          <w:sz w:val="21"/>
          <w:szCs w:val="21"/>
        </w:rPr>
        <w:t xml:space="preserve">The built adaptive controller (Section 3.5) steps a student across three heuristically-assigned difficulty tiers rather than estimating a continuous ability score from calibrated item parameters. It does not guarantee balance across topics or question types while it adapts, a small note corpus can leave one or more tiers thin (the nearest-tier fallback masks this rather than surfacing it to the student), and a tier assigned at generation time by a keyword-band heuristic is not the same as a difficulty estimated from real response data. This is the most visible remaining gap relative to the full IRT/CAT literature (Section 5E) and is the subject of the P3 roadmap recommendation.</w:t>
      </w:r>
    </w:p>
    <w:p>
      <w:pPr>
        <w:pStyle w:val="Heading2"/>
        <w:spacing w:after="120" w:before="300"/>
      </w:pPr>
      <w:r>
        <w:rPr>
          <w:b/>
          <w:bCs/>
          <w:color w:val="1F4E5F"/>
          <w:sz w:val="24"/>
          <w:szCs w:val="24"/>
        </w:rPr>
        <w:t xml:space="preserve">8.6 No cross-attempt mastery model</w:t>
      </w:r>
    </w:p>
    <w:p>
      <w:pPr>
        <w:spacing w:after="160" w:line="276"/>
      </w:pPr>
      <w:r>
        <w:rPr>
          <w:sz w:val="21"/>
          <w:szCs w:val="21"/>
        </w:rPr>
        <w:t xml:space="preserve">Feedback is computed from a single attempt's snapshot; nothing currently persists or updates a per-student, per-topic mastery estimate across multiple attempts over time, which is the gap the P2 knowledge-tracing recommendation directly addresses.</w:t>
      </w:r>
    </w:p>
    <w:p>
      <w:pPr>
        <w:pStyle w:val="Heading2"/>
        <w:spacing w:after="120" w:before="300"/>
      </w:pPr>
      <w:r>
        <w:rPr>
          <w:b/>
          <w:bCs/>
          <w:color w:val="1F4E5F"/>
          <w:sz w:val="24"/>
          <w:szCs w:val="24"/>
        </w:rPr>
        <w:t xml:space="preserve">8.7 Small-corpus assumption</w:t>
      </w:r>
    </w:p>
    <w:p>
      <w:pPr>
        <w:spacing w:after="160" w:line="276"/>
      </w:pPr>
      <w:r>
        <w:rPr>
          <w:sz w:val="21"/>
          <w:szCs w:val="21"/>
        </w:rPr>
        <w:t xml:space="preserve">TF-IDF and in-prompt context both work well at the corpus sizes a personal study app realistically produces, but neither approach scales cleanly to a very large shared note corpus — that would call for real embeddings and retrieval, as noted in the P4 roadmap item.</w:t>
      </w:r>
    </w:p>
    <w:p>
      <w:pPr>
        <w:pStyle w:val="Heading1"/>
        <w:pBdr>
          <w:bottom w:val="single" w:color="C9D3D2" w:sz="6" w:space="4"/>
        </w:pBdr>
        <w:spacing w:after="200" w:before="400"/>
      </w:pPr>
      <w:r>
        <w:rPr>
          <w:b/>
          <w:bCs/>
          <w:color w:val="1F4E5F"/>
          <w:sz w:val="30"/>
          <w:szCs w:val="30"/>
        </w:rPr>
        <w:t xml:space="preserve">9. Conclusion</w:t>
      </w:r>
    </w:p>
    <w:p>
      <w:pPr>
        <w:spacing w:after="160" w:line="276"/>
      </w:pPr>
      <w:r>
        <w:rPr>
          <w:sz w:val="21"/>
          <w:szCs w:val="21"/>
        </w:rPr>
        <w:t xml:space="preserve">The Test Generation &amp; Feedback module is feasible on every axis this report examined, across both of its question types: it runs on the team's existing stack with no additional infrastructure or cost, it degrades gracefully rather than failing when its one external dependency is unavailable — verified for MCQ, theory, and mixed tests alike — and its core design choices, including the newer theory-question generation, free-text grading, and adaptive item-delivery paths, are consistent with an identifiable body of peer-reviewed work rather than being ad hoc. Item delivery is now adaptive rather than fixed-order, via a staircase controller that closes what was previously the single largest gap against the team's own build-order spec, while remaining honest about being the simple end of the IRT/CAT literature rather than a calibrated model. Where the module departs from any specific published method — the hallucination gate's exact lexical design, the feedback formula's specific weights, and the staircase's heuristic difficulty tiers — this report has said so plainly, because that honesty is itself part of a sound feasibility assessment. The recommended next step, Bayesian Knowledge Tracing, is realistic within the team's remaining timeline and would move the module from a working, now-adaptive assessment tool toward one that also models mastery across attempts over time.</w:t>
      </w:r>
    </w:p>
    <w:p>
      <w:r>
        <w:br w:type="page"/>
      </w:r>
    </w:p>
    <w:p>
      <w:pPr>
        <w:pStyle w:val="Heading1"/>
        <w:pBdr>
          <w:bottom w:val="single" w:color="C9D3D2" w:sz="6" w:space="4"/>
        </w:pBdr>
        <w:spacing w:after="200" w:before="400"/>
      </w:pPr>
      <w:r>
        <w:rPr>
          <w:b/>
          <w:bCs/>
          <w:color w:val="1F4E5F"/>
          <w:sz w:val="30"/>
          <w:szCs w:val="30"/>
        </w:rPr>
        <w:t xml:space="preserve">10. References</w:t>
      </w:r>
    </w:p>
    <w:p>
      <w:pPr>
        <w:spacing w:after="160" w:line="264"/>
        <w:ind w:left="360" w:hanging="360"/>
      </w:pPr>
      <w:r>
        <w:rPr>
          <w:sz w:val="20"/>
          <w:szCs w:val="20"/>
        </w:rPr>
        <w:t xml:space="preserve">Bitew, S. K., Deleu, J., Develder, C., &amp; Demeester, T. (2023). Distractor generation for multiple-choice questions with predictive prompting and large language models. In Machine Learning and Knowledge Discovery in Databases: Applied Data Science and Demo Track (ECML PKDD 2023), CCIS vol. 2134, pp. 48–63. Springer. https://arxiv.org/abs/2307.16338</w:t>
      </w:r>
    </w:p>
    <w:p>
      <w:pPr>
        <w:spacing w:after="160" w:line="264"/>
        <w:ind w:left="360" w:hanging="360"/>
      </w:pPr>
      <w:r>
        <w:rPr>
          <w:sz w:val="20"/>
          <w:szCs w:val="20"/>
        </w:rPr>
        <w:t xml:space="preserve">Corbett, A. T., &amp; Anderson, J. R. (1994). Knowledge tracing: Modeling the acquisition of procedural knowledge. User Modeling and User-Adapted Interaction, 4(4), 253–278. https://doi.org/10.1007/BF01099821</w:t>
      </w:r>
    </w:p>
    <w:p>
      <w:pPr>
        <w:spacing w:after="160" w:line="264"/>
        <w:ind w:left="360" w:hanging="360"/>
      </w:pPr>
      <w:r>
        <w:rPr>
          <w:sz w:val="20"/>
          <w:szCs w:val="20"/>
        </w:rPr>
        <w:t xml:space="preserve">Du, X., Shao, J., &amp; Cardie, C. (2017). Learning to ask: Neural question generation for reading comprehension. In Proceedings of the 55th Annual Meeting of the Association for Computational Linguistics (ACL 2017). https://aclanthology.org/P17-1123/</w:t>
      </w:r>
    </w:p>
    <w:p>
      <w:pPr>
        <w:spacing w:after="160" w:line="264"/>
        <w:ind w:left="360" w:hanging="360"/>
      </w:pPr>
      <w:r>
        <w:rPr>
          <w:sz w:val="20"/>
          <w:szCs w:val="20"/>
        </w:rPr>
        <w:t xml:space="preserve">Ferreira Mello, R., Pereira Junior, C., Rodrigues, L., Dwan Pereira, F., Cabral, L., Costa, N., Ramalho, G., &amp; Gašević, D. (2025). Automatic short answer grading in the LLM era: Does GPT-4 with prompt engineering beat traditional models? In Proceedings of the 15th International Conference on Learning Analytics &amp; Knowledge (LAK 2025). https://doi.org/10.1145/3706468.3706481</w:t>
      </w:r>
    </w:p>
    <w:p>
      <w:pPr>
        <w:spacing w:after="160" w:line="264"/>
        <w:ind w:left="360" w:hanging="360"/>
      </w:pPr>
      <w:r>
        <w:rPr>
          <w:sz w:val="20"/>
          <w:szCs w:val="20"/>
        </w:rPr>
        <w:t xml:space="preserve">Ghosh, A., Heffernan, N., &amp; Lan, A. S. (2020). Context-aware attentive knowledge tracing. In Proceedings of the 26th ACM SIGKDD International Conference on Knowledge Discovery &amp; Data Mining (KDD 2020). https://doi.org/10.1145/3394486.3403282</w:t>
      </w:r>
    </w:p>
    <w:p>
      <w:pPr>
        <w:spacing w:after="160" w:line="264"/>
        <w:ind w:left="360" w:hanging="360"/>
      </w:pPr>
      <w:r>
        <w:rPr>
          <w:sz w:val="20"/>
          <w:szCs w:val="20"/>
        </w:rPr>
        <w:t xml:space="preserve">Henkel, O., Boxer, A., Hills, L., &amp; Roberts, B. (2024). Can large language models make the grade? An empirical study evaluating LLMs' ability to mark short answer questions in K-12 education. arXiv:2405.02985. https://arxiv.org/abs/2405.02985</w:t>
      </w:r>
    </w:p>
    <w:p>
      <w:pPr>
        <w:spacing w:after="160" w:line="264"/>
        <w:ind w:left="360" w:hanging="360"/>
      </w:pPr>
      <w:r>
        <w:rPr>
          <w:sz w:val="20"/>
          <w:szCs w:val="20"/>
        </w:rPr>
        <w:t xml:space="preserve">Huang, L., Yu, W., Ma, W., Zhong, W., Feng, Z., Wang, H., Chen, Q., Peng, W., Feng, X., Qin, B., &amp; Liu, T. (2023). A survey on hallucination in large language models: Principles, taxonomy, challenges, and open questions. ACM Transactions on Information Systems. https://arxiv.org/abs/2311.05232</w:t>
      </w:r>
    </w:p>
    <w:p>
      <w:pPr>
        <w:spacing w:after="160" w:line="264"/>
        <w:ind w:left="360" w:hanging="360"/>
      </w:pPr>
      <w:r>
        <w:rPr>
          <w:sz w:val="20"/>
          <w:szCs w:val="20"/>
        </w:rPr>
        <w:t xml:space="preserve">Kurdi, G., Leo, J., Parsia, B., Sattler, U., &amp; Al-Emari, S. (2020). A systematic review of automatic question generation for educational purposes. International Journal of Artificial Intelligence in Education, 30(1), 121–204. https://link.springer.com/article/10.1007/s40593-019-00186-y</w:t>
      </w:r>
    </w:p>
    <w:p>
      <w:pPr>
        <w:spacing w:after="160" w:line="264"/>
        <w:ind w:left="360" w:hanging="360"/>
      </w:pPr>
      <w:r>
        <w:rPr>
          <w:sz w:val="20"/>
          <w:szCs w:val="20"/>
        </w:rPr>
        <w:t xml:space="preserve">Lee, J., Smith, D., Woodhead, S., &amp; Lan, A. (2024). Math multiple choice question generation via human–large language model collaboration. In Proceedings of the 17th International Conference on Educational Data Mining (EDM 2024). https://arxiv.org/html/2405.00864v1</w:t>
      </w:r>
    </w:p>
    <w:p>
      <w:pPr>
        <w:spacing w:after="160" w:line="264"/>
        <w:ind w:left="360" w:hanging="360"/>
      </w:pPr>
      <w:r>
        <w:rPr>
          <w:sz w:val="20"/>
          <w:szCs w:val="20"/>
        </w:rPr>
        <w:t xml:space="preserve">Lewis, P., Perez, E., Piktus, A., Petroni, F., Karpukhin, V., Goyal, N., Küttler, H., Lewis, M., Yih, W., Rocktäschel, T., Riedel, S., &amp; Kiela, D. (2020). Retrieval-augmented generation for knowledge-intensive NLP tasks. Advances in Neural Information Processing Systems 33 (NeurIPS 2020). https://arxiv.org/abs/2005.11401</w:t>
      </w:r>
    </w:p>
    <w:p>
      <w:pPr>
        <w:spacing w:after="160" w:line="264"/>
        <w:ind w:left="360" w:hanging="360"/>
      </w:pPr>
      <w:r>
        <w:rPr>
          <w:sz w:val="20"/>
          <w:szCs w:val="20"/>
        </w:rPr>
        <w:t xml:space="preserve">Lord, F. M. (1980). Applications of item response theory to practical testing problems. Lawrence Erlbaum Associates.</w:t>
      </w:r>
    </w:p>
    <w:p>
      <w:pPr>
        <w:spacing w:after="160" w:line="264"/>
        <w:ind w:left="360" w:hanging="360"/>
      </w:pPr>
      <w:r>
        <w:rPr>
          <w:sz w:val="20"/>
          <w:szCs w:val="20"/>
        </w:rPr>
        <w:t xml:space="preserve">Manakul, P., Liusie, A., &amp; Gales, M. J. F. (2023). SelfCheckGPT: Zero-resource black-box hallucination detection for generative large language models. In Proceedings of EMNLP 2023. https://aclanthology.org/2023.emnlp-main.557/</w:t>
      </w:r>
    </w:p>
    <w:p>
      <w:pPr>
        <w:spacing w:after="160" w:line="264"/>
        <w:ind w:left="360" w:hanging="360"/>
      </w:pPr>
      <w:r>
        <w:rPr>
          <w:sz w:val="20"/>
          <w:szCs w:val="20"/>
        </w:rPr>
        <w:t xml:space="preserve">Mihalcea, R., &amp; Tarau, P. (2004). TextRank: Bringing order into texts. In Proceedings of EMNLP 2004. https://aclanthology.org/W04-3252/</w:t>
      </w:r>
    </w:p>
    <w:p>
      <w:pPr>
        <w:spacing w:after="160" w:line="264"/>
        <w:ind w:left="360" w:hanging="360"/>
      </w:pPr>
      <w:r>
        <w:rPr>
          <w:sz w:val="20"/>
          <w:szCs w:val="20"/>
        </w:rPr>
        <w:t xml:space="preserve">Min, S., Krishna, K., Lyu, X., Lewis, M., Yih, W., Koh, P. W., Iyyer, M., Zettlemoyer, L., &amp; Hajishirzi, H. (2023). FActScore: Fine-grained atomic evaluation of factual precision in long form text generation. In Proceedings of EMNLP 2023. https://aclanthology.org/2023.emnlp-main.741/</w:t>
      </w:r>
    </w:p>
    <w:p>
      <w:pPr>
        <w:spacing w:after="160" w:line="264"/>
        <w:ind w:left="360" w:hanging="360"/>
      </w:pPr>
      <w:r>
        <w:rPr>
          <w:sz w:val="20"/>
          <w:szCs w:val="20"/>
        </w:rPr>
        <w:t xml:space="preserve">Mohler, M., &amp; Mihalcea, R. (2009). Text-to-text semantic similarity for automatic short answer grading. In Proceedings of the 12th Conference of the European Chapter of the ACL (EACL 2009), pp. 567–575. https://aclanthology.org/E09-1065/</w:t>
      </w:r>
    </w:p>
    <w:p>
      <w:pPr>
        <w:spacing w:after="160" w:line="264"/>
        <w:ind w:left="360" w:hanging="360"/>
      </w:pPr>
      <w:r>
        <w:rPr>
          <w:sz w:val="20"/>
          <w:szCs w:val="20"/>
        </w:rPr>
        <w:t xml:space="preserve">Nwafor, C. A., &amp; Onyenwe, I. E. (2021). An automated multiple-choice question generation using natural language processing techniques. International Journal on Natural Language Computing, 10(2). https://arxiv.org/abs/2103.14757</w:t>
      </w:r>
    </w:p>
    <w:p>
      <w:pPr>
        <w:spacing w:after="160" w:line="264"/>
        <w:ind w:left="360" w:hanging="360"/>
      </w:pPr>
      <w:r>
        <w:rPr>
          <w:sz w:val="20"/>
          <w:szCs w:val="20"/>
        </w:rPr>
        <w:t xml:space="preserve">Pandey, S., &amp; Karypis, G. (2019). A self-attentive model for knowledge tracing. In Proceedings of the 12th International Conference on Educational Data Mining (EDM 2019). https://arxiv.org/abs/1907.06837</w:t>
      </w:r>
    </w:p>
    <w:p>
      <w:pPr>
        <w:spacing w:after="160" w:line="264"/>
        <w:ind w:left="360" w:hanging="360"/>
      </w:pPr>
      <w:r>
        <w:rPr>
          <w:sz w:val="20"/>
          <w:szCs w:val="20"/>
        </w:rPr>
        <w:t xml:space="preserve">Piech, C., Bassen, J., Huang, J., Ganguli, S., Sahami, M., Guibas, L., &amp; Sohl-Dickstein, J. (2015). Deep knowledge tracing. Advances in Neural Information Processing Systems 28 (NeurIPS 2015). https://arxiv.org/abs/1506.05908</w:t>
      </w:r>
    </w:p>
    <w:p>
      <w:pPr>
        <w:spacing w:after="160" w:line="264"/>
        <w:ind w:left="360" w:hanging="360"/>
      </w:pPr>
      <w:r>
        <w:rPr>
          <w:sz w:val="20"/>
          <w:szCs w:val="20"/>
        </w:rPr>
        <w:t xml:space="preserve">Qiu, Z., Wu, X., &amp; Fan, W. (2020). Automatic distractor generation for multiple choice questions in standard tests. In Proceedings of the 28th International Conference on Computational Linguistics (COLING 2020), pp. 2096–2106. https://aclanthology.org/2020.coling-main.189/</w:t>
      </w:r>
    </w:p>
    <w:p>
      <w:pPr>
        <w:spacing w:after="160" w:line="264"/>
        <w:ind w:left="360" w:hanging="360"/>
      </w:pPr>
      <w:r>
        <w:rPr>
          <w:sz w:val="20"/>
          <w:szCs w:val="20"/>
        </w:rPr>
        <w:t xml:space="preserve">Reddig, J. M., Arora, A., &amp; MacLellan, C. J. (2025). Generating in-context, personalized feedback for intelligent tutors with large language models. International Journal of Artificial Intelligence in Education. https://link.springer.com/article/10.1007/s40593-025-00505-6</w:t>
      </w:r>
    </w:p>
    <w:p>
      <w:pPr>
        <w:spacing w:after="160" w:line="264"/>
        <w:ind w:left="360" w:hanging="360"/>
      </w:pPr>
      <w:r>
        <w:rPr>
          <w:sz w:val="20"/>
          <w:szCs w:val="20"/>
        </w:rPr>
        <w:t xml:space="preserve">Rodrigues, L., Xavier, C., Costa, N., Gašević, D., &amp; Ferreira Mello, R. (2025). Is GPT-4 fair? An empirical analysis in automatic short answer grading. Computers and Education: Artificial Intelligence. https://www.sciencedirect.com/science/article/pii/S2666920X25000682</w:t>
      </w:r>
    </w:p>
    <w:p>
      <w:pPr>
        <w:spacing w:after="160" w:line="264"/>
        <w:ind w:left="360" w:hanging="360"/>
      </w:pPr>
      <w:r>
        <w:rPr>
          <w:sz w:val="20"/>
          <w:szCs w:val="20"/>
        </w:rPr>
        <w:t xml:space="preserve">Salton, G., &amp; Buckley, C. (1988). Term-weighting approaches in automatic text retrieval. Information Processing &amp; Management, 24(5), 513–523. https://doi.org/10.1016/0306-4573(88)90021-0</w:t>
      </w:r>
    </w:p>
    <w:p>
      <w:pPr>
        <w:spacing w:after="160" w:line="264"/>
        <w:ind w:left="360" w:hanging="360"/>
      </w:pPr>
      <w:r>
        <w:rPr>
          <w:sz w:val="20"/>
          <w:szCs w:val="20"/>
        </w:rPr>
        <w:t xml:space="preserve">Shute, V. J. (2008). Focus on formative feedback. Review of Educational Research, 78(1), 153–189. https://doi.org/10.3102/0034654307313795</w:t>
      </w:r>
    </w:p>
    <w:p>
      <w:pPr>
        <w:spacing w:after="160" w:line="264"/>
        <w:ind w:left="360" w:hanging="360"/>
      </w:pPr>
      <w:r>
        <w:rPr>
          <w:sz w:val="20"/>
          <w:szCs w:val="20"/>
        </w:rPr>
        <w:t xml:space="preserve">van der Linden, W. J., &amp; Glas, C. A. W. (Eds.). (2000). Computerized adaptive testing: Theory and practice. Springer/Kluwer. https://doi.org/10.1007/0-306-47531-6</w:t>
      </w:r>
    </w:p>
    <w:p>
      <w:pPr>
        <w:spacing w:after="160" w:line="264"/>
        <w:ind w:left="360" w:hanging="360"/>
      </w:pPr>
      <w:r>
        <w:rPr>
          <w:sz w:val="20"/>
          <w:szCs w:val="20"/>
        </w:rPr>
        <w:t xml:space="preserve">VanLehn, K. (2011). The relative effectiveness of human tutoring, intelligent tutoring systems, and other tutoring systems. Educational Psychologist, 46(4), 197–221. https://doi.org/10.1080/00461520.2011.611369</w:t>
      </w:r>
    </w:p>
    <w:p>
      <w:pPr>
        <w:spacing w:after="160" w:line="264"/>
        <w:ind w:left="360" w:hanging="360"/>
      </w:pPr>
      <w:r>
        <w:rPr>
          <w:sz w:val="20"/>
          <w:szCs w:val="20"/>
        </w:rPr>
        <w:t xml:space="preserve">Weiss, D. J. (1982). Improving measurement quality and efficiency with adaptive testing. Applied Psychological Measurement, 6(4), 473–492. https://doi.org/10.1177/014662168200600408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A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A98"/>
        <w:sz w:val="16"/>
        <w:szCs w:val="16"/>
      </w:rPr>
      <w:t xml:space="preserve">Mind Atlas — Test Generation &amp; Feedback Feasibility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2026-09-05T19:48:09.092Z</dcterms:created>
  <dcterms:modified xsi:type="dcterms:W3CDTF">2026-09-05T19:48:09.092Z</dcterms:modified>
</cp:coreProperties>
</file>

<file path=docProps/custom.xml><?xml version="1.0" encoding="utf-8"?>
<Properties xmlns="http://schemas.openxmlformats.org/officeDocument/2006/custom-properties" xmlns:vt="http://schemas.openxmlformats.org/officeDocument/2006/docPropsVTypes"/>
</file>