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864"/>
          <w:sz w:val="56"/>
          <w:szCs w:val="56"/>
        </w:rPr>
        <w:t xml:space="preserve">MIND ATLAS</w:t>
      </w:r>
    </w:p>
    <w:p>
      <w:pPr>
        <w:spacing w:after="420" w:before="0"/>
        <w:jc w:val="center"/>
      </w:pPr>
      <w:r>
        <w:rPr>
          <w:color w:val="555555"/>
          <w:sz w:val="24"/>
          <w:szCs w:val="24"/>
        </w:rPr>
        <w:t xml:space="preserve">Notes → Knowledge Graph → Adaptive Testing</w:t>
      </w:r>
    </w:p>
    <w:p>
      <w:pPr>
        <w:spacing w:after="60" w:before="0"/>
        <w:jc w:val="center"/>
      </w:pPr>
      <w:r>
        <w:rPr>
          <w:b/>
          <w:bCs/>
          <w:sz w:val="40"/>
          <w:szCs w:val="40"/>
        </w:rPr>
        <w:t xml:space="preserve">Consolidated Feasibility Report</w:t>
      </w:r>
    </w:p>
    <w:p>
      <w:pPr>
        <w:spacing w:after="430" w:before="0"/>
        <w:jc w:val="center"/>
      </w:pPr>
      <w:r>
        <w:rPr>
          <w:color w:val="555555"/>
          <w:sz w:val="24"/>
          <w:szCs w:val="24"/>
        </w:rPr>
        <w:t xml:space="preserve">All Four Workstreams</w:t>
      </w:r>
    </w:p>
    <w:p>
      <w:pPr>
        <w:spacing w:after="70" w:before="0"/>
        <w:jc w:val="center"/>
      </w:pPr>
      <w:r>
        <w:rPr>
          <w:sz w:val="21"/>
          <w:szCs w:val="21"/>
        </w:rPr>
        <w:t xml:space="preserve">Compiled by: Atharva Hemade (Member 4 — Containerization &amp; Cloud Deployment)</w:t>
      </w:r>
    </w:p>
    <w:p>
      <w:pPr>
        <w:spacing w:after="70" w:before="0"/>
        <w:jc w:val="center"/>
      </w:pPr>
      <w:r>
        <w:rPr>
          <w:sz w:val="21"/>
          <w:szCs w:val="21"/>
        </w:rPr>
        <w:t xml:space="preserve">Workstream authors: Member 1 (Notes Ingestion &amp; Summarisation),</w:t>
      </w:r>
    </w:p>
    <w:p>
      <w:pPr>
        <w:spacing w:after="70" w:before="0"/>
        <w:jc w:val="center"/>
      </w:pPr>
      <w:r>
        <w:rPr>
          <w:sz w:val="21"/>
          <w:szCs w:val="21"/>
        </w:rPr>
        <w:t xml:space="preserve">Member 2 (Knowledge Graph &amp; NLP Intelligence),</w:t>
      </w:r>
    </w:p>
    <w:p>
      <w:pPr>
        <w:spacing w:after="70" w:before="0"/>
        <w:jc w:val="center"/>
      </w:pPr>
      <w:r>
        <w:rPr>
          <w:sz w:val="21"/>
          <w:szCs w:val="21"/>
        </w:rPr>
        <w:t xml:space="preserve">Siddhi Karhekar (Test Generation &amp; Feedback),</w:t>
      </w:r>
    </w:p>
    <w:p>
      <w:pPr>
        <w:spacing w:after="300" w:before="0"/>
        <w:jc w:val="center"/>
      </w:pPr>
      <w:r>
        <w:rPr>
          <w:sz w:val="21"/>
          <w:szCs w:val="21"/>
        </w:rPr>
        <w:t xml:space="preserve">Atharva Hemade (Containerization &amp; Cloud Deployment)</w:t>
      </w:r>
    </w:p>
    <w:p>
      <w:pPr>
        <w:spacing w:after="70" w:before="0"/>
        <w:jc w:val="center"/>
      </w:pPr>
      <w:r>
        <w:rPr>
          <w:sz w:val="21"/>
          <w:szCs w:val="21"/>
        </w:rPr>
        <w:t xml:space="preserve">Project: Mind Atlas — 4-member capstone team</w:t>
      </w:r>
    </w:p>
    <w:p>
      <w:pPr>
        <w:spacing w:after="70" w:before="0"/>
        <w:jc w:val="center"/>
      </w:pPr>
      <w:r>
        <w:rPr>
          <w:sz w:val="21"/>
          <w:szCs w:val="21"/>
        </w:rPr>
        <w:t xml:space="preserve">Repository: github.com/Siddhi-Karhekar/MindAtlas</w:t>
      </w:r>
    </w:p>
    <w:p>
      <w:pPr>
        <w:spacing w:after="620" w:before="0"/>
        <w:jc w:val="center"/>
      </w:pPr>
      <w:r>
        <w:rPr>
          <w:sz w:val="21"/>
          <w:szCs w:val="21"/>
        </w:rPr>
        <w:t xml:space="preserve">September 2026</w:t>
      </w:r>
    </w:p>
    <w:p>
      <w:pPr>
        <w:spacing w:after="0" w:before="0"/>
        <w:jc w:val="center"/>
      </w:pPr>
      <w:r>
        <w:rPr>
          <w:i/>
          <w:iCs/>
          <w:color w:val="666666"/>
          <w:sz w:val="19"/>
          <w:szCs w:val="19"/>
        </w:rPr>
        <w:t xml:space="preserve">Prepared from the four individual workstream feasibility reports, each of which</w:t>
      </w:r>
    </w:p>
    <w:p>
      <w:pPr>
        <w:spacing w:after="70" w:before="0"/>
        <w:jc w:val="center"/>
      </w:pPr>
      <w:r>
        <w:rPr>
          <w:i/>
          <w:iCs/>
          <w:color w:val="666666"/>
          <w:sz w:val="19"/>
          <w:szCs w:val="19"/>
        </w:rPr>
        <w:t xml:space="preserve">remains the authoritative source for its own literature review and roadmap.</w:t>
      </w:r>
    </w:p>
    <w:p>
      <w:r>
        <w:br w:type="page"/>
      </w:r>
    </w:p>
    <w:p>
      <w:pPr>
        <w:pStyle w:val="Heading1"/>
        <w:spacing w:after="170" w:before="340"/>
      </w:pPr>
      <w:r>
        <w:rPr>
          <w:b/>
          <w:bCs/>
          <w:color w:val="1F3864"/>
          <w:sz w:val="30"/>
          <w:szCs w:val="30"/>
        </w:rPr>
        <w:t xml:space="preserve">Contents</w:t>
      </w:r>
    </w:p>
    <w:p>
      <w:pPr>
        <w:spacing w:after="90" w:line="264"/>
        <w:ind w:left="200"/>
      </w:pPr>
      <w:r>
        <w:rPr>
          <w:b/>
          <w:bCs/>
          <w:color w:val="000000"/>
          <w:sz w:val="21"/>
          <w:szCs w:val="21"/>
        </w:rPr>
        <w:t xml:space="preserve">1.  Introduction and How This Report Was Assembled</w:t>
      </w:r>
    </w:p>
    <w:p>
      <w:pPr>
        <w:spacing w:after="60" w:line="264"/>
        <w:ind w:left="620"/>
      </w:pPr>
      <w:r>
        <w:rPr>
          <w:b w:val="false"/>
          <w:bCs w:val="false"/>
          <w:color w:val="444444"/>
          <w:sz w:val="20"/>
          <w:szCs w:val="20"/>
        </w:rPr>
        <w:t xml:space="preserve">1.1  Scope, conventions and method</w:t>
      </w:r>
    </w:p>
    <w:p>
      <w:pPr>
        <w:spacing w:after="90" w:line="264"/>
        <w:ind w:left="200"/>
      </w:pPr>
      <w:r>
        <w:rPr>
          <w:b/>
          <w:bCs/>
          <w:color w:val="000000"/>
          <w:sz w:val="21"/>
          <w:szCs w:val="21"/>
        </w:rPr>
        <w:t xml:space="preserve">2.  Workstream Ownership</w:t>
      </w:r>
    </w:p>
    <w:p>
      <w:pPr>
        <w:spacing w:after="90" w:line="264"/>
        <w:ind w:left="200"/>
      </w:pPr>
      <w:r>
        <w:rPr>
          <w:b/>
          <w:bCs/>
          <w:color w:val="000000"/>
          <w:sz w:val="21"/>
          <w:szCs w:val="21"/>
        </w:rPr>
        <w:t xml:space="preserve">3.  System Architecture and Runtime Boundary</w:t>
      </w:r>
    </w:p>
    <w:p>
      <w:pPr>
        <w:spacing w:after="60" w:line="264"/>
        <w:ind w:left="620"/>
      </w:pPr>
      <w:r>
        <w:rPr>
          <w:b w:val="false"/>
          <w:bCs w:val="false"/>
          <w:color w:val="444444"/>
          <w:sz w:val="20"/>
          <w:szCs w:val="20"/>
        </w:rPr>
        <w:t xml:space="preserve">3.1  The runtime decision</w:t>
      </w:r>
    </w:p>
    <w:p>
      <w:pPr>
        <w:spacing w:after="60" w:line="264"/>
        <w:ind w:left="620"/>
      </w:pPr>
      <w:r>
        <w:rPr>
          <w:b w:val="false"/>
          <w:bCs w:val="false"/>
          <w:color w:val="444444"/>
          <w:sz w:val="20"/>
          <w:szCs w:val="20"/>
        </w:rPr>
        <w:t xml:space="preserve">3.2  Deployable services</w:t>
      </w:r>
    </w:p>
    <w:p>
      <w:pPr>
        <w:spacing w:after="60" w:line="264"/>
        <w:ind w:left="620"/>
      </w:pPr>
      <w:r>
        <w:rPr>
          <w:b w:val="false"/>
          <w:bCs w:val="false"/>
          <w:color w:val="444444"/>
          <w:sz w:val="20"/>
          <w:szCs w:val="20"/>
        </w:rPr>
        <w:t xml:space="preserve">3.3  The degradation contract</w:t>
      </w:r>
    </w:p>
    <w:p>
      <w:pPr>
        <w:spacing w:after="90" w:line="264"/>
        <w:ind w:left="200"/>
      </w:pPr>
      <w:r>
        <w:rPr>
          <w:b/>
          <w:bCs/>
          <w:color w:val="000000"/>
          <w:sz w:val="21"/>
          <w:szCs w:val="21"/>
        </w:rPr>
        <w:t xml:space="preserve">4.  End-to-End Workflow</w:t>
      </w:r>
    </w:p>
    <w:p>
      <w:pPr>
        <w:spacing w:after="90" w:line="264"/>
        <w:ind w:left="200"/>
      </w:pPr>
      <w:r>
        <w:rPr>
          <w:b/>
          <w:bCs/>
          <w:color w:val="000000"/>
          <w:sz w:val="21"/>
          <w:szCs w:val="21"/>
        </w:rPr>
        <w:t xml:space="preserve">5.  Implementation Status</w:t>
      </w:r>
    </w:p>
    <w:p>
      <w:pPr>
        <w:spacing w:after="90" w:line="264"/>
        <w:ind w:left="200"/>
      </w:pPr>
      <w:r>
        <w:rPr>
          <w:b/>
          <w:bCs/>
          <w:color w:val="000000"/>
          <w:sz w:val="21"/>
          <w:szCs w:val="21"/>
        </w:rPr>
        <w:t xml:space="preserve">6.  Workstream Summaries</w:t>
      </w:r>
    </w:p>
    <w:p>
      <w:pPr>
        <w:spacing w:after="60" w:line="264"/>
        <w:ind w:left="620"/>
      </w:pPr>
      <w:r>
        <w:rPr>
          <w:b w:val="false"/>
          <w:bCs w:val="false"/>
          <w:color w:val="444444"/>
          <w:sz w:val="20"/>
          <w:szCs w:val="20"/>
        </w:rPr>
        <w:t xml:space="preserve">6.1  Member 1 — Notes Ingestion and Summarisation</w:t>
      </w:r>
    </w:p>
    <w:p>
      <w:pPr>
        <w:spacing w:after="60" w:line="264"/>
        <w:ind w:left="620"/>
      </w:pPr>
      <w:r>
        <w:rPr>
          <w:b w:val="false"/>
          <w:bCs w:val="false"/>
          <w:color w:val="444444"/>
          <w:sz w:val="20"/>
          <w:szCs w:val="20"/>
        </w:rPr>
        <w:t xml:space="preserve">6.2  Member 2 — Knowledge Graph and NLP Intelligence</w:t>
      </w:r>
    </w:p>
    <w:p>
      <w:pPr>
        <w:spacing w:after="60" w:line="264"/>
        <w:ind w:left="620"/>
      </w:pPr>
      <w:r>
        <w:rPr>
          <w:b w:val="false"/>
          <w:bCs w:val="false"/>
          <w:color w:val="444444"/>
          <w:sz w:val="20"/>
          <w:szCs w:val="20"/>
        </w:rPr>
        <w:t xml:space="preserve">6.3  Member 3 — Test Generation and Feedback</w:t>
      </w:r>
    </w:p>
    <w:p>
      <w:pPr>
        <w:spacing w:after="60" w:line="264"/>
        <w:ind w:left="620"/>
      </w:pPr>
      <w:r>
        <w:rPr>
          <w:b w:val="false"/>
          <w:bCs w:val="false"/>
          <w:color w:val="444444"/>
          <w:sz w:val="20"/>
          <w:szCs w:val="20"/>
        </w:rPr>
        <w:t xml:space="preserve">6.4  Member 4 — Containerization and Cloud Deployment</w:t>
      </w:r>
    </w:p>
    <w:p>
      <w:pPr>
        <w:spacing w:after="90" w:line="264"/>
        <w:ind w:left="200"/>
      </w:pPr>
      <w:r>
        <w:rPr>
          <w:b/>
          <w:bCs/>
          <w:color w:val="000000"/>
          <w:sz w:val="21"/>
          <w:szCs w:val="21"/>
        </w:rPr>
        <w:t xml:space="preserve">7.  Cross-Workstream Synthesis</w:t>
      </w:r>
    </w:p>
    <w:p>
      <w:pPr>
        <w:spacing w:after="60" w:line="264"/>
        <w:ind w:left="620"/>
      </w:pPr>
      <w:r>
        <w:rPr>
          <w:b w:val="false"/>
          <w:bCs w:val="false"/>
          <w:color w:val="444444"/>
          <w:sz w:val="20"/>
          <w:szCs w:val="20"/>
        </w:rPr>
        <w:t xml:space="preserve">7.1  Common findings</w:t>
      </w:r>
    </w:p>
    <w:p>
      <w:pPr>
        <w:spacing w:after="60" w:line="264"/>
        <w:ind w:left="620"/>
      </w:pPr>
      <w:r>
        <w:rPr>
          <w:b w:val="false"/>
          <w:bCs w:val="false"/>
          <w:color w:val="444444"/>
          <w:sz w:val="20"/>
          <w:szCs w:val="20"/>
        </w:rPr>
        <w:t xml:space="preserve">7.2  Integration risks the individual reports do not fully capture</w:t>
      </w:r>
    </w:p>
    <w:p>
      <w:pPr>
        <w:spacing w:after="60" w:line="264"/>
        <w:ind w:left="620"/>
      </w:pPr>
      <w:r>
        <w:rPr>
          <w:b w:val="false"/>
          <w:bCs w:val="false"/>
          <w:color w:val="444444"/>
          <w:sz w:val="20"/>
          <w:szCs w:val="20"/>
        </w:rPr>
        <w:t xml:space="preserve">7.3  Recommended build order</w:t>
      </w:r>
    </w:p>
    <w:p>
      <w:pPr>
        <w:spacing w:after="90" w:line="264"/>
        <w:ind w:left="200"/>
      </w:pPr>
      <w:r>
        <w:rPr>
          <w:b/>
          <w:bCs/>
          <w:color w:val="000000"/>
          <w:sz w:val="21"/>
          <w:szCs w:val="21"/>
        </w:rPr>
        <w:t xml:space="preserve">8.  Future Scope</w:t>
      </w:r>
    </w:p>
    <w:p>
      <w:pPr>
        <w:spacing w:after="60" w:line="264"/>
        <w:ind w:left="620"/>
      </w:pPr>
      <w:r>
        <w:rPr>
          <w:b w:val="false"/>
          <w:bCs w:val="false"/>
          <w:color w:val="444444"/>
          <w:sz w:val="20"/>
          <w:szCs w:val="20"/>
        </w:rPr>
        <w:t xml:space="preserve">8.1  Video proctoring and expression analysis</w:t>
      </w:r>
    </w:p>
    <w:p>
      <w:pPr>
        <w:spacing w:after="60" w:line="264"/>
        <w:ind w:left="620"/>
      </w:pPr>
      <w:r>
        <w:rPr>
          <w:b w:val="false"/>
          <w:bCs w:val="false"/>
          <w:color w:val="444444"/>
          <w:sz w:val="20"/>
          <w:szCs w:val="20"/>
        </w:rPr>
        <w:t xml:space="preserve">8.2  Other items deferred beyond this project</w:t>
      </w:r>
    </w:p>
    <w:p>
      <w:pPr>
        <w:spacing w:after="90" w:line="264"/>
        <w:ind w:left="200"/>
      </w:pPr>
      <w:r>
        <w:rPr>
          <w:b/>
          <w:bCs/>
          <w:color w:val="000000"/>
          <w:sz w:val="21"/>
          <w:szCs w:val="21"/>
        </w:rPr>
        <w:t xml:space="preserve">9.  Consolidated Risk Register</w:t>
      </w:r>
    </w:p>
    <w:p>
      <w:pPr>
        <w:spacing w:after="90" w:line="264"/>
        <w:ind w:left="200"/>
      </w:pPr>
      <w:r>
        <w:rPr>
          <w:b/>
          <w:bCs/>
          <w:color w:val="000000"/>
          <w:sz w:val="21"/>
          <w:szCs w:val="21"/>
        </w:rPr>
        <w:t xml:space="preserve">10.  Conclusion</w:t>
      </w:r>
    </w:p>
    <w:p>
      <w:pPr>
        <w:spacing w:after="90" w:line="264"/>
        <w:ind w:left="200"/>
      </w:pPr>
      <w:r>
        <w:rPr>
          <w:b/>
          <w:bCs/>
          <w:color w:val="000000"/>
          <w:sz w:val="21"/>
          <w:szCs w:val="21"/>
        </w:rPr>
        <w:t xml:space="preserve">Appendix A — Interface Contracts</w:t>
      </w:r>
    </w:p>
    <w:p>
      <w:pPr>
        <w:spacing w:after="90" w:line="264"/>
        <w:ind w:left="200"/>
      </w:pPr>
      <w:r>
        <w:rPr>
          <w:b/>
          <w:bCs/>
          <w:color w:val="000000"/>
          <w:sz w:val="21"/>
          <w:szCs w:val="21"/>
        </w:rPr>
        <w:t xml:space="preserve">11.  References</w:t>
      </w:r>
    </w:p>
    <w:p>
      <w:r>
        <w:br w:type="page"/>
      </w:r>
    </w:p>
    <w:p>
      <w:pPr>
        <w:pStyle w:val="Heading1"/>
        <w:spacing w:after="170" w:before="340"/>
      </w:pPr>
      <w:r>
        <w:rPr>
          <w:b/>
          <w:bCs/>
          <w:color w:val="1F3864"/>
          <w:sz w:val="30"/>
          <w:szCs w:val="30"/>
        </w:rPr>
        <w:t xml:space="preserve">1. Introduction and How This Report Was Assembled</w:t>
      </w:r>
    </w:p>
    <w:p>
      <w:pPr>
        <w:spacing w:after="130" w:line="276"/>
      </w:pPr>
      <w:r>
        <w:rPr>
          <w:sz w:val="21"/>
          <w:szCs w:val="21"/>
        </w:rPr>
        <w:t xml:space="preserve">Mind Atlas is an adaptive assessment and personalised learning platform built as a four-person capstone project. A student adds notes — typed, scanned, or imported from a document — and the system links related notes into a per-subject knowledge graph, generates tests grounded strictly in those notes, and returns a ranked diagnosis of which topics need the most attention. A React single-page application forms the client, and a Node.js/Express REST API is the single gatekeeper for every request, with specialised processing services behind it sharing a common cloud and data layer.</w:t>
      </w:r>
    </w:p>
    <w:p>
      <w:pPr>
        <w:spacing w:after="130" w:line="276"/>
      </w:pPr>
      <w:r>
        <w:rPr>
          <w:sz w:val="21"/>
          <w:szCs w:val="21"/>
        </w:rPr>
        <w:t xml:space="preserve">Work is split across four workstreams, defined in the team's CONTRIBUTING.md and restated authoritatively in Section 2. Each member independently produced a full feasibility report for their own workstream, covering an executive summary, scope, implementation overview, technical and cost feasibility, a technology and literature survey, a prioritised recommendation roadmap, and a risk assessment. This document consolidates all four so the whole project's feasibility can be read in one sitting; the individual reports remain the authoritative source for complete literature reviews and full roadmaps.</w:t>
      </w:r>
    </w:p>
    <w:p>
      <w:pPr>
        <w:spacing w:after="130" w:line="276"/>
      </w:pPr>
      <w:r>
        <w:rPr>
          <w:sz w:val="21"/>
          <w:szCs w:val="21"/>
        </w:rPr>
        <w:t xml:space="preserve">Read together, the four reports reach the same headline conclusion by four different technical routes. Every workstream is feasible on free-tier infrastructure, no component anywhere in the system requires a GPU or a dedicated model-training pipeline, and each report is explicit about which of its design choices are supported by published work and which are the team's own engineering heuristics awaiting empirical tuning. Section 7 draws these threads together into a single cross-workstream build order and risk picture.</w:t>
      </w:r>
    </w:p>
    <w:p>
      <w:pPr>
        <w:pStyle w:val="Heading2"/>
        <w:spacing w:after="120" w:before="250"/>
      </w:pPr>
      <w:r>
        <w:rPr>
          <w:b/>
          <w:bCs/>
          <w:color w:val="1F3864"/>
          <w:sz w:val="24"/>
          <w:szCs w:val="24"/>
        </w:rPr>
        <w:t xml:space="preserve">1.1 Scope, conventions and method</w:t>
      </w:r>
    </w:p>
    <w:p>
      <w:pPr>
        <w:spacing w:after="130" w:line="276"/>
      </w:pPr>
      <w:r>
        <w:rPr>
          <w:sz w:val="21"/>
          <w:szCs w:val="21"/>
        </w:rPr>
        <w:t xml:space="preserve">This report covers all four workstreams at the level of feasibility: whether each can be built as designed within the team's constraints of a single semester, no GPU and no cloud budget beyond free tiers, and what each should build or measure next. It does not restate the full literature review or the complete roadmap from the individual reports, which remain authoritative for their own workstream.</w:t>
      </w:r>
    </w:p>
    <w:p>
      <w:pPr>
        <w:spacing w:after="130" w:line="276"/>
      </w:pPr>
      <w:r>
        <w:rPr>
          <w:sz w:val="21"/>
          <w:szCs w:val="21"/>
        </w:rPr>
        <w:t xml:space="preserve">Three conventions apply throughout. Workstream ownership follows the allocation in Section 2, which matches the team's CONTRIBUTING.md and the structure of the repository. Implementation status uses the three values defined in Section 5, and a component is described as built and verified only where an automated test in the repository exercises it. And wherever a design choice is the team's own engineering heuristic rather than a technique with published support, this report says so explicitly rather than attaching a citation that does not actually describe it — that distinction is drawn in all four workstreams.</w:t>
      </w:r>
    </w:p>
    <w:p>
      <w:pPr>
        <w:spacing w:after="130" w:line="276"/>
      </w:pPr>
      <w:r>
        <w:rPr>
          <w:sz w:val="21"/>
          <w:szCs w:val="21"/>
        </w:rPr>
        <w:t xml:space="preserve">Two boundaries are worth stating at the outset. The runtime split between the Node.js API and the Python machine-learning services is recorded in Section 3.1, because it determines the container topology, every workstream's dependency list and the hosting plan. And video proctoring, which appeared in the initial system architecture, is out of scope for this project and is recorded as future scope in Section 8.1; it is excluded from every technical, cost and schedule claim made here.</w:t>
      </w:r>
    </w:p>
    <w:p>
      <w:pPr>
        <w:pStyle w:val="Heading1"/>
        <w:spacing w:after="170" w:before="340"/>
      </w:pPr>
      <w:r>
        <w:rPr>
          <w:b/>
          <w:bCs/>
          <w:color w:val="1F3864"/>
          <w:sz w:val="30"/>
          <w:szCs w:val="30"/>
        </w:rPr>
        <w:t xml:space="preserve">2. Workstream Ownership</w:t>
      </w:r>
    </w:p>
    <w:p>
      <w:pPr>
        <w:spacing w:after="130" w:line="276"/>
      </w:pPr>
      <w:r>
        <w:rPr>
          <w:sz w:val="21"/>
          <w:szCs w:val="21"/>
        </w:rPr>
        <w:t xml:space="preserve">The allocation below is authoritative for this report. It matches the team's CONTRIBUTING.md and the repository's current structure. It is the allocation every section of this report uses.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1452"/>
        <w:gridCol w:w="5262"/>
      </w:tblGrid>
      <w:tr>
        <w:trPr>
          <w:tblHeader/>
        </w:trPr>
        <w:tc>
          <w:tcPr>
            <w:tcW w:type="dxa" w:w="2359"/>
            <w:shd w:fill="D9E2F3" w:color="auto" w:val="clear"/>
            <w:tcMar>
              <w:top w:type="dxa" w:w="70"/>
              <w:left w:type="dxa" w:w="110"/>
              <w:bottom w:type="dxa" w:w="70"/>
              <w:right w:type="dxa" w:w="110"/>
            </w:tcMar>
          </w:tcPr>
          <w:p>
            <w:pPr>
              <w:spacing w:after="0" w:line="250"/>
            </w:pPr>
            <w:r>
              <w:rPr>
                <w:b/>
                <w:bCs/>
                <w:sz w:val="18"/>
                <w:szCs w:val="18"/>
              </w:rPr>
              <w:t xml:space="preserve">Workstream</w:t>
            </w:r>
          </w:p>
        </w:tc>
        <w:tc>
          <w:tcPr>
            <w:tcW w:type="dxa" w:w="1452"/>
            <w:shd w:fill="D9E2F3" w:color="auto" w:val="clear"/>
            <w:tcMar>
              <w:top w:type="dxa" w:w="70"/>
              <w:left w:type="dxa" w:w="110"/>
              <w:bottom w:type="dxa" w:w="70"/>
              <w:right w:type="dxa" w:w="110"/>
            </w:tcMar>
          </w:tcPr>
          <w:p>
            <w:pPr>
              <w:spacing w:after="0" w:line="250"/>
            </w:pPr>
            <w:r>
              <w:rPr>
                <w:b/>
                <w:bCs/>
                <w:sz w:val="18"/>
                <w:szCs w:val="18"/>
              </w:rPr>
              <w:t xml:space="preserve">Owner</w:t>
            </w:r>
          </w:p>
        </w:tc>
        <w:tc>
          <w:tcPr>
            <w:tcW w:type="dxa" w:w="5262"/>
            <w:shd w:fill="D9E2F3" w:color="auto" w:val="clear"/>
            <w:tcMar>
              <w:top w:type="dxa" w:w="70"/>
              <w:left w:type="dxa" w:w="110"/>
              <w:bottom w:type="dxa" w:w="70"/>
              <w:right w:type="dxa" w:w="110"/>
            </w:tcMar>
          </w:tcPr>
          <w:p>
            <w:pPr>
              <w:spacing w:after="0" w:line="250"/>
            </w:pPr>
            <w:r>
              <w:rPr>
                <w:b/>
                <w:bCs/>
                <w:sz w:val="18"/>
                <w:szCs w:val="18"/>
              </w:rPr>
              <w:t xml:space="preserve">Owned deliverables</w:t>
            </w:r>
          </w:p>
        </w:tc>
      </w:tr>
      <w:tr>
        <w:tc>
          <w:tcPr>
            <w:tcW w:type="dxa" w:w="2359"/>
            <w:tcMar>
              <w:top w:type="dxa" w:w="70"/>
              <w:left w:type="dxa" w:w="110"/>
              <w:bottom w:type="dxa" w:w="70"/>
              <w:right w:type="dxa" w:w="110"/>
            </w:tcMar>
          </w:tcPr>
          <w:p>
            <w:pPr>
              <w:spacing w:after="0" w:line="250"/>
            </w:pPr>
            <w:r>
              <w:rPr>
                <w:b w:val="false"/>
                <w:bCs w:val="false"/>
                <w:sz w:val="18"/>
                <w:szCs w:val="18"/>
              </w:rPr>
              <w:t xml:space="preserve">Member 1 — Notes Ingestion &amp; Summarisation</w:t>
            </w:r>
          </w:p>
        </w:tc>
        <w:tc>
          <w:tcPr>
            <w:tcW w:type="dxa" w:w="1452"/>
            <w:tcMar>
              <w:top w:type="dxa" w:w="70"/>
              <w:left w:type="dxa" w:w="110"/>
              <w:bottom w:type="dxa" w:w="70"/>
              <w:right w:type="dxa" w:w="110"/>
            </w:tcMar>
          </w:tcPr>
          <w:p>
            <w:pPr>
              <w:spacing w:after="0" w:line="250"/>
            </w:pPr>
            <w:r>
              <w:rPr>
                <w:b w:val="false"/>
                <w:bCs w:val="false"/>
                <w:sz w:val="18"/>
                <w:szCs w:val="18"/>
              </w:rPr>
              <w:t xml:space="preserve">Member 1</w:t>
            </w:r>
          </w:p>
        </w:tc>
        <w:tc>
          <w:tcPr>
            <w:tcW w:type="dxa" w:w="5262"/>
            <w:tcMar>
              <w:top w:type="dxa" w:w="70"/>
              <w:left w:type="dxa" w:w="110"/>
              <w:bottom w:type="dxa" w:w="70"/>
              <w:right w:type="dxa" w:w="110"/>
            </w:tcMar>
          </w:tcPr>
          <w:p>
            <w:pPr>
              <w:spacing w:after="0" w:line="250"/>
            </w:pPr>
            <w:r>
              <w:rPr>
                <w:b w:val="false"/>
                <w:bCs w:val="false"/>
                <w:sz w:val="18"/>
                <w:szCs w:val="18"/>
              </w:rPr>
              <w:t xml:space="preserve">Multi-format ingestion (typed, DOCX, PDF, image); OCR with confidence-gated cloud fallback; grounded note summarisation; subject-folder storage; object storage; textbook chunking and vector indexing</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Member 2 — Knowledge Graph &amp; NLP Intelligence</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Keyword extraction; sentence-embedding similarity; hybrid scoring; cross-subject word-sense disambiguation; community-detection sanity checks; edge-confidence calibration from corrections; graph visualisation; graph accuracy evaluation</w:t>
            </w:r>
          </w:p>
        </w:tc>
      </w:tr>
      <w:tr>
        <w:tc>
          <w:tcPr>
            <w:tcW w:type="dxa" w:w="2359"/>
            <w:tcMar>
              <w:top w:type="dxa" w:w="70"/>
              <w:left w:type="dxa" w:w="110"/>
              <w:bottom w:type="dxa" w:w="70"/>
              <w:right w:type="dxa" w:w="110"/>
            </w:tcMar>
          </w:tcPr>
          <w:p>
            <w:pPr>
              <w:spacing w:after="0" w:line="250"/>
            </w:pPr>
            <w:r>
              <w:rPr>
                <w:b w:val="false"/>
                <w:bCs w:val="false"/>
                <w:sz w:val="18"/>
                <w:szCs w:val="18"/>
              </w:rPr>
              <w:t xml:space="preserve">Member 3 — Test Generation &amp; Feedback</w:t>
            </w:r>
          </w:p>
        </w:tc>
        <w:tc>
          <w:tcPr>
            <w:tcW w:type="dxa" w:w="1452"/>
            <w:tcMar>
              <w:top w:type="dxa" w:w="70"/>
              <w:left w:type="dxa" w:w="110"/>
              <w:bottom w:type="dxa" w:w="70"/>
              <w:right w:type="dxa" w:w="110"/>
            </w:tcMar>
          </w:tcPr>
          <w:p>
            <w:pPr>
              <w:spacing w:after="0" w:line="250"/>
            </w:pPr>
            <w:r>
              <w:rPr>
                <w:b w:val="false"/>
                <w:bCs w:val="false"/>
                <w:sz w:val="18"/>
                <w:szCs w:val="18"/>
              </w:rPr>
              <w:t xml:space="preserve">Siddhi Karhekar</w:t>
            </w:r>
          </w:p>
        </w:tc>
        <w:tc>
          <w:tcPr>
            <w:tcW w:type="dxa" w:w="5262"/>
            <w:tcMar>
              <w:top w:type="dxa" w:w="70"/>
              <w:left w:type="dxa" w:w="110"/>
              <w:bottom w:type="dxa" w:w="70"/>
              <w:right w:type="dxa" w:w="110"/>
            </w:tcMar>
          </w:tcPr>
          <w:p>
            <w:pPr>
              <w:spacing w:after="0" w:line="250"/>
            </w:pPr>
            <w:r>
              <w:rPr>
                <w:b w:val="false"/>
                <w:bCs w:val="false"/>
                <w:sz w:val="18"/>
                <w:szCs w:val="18"/>
              </w:rPr>
              <w:t xml:space="preserve">Grounded MCQ and theory question generation; the hallucination gate; adaptive item delivery; free-text answer grading; deterministic per-topic feedback scoring and phrasing</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Member 4 — Containerization &amp; Cloud Deployment</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Atharva Hemade</w:t>
            </w:r>
          </w:p>
        </w:tc>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Dockerfiles; local orchestration; the CI/CD pipeline; hosting topology; the environment-variable contract; secrets hygiene; health checks and observability</w:t>
            </w:r>
          </w:p>
        </w:tc>
      </w:tr>
    </w:tbl>
    <w:p>
      <w:pPr>
        <w:spacing w:after="170"/>
      </w:pPr>
    </w:p>
    <w:p>
      <w:pPr>
        <w:spacing w:after="130" w:line="276"/>
      </w:pPr>
      <w:r>
        <w:rPr>
          <w:b/>
          <w:bCs/>
          <w:sz w:val="21"/>
          <w:szCs w:val="21"/>
        </w:rPr>
        <w:t xml:space="preserve">Not owned by any workstream: </w:t>
      </w:r>
      <w:r>
        <w:rPr>
          <w:b w:val="false"/>
          <w:bCs w:val="false"/>
          <w:sz w:val="21"/>
          <w:szCs w:val="21"/>
        </w:rPr>
        <w:t xml:space="preserve">video proctoring and webcam expression analysis. These are recorded as future scope in Section 8 and are excluded from every feasibility claim in this report. Member 3's attempt flow is built so that the non-camera path is the fully supported path rather than a degraded one, so nothing in the delivered system depends on proctoring ever being added.</w:t>
      </w:r>
    </w:p>
    <w:p>
      <w:pPr>
        <w:spacing w:after="130" w:line="276"/>
      </w:pPr>
      <w:r>
        <w:rPr>
          <w:b/>
          <w:bCs/>
          <w:sz w:val="21"/>
          <w:szCs w:val="21"/>
        </w:rPr>
        <w:t xml:space="preserve">Cross-cutting, shared by all four: </w:t>
      </w:r>
      <w:r>
        <w:rPr>
          <w:b w:val="false"/>
          <w:bCs w:val="false"/>
          <w:sz w:val="21"/>
          <w:szCs w:val="21"/>
        </w:rPr>
        <w:t xml:space="preserve">integration, API contract design, testing and documentation. Deployment, CI/CD, hosting and scalability testing are owned end to end by Member 4. Member 1 supplies the workload profiles that Member 4's scalability runs execute against deployed containers.</w:t>
      </w:r>
    </w:p>
    <w:p>
      <w:r>
        <w:br w:type="page"/>
      </w:r>
    </w:p>
    <w:p>
      <w:pPr>
        <w:pStyle w:val="Heading1"/>
        <w:spacing w:after="170" w:before="340"/>
      </w:pPr>
      <w:r>
        <w:rPr>
          <w:b/>
          <w:bCs/>
          <w:color w:val="1F3864"/>
          <w:sz w:val="30"/>
          <w:szCs w:val="30"/>
        </w:rPr>
        <w:t xml:space="preserve">3. System Architecture and Runtime Boundary</w:t>
      </w:r>
    </w:p>
    <w:p>
      <w:pPr>
        <w:pStyle w:val="Heading2"/>
        <w:spacing w:after="120" w:before="250"/>
      </w:pPr>
      <w:r>
        <w:rPr>
          <w:b/>
          <w:bCs/>
          <w:color w:val="1F3864"/>
          <w:sz w:val="24"/>
          <w:szCs w:val="24"/>
        </w:rPr>
        <w:t xml:space="preserve">3.1 The runtime decision</w:t>
      </w:r>
    </w:p>
    <w:p>
      <w:pPr>
        <w:spacing w:after="130" w:line="276"/>
      </w:pPr>
      <w:r>
        <w:rPr>
          <w:sz w:val="21"/>
          <w:szCs w:val="21"/>
        </w:rPr>
        <w:t xml:space="preserve">Mind Atlas spans two runtimes, and fixing the boundary between them is a prerequisite for the container topology, the dependency lists and the hosting plan. The API layer is Node.js/Express. The machine-learning work — OCR, sentence embeddings, cross-encoder re-scoring, community detection and vector indexing — is substantially better served by mature Python libraries such as Tesseract bindings, sentence-transformers, FAISS and scikit-learn than by JavaScript equivalents.</w:t>
      </w:r>
    </w:p>
    <w:p>
      <w:pPr>
        <w:spacing w:after="130" w:line="276"/>
      </w:pPr>
      <w:r>
        <w:rPr>
          <w:b/>
          <w:bCs/>
          <w:sz w:val="21"/>
          <w:szCs w:val="21"/>
        </w:rPr>
        <w:t xml:space="preserve">The team's decision is a hybrid split. </w:t>
      </w:r>
      <w:r>
        <w:rPr>
          <w:b w:val="false"/>
          <w:bCs w:val="false"/>
          <w:sz w:val="21"/>
          <w:szCs w:val="21"/>
        </w:rPr>
        <w:t xml:space="preserve">Node.js/Express remains the single API gateway and owns everything already built and verified. Two Python services own the model-backed work that Python libraries serve substantially better. Each Python service is reached over HTTP from the API, behind a timeout, and each has a documented fallback described in Section 3.3.</w:t>
      </w:r>
    </w:p>
    <w:p>
      <w:pPr>
        <w:spacing w:after="130" w:line="276"/>
      </w:pPr>
      <w:r>
        <w:rPr>
          <w:sz w:val="21"/>
          <w:szCs w:val="21"/>
        </w:rPr>
        <w:t xml:space="preserve">Three considerations drove this. It preserves the built Node implementation without a rewrite, which is the largest body of verified code the team has. It lets Members 1 and 2 use the libraries their feasibility analyses rest on rather than forcing less-proven JavaScript equivalents. And it keeps the two heaviest memory consumers, the OCR engine and the embedding models, in their own containers so they do not compete with the API for a free-tier container's memory.</w:t>
      </w:r>
    </w:p>
    <w:p>
      <w:pPr>
        <w:spacing w:after="130" w:line="276"/>
      </w:pPr>
      <w:r>
        <w:rPr>
          <w:sz w:val="21"/>
          <w:szCs w:val="21"/>
        </w:rPr>
        <w:t xml:space="preserve">The cost is honestly stated: Member 4 maintains two image families rather than one, and every cross-service call becomes a network hop that needs a timeout, a health check and a fallback path. Section 3.3 is what keeps that cost bounded.</w:t>
      </w:r>
    </w:p>
    <w:p>
      <w:pPr>
        <w:pStyle w:val="Heading2"/>
        <w:spacing w:after="120" w:before="250"/>
      </w:pPr>
      <w:r>
        <w:rPr>
          <w:b/>
          <w:bCs/>
          <w:color w:val="1F3864"/>
          <w:sz w:val="24"/>
          <w:szCs w:val="24"/>
        </w:rPr>
        <w:t xml:space="preserve">3.2 Deployable services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2"/>
        <w:gridCol w:w="1452"/>
        <w:gridCol w:w="4717"/>
        <w:gridCol w:w="1452"/>
      </w:tblGrid>
      <w:tr>
        <w:trPr>
          <w:tblHeader/>
        </w:trPr>
        <w:tc>
          <w:tcPr>
            <w:tcW w:type="dxa" w:w="1452"/>
            <w:shd w:fill="D9E2F3" w:color="auto" w:val="clear"/>
            <w:tcMar>
              <w:top w:type="dxa" w:w="70"/>
              <w:left w:type="dxa" w:w="110"/>
              <w:bottom w:type="dxa" w:w="70"/>
              <w:right w:type="dxa" w:w="110"/>
            </w:tcMar>
          </w:tcPr>
          <w:p>
            <w:pPr>
              <w:spacing w:after="0" w:line="250"/>
            </w:pPr>
            <w:r>
              <w:rPr>
                <w:b/>
                <w:bCs/>
                <w:sz w:val="18"/>
                <w:szCs w:val="18"/>
              </w:rPr>
              <w:t xml:space="preserve">Service</w:t>
            </w:r>
          </w:p>
        </w:tc>
        <w:tc>
          <w:tcPr>
            <w:tcW w:type="dxa" w:w="1452"/>
            <w:shd w:fill="D9E2F3" w:color="auto" w:val="clear"/>
            <w:tcMar>
              <w:top w:type="dxa" w:w="70"/>
              <w:left w:type="dxa" w:w="110"/>
              <w:bottom w:type="dxa" w:w="70"/>
              <w:right w:type="dxa" w:w="110"/>
            </w:tcMar>
          </w:tcPr>
          <w:p>
            <w:pPr>
              <w:spacing w:after="0" w:line="250"/>
            </w:pPr>
            <w:r>
              <w:rPr>
                <w:b/>
                <w:bCs/>
                <w:sz w:val="18"/>
                <w:szCs w:val="18"/>
              </w:rPr>
              <w:t xml:space="preserve">Runtime</w:t>
            </w:r>
          </w:p>
        </w:tc>
        <w:tc>
          <w:tcPr>
            <w:tcW w:type="dxa" w:w="4717"/>
            <w:shd w:fill="D9E2F3" w:color="auto" w:val="clear"/>
            <w:tcMar>
              <w:top w:type="dxa" w:w="70"/>
              <w:left w:type="dxa" w:w="110"/>
              <w:bottom w:type="dxa" w:w="70"/>
              <w:right w:type="dxa" w:w="110"/>
            </w:tcMar>
          </w:tcPr>
          <w:p>
            <w:pPr>
              <w:spacing w:after="0" w:line="250"/>
            </w:pPr>
            <w:r>
              <w:rPr>
                <w:b/>
                <w:bCs/>
                <w:sz w:val="18"/>
                <w:szCs w:val="18"/>
              </w:rPr>
              <w:t xml:space="preserve">Responsibility</w:t>
            </w:r>
          </w:p>
        </w:tc>
        <w:tc>
          <w:tcPr>
            <w:tcW w:type="dxa" w:w="1452"/>
            <w:shd w:fill="D9E2F3" w:color="auto" w:val="clear"/>
            <w:tcMar>
              <w:top w:type="dxa" w:w="70"/>
              <w:left w:type="dxa" w:w="110"/>
              <w:bottom w:type="dxa" w:w="70"/>
              <w:right w:type="dxa" w:w="110"/>
            </w:tcMar>
          </w:tcPr>
          <w:p>
            <w:pPr>
              <w:spacing w:after="0" w:line="250"/>
            </w:pPr>
            <w:r>
              <w:rPr>
                <w:b/>
                <w:bCs/>
                <w:sz w:val="18"/>
                <w:szCs w:val="18"/>
              </w:rPr>
              <w:t xml:space="preserve">Status</w:t>
            </w:r>
          </w:p>
        </w:tc>
      </w:tr>
      <w:tr>
        <w:tc>
          <w:tcPr>
            <w:tcW w:type="dxa" w:w="1452"/>
            <w:tcMar>
              <w:top w:type="dxa" w:w="70"/>
              <w:left w:type="dxa" w:w="110"/>
              <w:bottom w:type="dxa" w:w="70"/>
              <w:right w:type="dxa" w:w="110"/>
            </w:tcMar>
          </w:tcPr>
          <w:p>
            <w:pPr>
              <w:spacing w:after="0" w:line="250"/>
            </w:pPr>
            <w:r>
              <w:rPr>
                <w:b w:val="false"/>
                <w:bCs w:val="false"/>
                <w:sz w:val="18"/>
                <w:szCs w:val="18"/>
              </w:rPr>
              <w:t xml:space="preserve">client</w:t>
            </w:r>
          </w:p>
        </w:tc>
        <w:tc>
          <w:tcPr>
            <w:tcW w:type="dxa" w:w="1452"/>
            <w:tcMar>
              <w:top w:type="dxa" w:w="70"/>
              <w:left w:type="dxa" w:w="110"/>
              <w:bottom w:type="dxa" w:w="70"/>
              <w:right w:type="dxa" w:w="110"/>
            </w:tcMar>
          </w:tcPr>
          <w:p>
            <w:pPr>
              <w:spacing w:after="0" w:line="250"/>
            </w:pPr>
            <w:r>
              <w:rPr>
                <w:b w:val="false"/>
                <w:bCs w:val="false"/>
                <w:sz w:val="18"/>
                <w:szCs w:val="18"/>
              </w:rPr>
              <w:t xml:space="preserve">React / Vite, static build</w:t>
            </w:r>
          </w:p>
        </w:tc>
        <w:tc>
          <w:tcPr>
            <w:tcW w:type="dxa" w:w="4717"/>
            <w:tcMar>
              <w:top w:type="dxa" w:w="70"/>
              <w:left w:type="dxa" w:w="110"/>
              <w:bottom w:type="dxa" w:w="70"/>
              <w:right w:type="dxa" w:w="110"/>
            </w:tcMar>
          </w:tcPr>
          <w:p>
            <w:pPr>
              <w:spacing w:after="0" w:line="250"/>
            </w:pPr>
            <w:r>
              <w:rPr>
                <w:b w:val="false"/>
                <w:bCs w:val="false"/>
                <w:sz w:val="18"/>
                <w:szCs w:val="18"/>
              </w:rPr>
              <w:t xml:space="preserve">Sign-in, subject and note management, graph view, test builder, focus-mode attempt screen, results view</w:t>
            </w:r>
          </w:p>
        </w:tc>
        <w:tc>
          <w:tcPr>
            <w:tcW w:type="dxa" w:w="1452"/>
            <w:tcMar>
              <w:top w:type="dxa" w:w="70"/>
              <w:left w:type="dxa" w:w="110"/>
              <w:bottom w:type="dxa" w:w="70"/>
              <w:right w:type="dxa" w:w="110"/>
            </w:tcMar>
          </w:tcPr>
          <w:p>
            <w:pPr>
              <w:spacing w:after="0" w:line="250"/>
            </w:pPr>
            <w:r>
              <w:rPr>
                <w:b w:val="false"/>
                <w:bCs w:val="false"/>
                <w:sz w:val="18"/>
                <w:szCs w:val="18"/>
              </w:rPr>
              <w:t xml:space="preserve">Partially built</w:t>
            </w:r>
          </w:p>
        </w:tc>
      </w:tr>
      <w:tr>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api</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Node 20 / Express</w:t>
            </w:r>
          </w:p>
        </w:tc>
        <w:tc>
          <w:tcPr>
            <w:tcW w:type="dxa" w:w="4717"/>
            <w:shd w:fill="F2F5FB" w:color="auto" w:val="clear"/>
            <w:tcMar>
              <w:top w:type="dxa" w:w="70"/>
              <w:left w:type="dxa" w:w="110"/>
              <w:bottom w:type="dxa" w:w="70"/>
              <w:right w:type="dxa" w:w="110"/>
            </w:tcMar>
          </w:tcPr>
          <w:p>
            <w:pPr>
              <w:spacing w:after="0" w:line="250"/>
            </w:pPr>
            <w:r>
              <w:rPr>
                <w:b w:val="false"/>
                <w:bCs w:val="false"/>
                <w:sz w:val="18"/>
                <w:szCs w:val="18"/>
              </w:rPr>
              <w:t xml:space="preserve">Authentication, subjects, note metadata, test generation and the hallucination gate, attempt flow, grading, feedback scoring and phrasing; the only service the client ever calls</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1452"/>
            <w:tcMar>
              <w:top w:type="dxa" w:w="70"/>
              <w:left w:type="dxa" w:w="110"/>
              <w:bottom w:type="dxa" w:w="70"/>
              <w:right w:type="dxa" w:w="110"/>
            </w:tcMar>
          </w:tcPr>
          <w:p>
            <w:pPr>
              <w:spacing w:after="0" w:line="250"/>
            </w:pPr>
            <w:r>
              <w:rPr>
                <w:b w:val="false"/>
                <w:bCs w:val="false"/>
                <w:sz w:val="18"/>
                <w:szCs w:val="18"/>
              </w:rPr>
              <w:t xml:space="preserve">ocr-service</w:t>
            </w:r>
          </w:p>
        </w:tc>
        <w:tc>
          <w:tcPr>
            <w:tcW w:type="dxa" w:w="1452"/>
            <w:tcMar>
              <w:top w:type="dxa" w:w="70"/>
              <w:left w:type="dxa" w:w="110"/>
              <w:bottom w:type="dxa" w:w="70"/>
              <w:right w:type="dxa" w:w="110"/>
            </w:tcMar>
          </w:tcPr>
          <w:p>
            <w:pPr>
              <w:spacing w:after="0" w:line="250"/>
            </w:pPr>
            <w:r>
              <w:rPr>
                <w:b w:val="false"/>
                <w:bCs w:val="false"/>
                <w:sz w:val="18"/>
                <w:szCs w:val="18"/>
              </w:rPr>
              <w:t xml:space="preserve">Python 3.11</w:t>
            </w:r>
          </w:p>
        </w:tc>
        <w:tc>
          <w:tcPr>
            <w:tcW w:type="dxa" w:w="4717"/>
            <w:tcMar>
              <w:top w:type="dxa" w:w="70"/>
              <w:left w:type="dxa" w:w="110"/>
              <w:bottom w:type="dxa" w:w="70"/>
              <w:right w:type="dxa" w:w="110"/>
            </w:tcMar>
          </w:tcPr>
          <w:p>
            <w:pPr>
              <w:spacing w:after="0" w:line="250"/>
            </w:pPr>
            <w:r>
              <w:rPr>
                <w:b w:val="false"/>
                <w:bCs w:val="false"/>
                <w:sz w:val="18"/>
                <w:szCs w:val="18"/>
              </w:rPr>
              <w:t xml:space="preserve">Image preprocessing, Tesseract recognition, confidence gate, cloud Vision escalation, queue-backed so ingestion never blocks the API</w:t>
            </w:r>
          </w:p>
        </w:tc>
        <w:tc>
          <w:tcPr>
            <w:tcW w:type="dxa" w:w="1452"/>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nlp-service</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Python 3.11</w:t>
            </w:r>
          </w:p>
        </w:tc>
        <w:tc>
          <w:tcPr>
            <w:tcW w:type="dxa" w:w="4717"/>
            <w:shd w:fill="F2F5FB" w:color="auto" w:val="clear"/>
            <w:tcMar>
              <w:top w:type="dxa" w:w="70"/>
              <w:left w:type="dxa" w:w="110"/>
              <w:bottom w:type="dxa" w:w="70"/>
              <w:right w:type="dxa" w:w="110"/>
            </w:tcMar>
          </w:tcPr>
          <w:p>
            <w:pPr>
              <w:spacing w:after="0" w:line="250"/>
            </w:pPr>
            <w:r>
              <w:rPr>
                <w:b w:val="false"/>
                <w:bCs w:val="false"/>
                <w:sz w:val="18"/>
                <w:szCs w:val="18"/>
              </w:rPr>
              <w:t xml:space="preserve">Sentence embeddings, cross-encoder re-scoring, word-sense gate, community detection, edge-confidence model, textbook chunking and vector index</w:t>
            </w:r>
          </w:p>
        </w:tc>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1452"/>
            <w:tcMar>
              <w:top w:type="dxa" w:w="70"/>
              <w:left w:type="dxa" w:w="110"/>
              <w:bottom w:type="dxa" w:w="70"/>
              <w:right w:type="dxa" w:w="110"/>
            </w:tcMar>
          </w:tcPr>
          <w:p>
            <w:pPr>
              <w:spacing w:after="0" w:line="250"/>
            </w:pPr>
            <w:r>
              <w:rPr>
                <w:b w:val="false"/>
                <w:bCs w:val="false"/>
                <w:sz w:val="18"/>
                <w:szCs w:val="18"/>
              </w:rPr>
              <w:t xml:space="preserve">Managed services</w:t>
            </w:r>
          </w:p>
        </w:tc>
        <w:tc>
          <w:tcPr>
            <w:tcW w:type="dxa" w:w="1452"/>
            <w:tcMar>
              <w:top w:type="dxa" w:w="70"/>
              <w:left w:type="dxa" w:w="110"/>
              <w:bottom w:type="dxa" w:w="70"/>
              <w:right w:type="dxa" w:w="110"/>
            </w:tcMar>
          </w:tcPr>
          <w:p>
            <w:pPr>
              <w:spacing w:after="0" w:line="250"/>
            </w:pPr>
            <w:r>
              <w:rPr>
                <w:b w:val="false"/>
                <w:bCs w:val="false"/>
                <w:sz w:val="18"/>
                <w:szCs w:val="18"/>
              </w:rPr>
              <w:t xml:space="preserve">—</w:t>
            </w:r>
          </w:p>
        </w:tc>
        <w:tc>
          <w:tcPr>
            <w:tcW w:type="dxa" w:w="4717"/>
            <w:tcMar>
              <w:top w:type="dxa" w:w="70"/>
              <w:left w:type="dxa" w:w="110"/>
              <w:bottom w:type="dxa" w:w="70"/>
              <w:right w:type="dxa" w:w="110"/>
            </w:tcMar>
          </w:tcPr>
          <w:p>
            <w:pPr>
              <w:spacing w:after="0" w:line="250"/>
            </w:pPr>
            <w:r>
              <w:rPr>
                <w:b w:val="false"/>
                <w:bCs w:val="false"/>
                <w:sz w:val="18"/>
                <w:szCs w:val="18"/>
              </w:rPr>
              <w:t xml:space="preserve">MongoDB Atlas M0, private object-storage bucket, Groq LLM API</w:t>
            </w:r>
          </w:p>
        </w:tc>
        <w:tc>
          <w:tcPr>
            <w:tcW w:type="dxa" w:w="1452"/>
            <w:tcMar>
              <w:top w:type="dxa" w:w="70"/>
              <w:left w:type="dxa" w:w="110"/>
              <w:bottom w:type="dxa" w:w="70"/>
              <w:right w:type="dxa" w:w="110"/>
            </w:tcMar>
          </w:tcPr>
          <w:p>
            <w:pPr>
              <w:spacing w:after="0" w:line="250"/>
            </w:pPr>
            <w:r>
              <w:rPr>
                <w:b w:val="false"/>
                <w:bCs w:val="false"/>
                <w:sz w:val="18"/>
                <w:szCs w:val="18"/>
              </w:rPr>
              <w:t xml:space="preserve">Partially configured</w:t>
            </w:r>
          </w:p>
        </w:tc>
      </w:tr>
    </w:tbl>
    <w:p>
      <w:pPr>
        <w:spacing w:after="170"/>
      </w:pPr>
    </w:p>
    <w:p>
      <w:pPr>
        <w:spacing w:after="130" w:line="276"/>
      </w:pPr>
      <w:r>
        <w:rPr>
          <w:sz w:val="21"/>
          <w:szCs w:val="21"/>
        </w:rPr>
        <w:t xml:space="preserve">Three deployable services plus a static client and a managed data layer. A fourth service, proctoring, would be added only if the future-scope item in Section 8 is ever taken up; it is deliberately not counted in any capacity, cost or schedule estimate in this report.</w:t>
      </w:r>
    </w:p>
    <w:p>
      <w:pPr>
        <w:pStyle w:val="Heading2"/>
        <w:spacing w:after="120" w:before="250"/>
      </w:pPr>
      <w:r>
        <w:rPr>
          <w:b/>
          <w:bCs/>
          <w:color w:val="1F3864"/>
          <w:sz w:val="24"/>
          <w:szCs w:val="24"/>
        </w:rPr>
        <w:t xml:space="preserve">3.3 The degradation contract</w:t>
      </w:r>
    </w:p>
    <w:p>
      <w:pPr>
        <w:spacing w:after="130" w:line="276"/>
      </w:pPr>
      <w:r>
        <w:rPr>
          <w:sz w:val="21"/>
          <w:szCs w:val="21"/>
        </w:rPr>
        <w:t xml:space="preserve">Every dependency in the system, internal or external, has a documented fallback that keeps the product available at reduced quality rather than failing. This is a deliberate architectural property and the single strongest resilience claim the project makes, because it means no third-party outage and no unfinished service can prevent a demonstration.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4355"/>
        <w:gridCol w:w="2359"/>
      </w:tblGrid>
      <w:tr>
        <w:trPr>
          <w:tblHeader/>
        </w:trPr>
        <w:tc>
          <w:tcPr>
            <w:tcW w:type="dxa" w:w="2359"/>
            <w:shd w:fill="D9E2F3" w:color="auto" w:val="clear"/>
            <w:tcMar>
              <w:top w:type="dxa" w:w="70"/>
              <w:left w:type="dxa" w:w="110"/>
              <w:bottom w:type="dxa" w:w="70"/>
              <w:right w:type="dxa" w:w="110"/>
            </w:tcMar>
          </w:tcPr>
          <w:p>
            <w:pPr>
              <w:spacing w:after="0" w:line="250"/>
            </w:pPr>
            <w:r>
              <w:rPr>
                <w:b/>
                <w:bCs/>
                <w:sz w:val="18"/>
                <w:szCs w:val="18"/>
              </w:rPr>
              <w:t xml:space="preserve">If this is unavailable</w:t>
            </w:r>
          </w:p>
        </w:tc>
        <w:tc>
          <w:tcPr>
            <w:tcW w:type="dxa" w:w="4355"/>
            <w:shd w:fill="D9E2F3" w:color="auto" w:val="clear"/>
            <w:tcMar>
              <w:top w:type="dxa" w:w="70"/>
              <w:left w:type="dxa" w:w="110"/>
              <w:bottom w:type="dxa" w:w="70"/>
              <w:right w:type="dxa" w:w="110"/>
            </w:tcMar>
          </w:tcPr>
          <w:p>
            <w:pPr>
              <w:spacing w:after="0" w:line="250"/>
            </w:pPr>
            <w:r>
              <w:rPr>
                <w:b/>
                <w:bCs/>
                <w:sz w:val="18"/>
                <w:szCs w:val="18"/>
              </w:rPr>
              <w:t xml:space="preserve">The system does this instead</w:t>
            </w:r>
          </w:p>
        </w:tc>
        <w:tc>
          <w:tcPr>
            <w:tcW w:type="dxa" w:w="2359"/>
            <w:shd w:fill="D9E2F3" w:color="auto" w:val="clear"/>
            <w:tcMar>
              <w:top w:type="dxa" w:w="70"/>
              <w:left w:type="dxa" w:w="110"/>
              <w:bottom w:type="dxa" w:w="70"/>
              <w:right w:type="dxa" w:w="110"/>
            </w:tcMar>
          </w:tcPr>
          <w:p>
            <w:pPr>
              <w:spacing w:after="0" w:line="250"/>
            </w:pPr>
            <w:r>
              <w:rPr>
                <w:b/>
                <w:bCs/>
                <w:sz w:val="18"/>
                <w:szCs w:val="18"/>
              </w:rPr>
              <w:t xml:space="preserve">Status of the fallback</w:t>
            </w:r>
          </w:p>
        </w:tc>
      </w:tr>
      <w:tr>
        <w:tc>
          <w:tcPr>
            <w:tcW w:type="dxa" w:w="2359"/>
            <w:tcMar>
              <w:top w:type="dxa" w:w="70"/>
              <w:left w:type="dxa" w:w="110"/>
              <w:bottom w:type="dxa" w:w="70"/>
              <w:right w:type="dxa" w:w="110"/>
            </w:tcMar>
          </w:tcPr>
          <w:p>
            <w:pPr>
              <w:spacing w:after="0" w:line="250"/>
            </w:pPr>
            <w:r>
              <w:rPr>
                <w:b w:val="false"/>
                <w:bCs w:val="false"/>
                <w:sz w:val="18"/>
                <w:szCs w:val="18"/>
              </w:rPr>
              <w:t xml:space="preserve">nlp-service (embeddings, cross-encoder, community detection)</w:t>
            </w:r>
          </w:p>
        </w:tc>
        <w:tc>
          <w:tcPr>
            <w:tcW w:type="dxa" w:w="4355"/>
            <w:tcMar>
              <w:top w:type="dxa" w:w="70"/>
              <w:left w:type="dxa" w:w="110"/>
              <w:bottom w:type="dxa" w:w="70"/>
              <w:right w:type="dxa" w:w="110"/>
            </w:tcMar>
          </w:tcPr>
          <w:p>
            <w:pPr>
              <w:spacing w:after="0" w:line="250"/>
            </w:pPr>
            <w:r>
              <w:rPr>
                <w:b w:val="false"/>
                <w:bCs w:val="false"/>
                <w:sz w:val="18"/>
                <w:szCs w:val="18"/>
              </w:rPr>
              <w:t xml:space="preserve">The API links notes using its own TF-IDF plus cosine-similarity path, producing a smaller but correct graph</w:t>
            </w:r>
          </w:p>
        </w:tc>
        <w:tc>
          <w:tcPr>
            <w:tcW w:type="dxa" w:w="2359"/>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ocr-service</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Typed, DOCX and PDF ingestion continue unaffected; image uploads fall back to the in-process Tesseract path that exists in the API today</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2359"/>
            <w:tcMar>
              <w:top w:type="dxa" w:w="70"/>
              <w:left w:type="dxa" w:w="110"/>
              <w:bottom w:type="dxa" w:w="70"/>
              <w:right w:type="dxa" w:w="110"/>
            </w:tcMar>
          </w:tcPr>
          <w:p>
            <w:pPr>
              <w:spacing w:after="0" w:line="250"/>
            </w:pPr>
            <w:r>
              <w:rPr>
                <w:b w:val="false"/>
                <w:bCs w:val="false"/>
                <w:sz w:val="18"/>
                <w:szCs w:val="18"/>
              </w:rPr>
              <w:t xml:space="preserve">Groq LLM API (missing key, rate limit, outage)</w:t>
            </w:r>
          </w:p>
        </w:tc>
        <w:tc>
          <w:tcPr>
            <w:tcW w:type="dxa" w:w="4355"/>
            <w:tcMar>
              <w:top w:type="dxa" w:w="70"/>
              <w:left w:type="dxa" w:w="110"/>
              <w:bottom w:type="dxa" w:w="70"/>
              <w:right w:type="dxa" w:w="110"/>
            </w:tcMar>
          </w:tcPr>
          <w:p>
            <w:pPr>
              <w:spacing w:after="0" w:line="250"/>
            </w:pPr>
            <w:r>
              <w:rPr>
                <w:b w:val="false"/>
                <w:bCs w:val="false"/>
                <w:sz w:val="18"/>
                <w:szCs w:val="18"/>
              </w:rPr>
              <w:t xml:space="preserve">Rule-based question generation, keyword-overlap grading of theory answers, and template-phrased feedback</w:t>
            </w:r>
          </w:p>
        </w:tc>
        <w:tc>
          <w:tcPr>
            <w:tcW w:type="dxa" w:w="2359"/>
            <w:tcMar>
              <w:top w:type="dxa" w:w="70"/>
              <w:left w:type="dxa" w:w="110"/>
              <w:bottom w:type="dxa" w:w="70"/>
              <w:right w:type="dxa" w:w="110"/>
            </w:tcMar>
          </w:tcPr>
          <w:p>
            <w:pPr>
              <w:spacing w:after="0" w:line="250"/>
            </w:pPr>
            <w:r>
              <w:rPr>
                <w:b w:val="false"/>
                <w:bCs w:val="false"/>
                <w:sz w:val="18"/>
                <w:szCs w:val="18"/>
              </w:rPr>
              <w:t xml:space="preserve">Built, verified with no API key configured</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Cloud Vision API (escalation cap reached)</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The Tesseract result is stored with a low-confidence flag and the student is prompted to review it, rather than money being spent silently</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2359"/>
            <w:tcMar>
              <w:top w:type="dxa" w:w="70"/>
              <w:left w:type="dxa" w:w="110"/>
              <w:bottom w:type="dxa" w:w="70"/>
              <w:right w:type="dxa" w:w="110"/>
            </w:tcMar>
          </w:tcPr>
          <w:p>
            <w:pPr>
              <w:spacing w:after="0" w:line="250"/>
            </w:pPr>
            <w:r>
              <w:rPr>
                <w:b w:val="false"/>
                <w:bCs w:val="false"/>
                <w:sz w:val="18"/>
                <w:szCs w:val="18"/>
              </w:rPr>
              <w:t xml:space="preserve">MongoDB Atlas</w:t>
            </w:r>
          </w:p>
        </w:tc>
        <w:tc>
          <w:tcPr>
            <w:tcW w:type="dxa" w:w="4355"/>
            <w:tcMar>
              <w:top w:type="dxa" w:w="70"/>
              <w:left w:type="dxa" w:w="110"/>
              <w:bottom w:type="dxa" w:w="70"/>
              <w:right w:type="dxa" w:w="110"/>
            </w:tcMar>
          </w:tcPr>
          <w:p>
            <w:pPr>
              <w:spacing w:after="0" w:line="250"/>
            </w:pPr>
            <w:r>
              <w:rPr>
                <w:b w:val="false"/>
                <w:bCs w:val="false"/>
                <w:sz w:val="18"/>
                <w:szCs w:val="18"/>
              </w:rPr>
              <w:t xml:space="preserve">No fallback by design; the in-memory development store exists for local work and tests only and is never used in a deployed environment</w:t>
            </w:r>
          </w:p>
        </w:tc>
        <w:tc>
          <w:tcPr>
            <w:tcW w:type="dxa" w:w="2359"/>
            <w:tcMar>
              <w:top w:type="dxa" w:w="70"/>
              <w:left w:type="dxa" w:w="110"/>
              <w:bottom w:type="dxa" w:w="70"/>
              <w:right w:type="dxa" w:w="110"/>
            </w:tcMar>
          </w:tcPr>
          <w:p>
            <w:pPr>
              <w:spacing w:after="0" w:line="250"/>
            </w:pPr>
            <w:r>
              <w:rPr>
                <w:b w:val="false"/>
                <w:bCs w:val="false"/>
                <w:sz w:val="18"/>
                <w:szCs w:val="18"/>
              </w:rPr>
              <w:t xml:space="preserve">N/A</w:t>
            </w:r>
          </w:p>
        </w:tc>
      </w:tr>
    </w:tbl>
    <w:p>
      <w:pPr>
        <w:spacing w:after="170"/>
      </w:pPr>
    </w:p>
    <w:p>
      <w:pPr>
        <w:spacing w:after="130" w:line="276"/>
      </w:pPr>
      <w:r>
        <w:rPr>
          <w:sz w:val="21"/>
          <w:szCs w:val="21"/>
        </w:rPr>
        <w:t xml:space="preserve">One consequence is worth naming: OCR currently runs in-process inside the Node API using tesseract.js. The target architecture moves it to ocr-service, and the in-process path is then retained as the degraded fallback rather than deleted.</w:t>
      </w:r>
    </w:p>
    <w:p>
      <w:r>
        <w:br w:type="page"/>
      </w:r>
    </w:p>
    <w:p>
      <w:pPr>
        <w:pStyle w:val="Heading1"/>
        <w:spacing w:after="170" w:before="340"/>
      </w:pPr>
      <w:r>
        <w:rPr>
          <w:b/>
          <w:bCs/>
          <w:color w:val="1F3864"/>
          <w:sz w:val="30"/>
          <w:szCs w:val="30"/>
        </w:rPr>
        <w:t xml:space="preserve">4. End-to-End Workflow</w:t>
      </w:r>
    </w:p>
    <w:p>
      <w:pPr>
        <w:spacing w:after="130" w:line="276"/>
      </w:pPr>
      <w:r>
        <w:rPr>
          <w:sz w:val="21"/>
          <w:szCs w:val="21"/>
        </w:rPr>
        <w:t xml:space="preserve">The four workstreams form a single pipeline. Each stage consumes the previous stage's output and nothing else, which is what allows them to be built and tested independently. The contracts at each boundary are specified in Appendix A.</w:t>
      </w:r>
    </w:p>
    <w:p>
      <w:pPr>
        <w:pStyle w:val="Heading3"/>
        <w:spacing w:after="100" w:before="200"/>
      </w:pPr>
      <w:r>
        <w:rPr>
          <w:b/>
          <w:bCs/>
          <w:sz w:val="22"/>
          <w:szCs w:val="22"/>
        </w:rPr>
        <w:t xml:space="preserve">Stage 1 — Ingestion (Member 1)</w:t>
      </w:r>
    </w:p>
    <w:p>
      <w:pPr>
        <w:spacing w:after="130" w:line="276"/>
      </w:pPr>
      <w:r>
        <w:rPr>
          <w:sz w:val="21"/>
          <w:szCs w:val="21"/>
        </w:rPr>
        <w:t xml:space="preserve">An upload reaches a format router that inspects the verified MIME type and file signature rather than the file extension, then dispatches it down the cheapest path that yields clean text. Typed notes are sanitised and stored directly. DOCX files are parsed from their underlying XML, which recovers paragraphs and headings exactly. PDFs are checked for an embedded text layer first, and only pages with no usable layer are rasterised for OCR — sending a born-digital PDF through OCR anyway would be slower, costlier and less accurate than reading the layer it already carries.</w:t>
      </w:r>
    </w:p>
    <w:p>
      <w:pPr>
        <w:spacing w:after="130" w:line="276"/>
      </w:pPr>
      <w:r>
        <w:rPr>
          <w:sz w:val="21"/>
          <w:szCs w:val="21"/>
        </w:rPr>
        <w:t xml:space="preserve">Image content is converted to grayscale, adaptively binarised, deskewed and denoised, then recognised by Tesseract's LSTM engine, which reports a per-word confidence. When the length-weighted mean confidence falls below a threshold, initially 60, the page escalates to a cloud Vision API, bounded by a per-user and global monthly cap. Every note records both its confidence and which engine produced its text, so downstream stages can down-weight unreliable input instead of treating all notes as equally trustworthy. A linked textbook is optionally chunked on paragraph boundaries at roughly 300 to 500 tokens with about 15 per cent overlap, embedded, and added to a per-textbook vector index.</w:t>
      </w:r>
    </w:p>
    <w:p>
      <w:pPr>
        <w:pStyle w:val="Heading3"/>
        <w:spacing w:after="100" w:before="200"/>
      </w:pPr>
      <w:r>
        <w:rPr>
          <w:b/>
          <w:bCs/>
          <w:sz w:val="22"/>
          <w:szCs w:val="22"/>
        </w:rPr>
        <w:t xml:space="preserve">Stage 2 — Knowledge graph (Member 2)</w:t>
      </w:r>
    </w:p>
    <w:p>
      <w:pPr>
        <w:spacing w:after="130" w:line="276"/>
      </w:pPr>
      <w:r>
        <w:rPr>
          <w:sz w:val="21"/>
          <w:szCs w:val="21"/>
        </w:rPr>
        <w:t xml:space="preserve">Each note receives corpus-aware TF-IDF keywords and a sentence embedding. The two signals combine into a single similarity score, weighted initially at 0.7 toward the embedding, computed for every pair of notes within a subject. A pair above an upper threshold becomes an edge, a pair below a lower threshold is discarded, and the borderline band between them is re-scored by a cross-encoder that reads both notes together. When a candidate link rests on a term that also appears in another subject, a word-sense gate compares the contextual embeddings of that term's occurrences before the edge is allowed — this is what stops membrane potential in neuroscience from linking to potential outcomes in economics. Each node keeps only its strongest handful of edges so the graph stays readable, community detection flags weak edges bridging two clusters for human review, and a student's correction of a mislinked edge refits a small logistic-regression confidence model that feeds back into future scoring.</w:t>
      </w:r>
    </w:p>
    <w:p>
      <w:pPr>
        <w:pStyle w:val="Heading3"/>
        <w:spacing w:after="100" w:before="200"/>
      </w:pPr>
      <w:r>
        <w:rPr>
          <w:b/>
          <w:bCs/>
          <w:sz w:val="22"/>
          <w:szCs w:val="22"/>
        </w:rPr>
        <w:t xml:space="preserve">Stage 3 — Test generation (Member 3)</w:t>
      </w:r>
    </w:p>
    <w:p>
      <w:pPr>
        <w:spacing w:after="130" w:line="276"/>
      </w:pPr>
      <w:r>
        <w:rPr>
          <w:sz w:val="21"/>
          <w:szCs w:val="21"/>
        </w:rPr>
        <w:t xml:space="preserve">A student selects notes and requests any mix of multiple-choice and theory questions. An LLM drafts candidates using only those notes and any linked textbook passages as context, never open-domain knowledge. Every candidate then passes a hallucination gate before a student can see it: the supporting excerpt must appear as a verbatim substring of the source text; a multiple-choice item's answer key must be one of the offered options, with no duplicate options; and a theory item must carry a non-empty model answer and at least one key point, since an empty rubric would make it ungradeable later. Items that fail are discarded rather than repaired, and the API reports both the accepted and the discarded count so the failure rate stays visible. When no LLM key is configured, a rule-based generator builds cloze questions and explain-the-keyword prompts from TF-IDF keywords instead, grounded by construction.</w:t>
      </w:r>
    </w:p>
    <w:p>
      <w:pPr>
        <w:spacing w:after="130" w:line="276"/>
      </w:pPr>
      <w:r>
        <w:rPr>
          <w:sz w:val="21"/>
          <w:szCs w:val="21"/>
        </w:rPr>
        <w:t xml:space="preserve">Delivery is adaptive rather than a fixed sequence. Each test generates a pool roughly 1.5 times the number of questions it will actually serve, every item carries a difficulty tier, and a one-up-one-down staircase controller steps the student to a harder tier after a good answer and an easier one after a poor answer, falling back to the nearest tier when one is exhausted.</w:t>
      </w:r>
    </w:p>
    <w:p>
      <w:pPr>
        <w:pStyle w:val="Heading3"/>
        <w:spacing w:after="100" w:before="200"/>
      </w:pPr>
      <w:r>
        <w:rPr>
          <w:b/>
          <w:bCs/>
          <w:sz w:val="22"/>
          <w:szCs w:val="22"/>
        </w:rPr>
        <w:t xml:space="preserve">Stage 4 — Feedback (Member 3)</w:t>
      </w:r>
    </w:p>
    <w:p>
      <w:pPr>
        <w:spacing w:after="130" w:line="276"/>
      </w:pPr>
      <w:r>
        <w:rPr>
          <w:sz w:val="21"/>
          <w:szCs w:val="21"/>
        </w:rPr>
        <w:t xml:space="preserve">Multiple-choice answers are scored the moment they are submitted. Theory answers cannot be, so they are graded when the attempt closes, either by an LLM judging meaning against the model answer and key points, or by deterministic keyword overlap when no LLM is available. Both produce a single 0-to-1 score, which is what lets a mixed test collapse into one coherent report instead of two.</w:t>
      </w:r>
    </w:p>
    <w:p>
      <w:pPr>
        <w:spacing w:after="130" w:line="276"/>
      </w:pPr>
      <w:r>
        <w:rPr>
          <w:b w:val="false"/>
          <w:bCs w:val="false"/>
          <w:sz w:val="21"/>
          <w:szCs w:val="21"/>
        </w:rPr>
        <w:t xml:space="preserve">The feedback engine then computes, per topic, </w:t>
      </w:r>
      <w:r>
        <w:rPr>
          <w:b/>
          <w:bCs/>
          <w:sz w:val="21"/>
          <w:szCs w:val="21"/>
        </w:rPr>
        <w:t xml:space="preserve">attentionScore = 0.7 × (1 − accuracy) + 0.3 × normalisedResponseTime</w:t>
      </w:r>
      <w:r>
        <w:rPr>
          <w:b w:val="false"/>
          <w:bCs w:val="false"/>
          <w:sz w:val="21"/>
          <w:szCs w:val="21"/>
        </w:rPr>
        <w:t xml:space="preserve">, where accuracy is the mean 0-to-1 score across that topic's responses and normalisedResponseTime compares the topic's mean response time against the attempt's own mean, so that a topic answered at average speed contributes a neutral value and a single-topic attempt is not distorted. Topics are ranked weakest first and a marks summary is computed. No language model participates in producing that ranking. Only afterwards is an LLM called, and only to phrase the already-fixed ranking as readable text, with a template used when it is unavailable. This ordering — score first, narrate second — is what keeps the part that actually matters, namely what to study next, out of a black box.</w:t>
      </w:r>
    </w:p>
    <w:p>
      <w:pPr>
        <w:spacing w:after="17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633"/>
        <w:gridCol w:w="1270"/>
        <w:gridCol w:w="3084"/>
        <w:gridCol w:w="3084"/>
      </w:tblGrid>
      <w:tr>
        <w:trPr>
          <w:tblHeader/>
        </w:trPr>
        <w:tc>
          <w:tcPr>
            <w:tcW w:type="dxa" w:w="1633"/>
            <w:shd w:fill="D9E2F3" w:color="auto" w:val="clear"/>
            <w:tcMar>
              <w:top w:type="dxa" w:w="70"/>
              <w:left w:type="dxa" w:w="110"/>
              <w:bottom w:type="dxa" w:w="70"/>
              <w:right w:type="dxa" w:w="110"/>
            </w:tcMar>
          </w:tcPr>
          <w:p>
            <w:pPr>
              <w:spacing w:after="0" w:line="250"/>
            </w:pPr>
            <w:r>
              <w:rPr>
                <w:b/>
                <w:bCs/>
                <w:sz w:val="18"/>
                <w:szCs w:val="18"/>
              </w:rPr>
              <w:t xml:space="preserve">Stage</w:t>
            </w:r>
          </w:p>
        </w:tc>
        <w:tc>
          <w:tcPr>
            <w:tcW w:type="dxa" w:w="1270"/>
            <w:shd w:fill="D9E2F3" w:color="auto" w:val="clear"/>
            <w:tcMar>
              <w:top w:type="dxa" w:w="70"/>
              <w:left w:type="dxa" w:w="110"/>
              <w:bottom w:type="dxa" w:w="70"/>
              <w:right w:type="dxa" w:w="110"/>
            </w:tcMar>
          </w:tcPr>
          <w:p>
            <w:pPr>
              <w:spacing w:after="0" w:line="250"/>
            </w:pPr>
            <w:r>
              <w:rPr>
                <w:b/>
                <w:bCs/>
                <w:sz w:val="18"/>
                <w:szCs w:val="18"/>
              </w:rPr>
              <w:t xml:space="preserve">Owner</w:t>
            </w:r>
          </w:p>
        </w:tc>
        <w:tc>
          <w:tcPr>
            <w:tcW w:type="dxa" w:w="3084"/>
            <w:shd w:fill="D9E2F3" w:color="auto" w:val="clear"/>
            <w:tcMar>
              <w:top w:type="dxa" w:w="70"/>
              <w:left w:type="dxa" w:w="110"/>
              <w:bottom w:type="dxa" w:w="70"/>
              <w:right w:type="dxa" w:w="110"/>
            </w:tcMar>
          </w:tcPr>
          <w:p>
            <w:pPr>
              <w:spacing w:after="0" w:line="250"/>
            </w:pPr>
            <w:r>
              <w:rPr>
                <w:b/>
                <w:bCs/>
                <w:sz w:val="18"/>
                <w:szCs w:val="18"/>
              </w:rPr>
              <w:t xml:space="preserve">Consumes</w:t>
            </w:r>
          </w:p>
        </w:tc>
        <w:tc>
          <w:tcPr>
            <w:tcW w:type="dxa" w:w="3084"/>
            <w:shd w:fill="D9E2F3" w:color="auto" w:val="clear"/>
            <w:tcMar>
              <w:top w:type="dxa" w:w="70"/>
              <w:left w:type="dxa" w:w="110"/>
              <w:bottom w:type="dxa" w:w="70"/>
              <w:right w:type="dxa" w:w="110"/>
            </w:tcMar>
          </w:tcPr>
          <w:p>
            <w:pPr>
              <w:spacing w:after="0" w:line="250"/>
            </w:pPr>
            <w:r>
              <w:rPr>
                <w:b/>
                <w:bCs/>
                <w:sz w:val="18"/>
                <w:szCs w:val="18"/>
              </w:rPr>
              <w:t xml:space="preserve">Produces</w:t>
            </w:r>
          </w:p>
        </w:tc>
      </w:tr>
      <w:tr>
        <w:tc>
          <w:tcPr>
            <w:tcW w:type="dxa" w:w="1633"/>
            <w:tcMar>
              <w:top w:type="dxa" w:w="70"/>
              <w:left w:type="dxa" w:w="110"/>
              <w:bottom w:type="dxa" w:w="70"/>
              <w:right w:type="dxa" w:w="110"/>
            </w:tcMar>
          </w:tcPr>
          <w:p>
            <w:pPr>
              <w:spacing w:after="0" w:line="250"/>
            </w:pPr>
            <w:r>
              <w:rPr>
                <w:b w:val="false"/>
                <w:bCs w:val="false"/>
                <w:sz w:val="18"/>
                <w:szCs w:val="18"/>
              </w:rPr>
              <w:t xml:space="preserve">Ingestion</w:t>
            </w:r>
          </w:p>
        </w:tc>
        <w:tc>
          <w:tcPr>
            <w:tcW w:type="dxa" w:w="1270"/>
            <w:tcMar>
              <w:top w:type="dxa" w:w="70"/>
              <w:left w:type="dxa" w:w="110"/>
              <w:bottom w:type="dxa" w:w="70"/>
              <w:right w:type="dxa" w:w="110"/>
            </w:tcMar>
          </w:tcPr>
          <w:p>
            <w:pPr>
              <w:spacing w:after="0" w:line="250"/>
            </w:pPr>
            <w:r>
              <w:rPr>
                <w:b w:val="false"/>
                <w:bCs w:val="false"/>
                <w:sz w:val="18"/>
                <w:szCs w:val="18"/>
              </w:rPr>
              <w:t xml:space="preserve">Member 1</w:t>
            </w:r>
          </w:p>
        </w:tc>
        <w:tc>
          <w:tcPr>
            <w:tcW w:type="dxa" w:w="3084"/>
            <w:tcMar>
              <w:top w:type="dxa" w:w="70"/>
              <w:left w:type="dxa" w:w="110"/>
              <w:bottom w:type="dxa" w:w="70"/>
              <w:right w:type="dxa" w:w="110"/>
            </w:tcMar>
          </w:tcPr>
          <w:p>
            <w:pPr>
              <w:spacing w:after="0" w:line="250"/>
            </w:pPr>
            <w:r>
              <w:rPr>
                <w:b w:val="false"/>
                <w:bCs w:val="false"/>
                <w:sz w:val="18"/>
                <w:szCs w:val="18"/>
              </w:rPr>
              <w:t xml:space="preserve">Uploaded file or typed text</w:t>
            </w:r>
          </w:p>
        </w:tc>
        <w:tc>
          <w:tcPr>
            <w:tcW w:type="dxa" w:w="3084"/>
            <w:tcMar>
              <w:top w:type="dxa" w:w="70"/>
              <w:left w:type="dxa" w:w="110"/>
              <w:bottom w:type="dxa" w:w="70"/>
              <w:right w:type="dxa" w:w="110"/>
            </w:tcMar>
          </w:tcPr>
          <w:p>
            <w:pPr>
              <w:spacing w:after="0" w:line="250"/>
            </w:pPr>
            <w:r>
              <w:rPr>
                <w:b w:val="false"/>
                <w:bCs w:val="false"/>
                <w:sz w:val="18"/>
                <w:szCs w:val="18"/>
              </w:rPr>
              <w:t xml:space="preserve">Note record: extracted text, keywords, OCR confidence and engine</w:t>
            </w:r>
          </w:p>
        </w:tc>
      </w:tr>
      <w:tr>
        <w:tc>
          <w:tcPr>
            <w:tcW w:type="dxa" w:w="1633"/>
            <w:shd w:fill="F2F5FB" w:color="auto" w:val="clear"/>
            <w:tcMar>
              <w:top w:type="dxa" w:w="70"/>
              <w:left w:type="dxa" w:w="110"/>
              <w:bottom w:type="dxa" w:w="70"/>
              <w:right w:type="dxa" w:w="110"/>
            </w:tcMar>
          </w:tcPr>
          <w:p>
            <w:pPr>
              <w:spacing w:after="0" w:line="250"/>
            </w:pPr>
            <w:r>
              <w:rPr>
                <w:b w:val="false"/>
                <w:bCs w:val="false"/>
                <w:sz w:val="18"/>
                <w:szCs w:val="18"/>
              </w:rPr>
              <w:t xml:space="preserve">Knowledge graph</w:t>
            </w:r>
          </w:p>
        </w:tc>
        <w:tc>
          <w:tcPr>
            <w:tcW w:type="dxa" w:w="1270"/>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Note records within one subject</w:t>
            </w:r>
          </w:p>
        </w:tc>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Scored, optionally flagged edges between notes; topic vocabulary</w:t>
            </w:r>
          </w:p>
        </w:tc>
      </w:tr>
      <w:tr>
        <w:tc>
          <w:tcPr>
            <w:tcW w:type="dxa" w:w="1633"/>
            <w:tcMar>
              <w:top w:type="dxa" w:w="70"/>
              <w:left w:type="dxa" w:w="110"/>
              <w:bottom w:type="dxa" w:w="70"/>
              <w:right w:type="dxa" w:w="110"/>
            </w:tcMar>
          </w:tcPr>
          <w:p>
            <w:pPr>
              <w:spacing w:after="0" w:line="250"/>
            </w:pPr>
            <w:r>
              <w:rPr>
                <w:b w:val="false"/>
                <w:bCs w:val="false"/>
                <w:sz w:val="18"/>
                <w:szCs w:val="18"/>
              </w:rPr>
              <w:t xml:space="preserve">Test generation</w:t>
            </w:r>
          </w:p>
        </w:tc>
        <w:tc>
          <w:tcPr>
            <w:tcW w:type="dxa" w:w="1270"/>
            <w:tcMar>
              <w:top w:type="dxa" w:w="70"/>
              <w:left w:type="dxa" w:w="110"/>
              <w:bottom w:type="dxa" w:w="70"/>
              <w:right w:type="dxa" w:w="110"/>
            </w:tcMar>
          </w:tcPr>
          <w:p>
            <w:pPr>
              <w:spacing w:after="0" w:line="250"/>
            </w:pPr>
            <w:r>
              <w:rPr>
                <w:b w:val="false"/>
                <w:bCs w:val="false"/>
                <w:sz w:val="18"/>
                <w:szCs w:val="18"/>
              </w:rPr>
              <w:t xml:space="preserve">Member 3</w:t>
            </w:r>
          </w:p>
        </w:tc>
        <w:tc>
          <w:tcPr>
            <w:tcW w:type="dxa" w:w="3084"/>
            <w:tcMar>
              <w:top w:type="dxa" w:w="70"/>
              <w:left w:type="dxa" w:w="110"/>
              <w:bottom w:type="dxa" w:w="70"/>
              <w:right w:type="dxa" w:w="110"/>
            </w:tcMar>
          </w:tcPr>
          <w:p>
            <w:pPr>
              <w:spacing w:after="0" w:line="250"/>
            </w:pPr>
            <w:r>
              <w:rPr>
                <w:b w:val="false"/>
                <w:bCs w:val="false"/>
                <w:sz w:val="18"/>
                <w:szCs w:val="18"/>
              </w:rPr>
              <w:t xml:space="preserve">Selected notes, linked textbook passages</w:t>
            </w:r>
          </w:p>
        </w:tc>
        <w:tc>
          <w:tcPr>
            <w:tcW w:type="dxa" w:w="3084"/>
            <w:tcMar>
              <w:top w:type="dxa" w:w="70"/>
              <w:left w:type="dxa" w:w="110"/>
              <w:bottom w:type="dxa" w:w="70"/>
              <w:right w:type="dxa" w:w="110"/>
            </w:tcMar>
          </w:tcPr>
          <w:p>
            <w:pPr>
              <w:spacing w:after="0" w:line="250"/>
            </w:pPr>
            <w:r>
              <w:rPr>
                <w:b w:val="false"/>
                <w:bCs w:val="false"/>
                <w:sz w:val="18"/>
                <w:szCs w:val="18"/>
              </w:rPr>
              <w:t xml:space="preserve">Gated question pool with difficulty tiers; an adaptive attempt</w:t>
            </w:r>
          </w:p>
        </w:tc>
      </w:tr>
      <w:tr>
        <w:tc>
          <w:tcPr>
            <w:tcW w:type="dxa" w:w="1633"/>
            <w:shd w:fill="F2F5FB" w:color="auto" w:val="clear"/>
            <w:tcMar>
              <w:top w:type="dxa" w:w="70"/>
              <w:left w:type="dxa" w:w="110"/>
              <w:bottom w:type="dxa" w:w="70"/>
              <w:right w:type="dxa" w:w="110"/>
            </w:tcMar>
          </w:tcPr>
          <w:p>
            <w:pPr>
              <w:spacing w:after="0" w:line="250"/>
            </w:pPr>
            <w:r>
              <w:rPr>
                <w:b w:val="false"/>
                <w:bCs w:val="false"/>
                <w:sz w:val="18"/>
                <w:szCs w:val="18"/>
              </w:rPr>
              <w:t xml:space="preserve">Feedback</w:t>
            </w:r>
          </w:p>
        </w:tc>
        <w:tc>
          <w:tcPr>
            <w:tcW w:type="dxa" w:w="1270"/>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Responses with per-question scores and timings</w:t>
            </w:r>
          </w:p>
        </w:tc>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Ranked per-topic report, marks summary, phrased narrative</w:t>
            </w:r>
          </w:p>
        </w:tc>
      </w:tr>
    </w:tbl>
    <w:p>
      <w:r>
        <w:br w:type="page"/>
      </w:r>
    </w:p>
    <w:p>
      <w:pPr>
        <w:pStyle w:val="Heading1"/>
        <w:spacing w:after="170" w:before="340"/>
      </w:pPr>
      <w:r>
        <w:rPr>
          <w:b/>
          <w:bCs/>
          <w:color w:val="1F3864"/>
          <w:sz w:val="30"/>
          <w:szCs w:val="30"/>
        </w:rPr>
        <w:t xml:space="preserve">5. Implementation Status</w:t>
      </w:r>
    </w:p>
    <w:p>
      <w:pPr>
        <w:spacing w:after="130" w:line="276"/>
      </w:pPr>
      <w:r>
        <w:rPr>
          <w:sz w:val="21"/>
          <w:szCs w:val="21"/>
        </w:rPr>
        <w:t xml:space="preserve">This table is the single source of truth for what exists today. Three values are used and they mean exactly what they say. Built and verified means the component is in the repository and exercised by an automated test — either the Playwright end-to-end browser scripts, the database backend test, or the scripted API checks. Planned means designed and assessed in a workstream report but not yet implemented. Future scope means explicitly deferred beyond this project, as set out in Section 8.</w:t>
      </w:r>
    </w:p>
    <w:p>
      <w:pPr>
        <w:spacing w:after="8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262"/>
        <w:gridCol w:w="1814"/>
        <w:gridCol w:w="1996"/>
      </w:tblGrid>
      <w:tr>
        <w:trPr>
          <w:tblHeader/>
        </w:trPr>
        <w:tc>
          <w:tcPr>
            <w:tcW w:type="dxa" w:w="5262"/>
            <w:shd w:fill="D9E2F3" w:color="auto" w:val="clear"/>
            <w:tcMar>
              <w:top w:type="dxa" w:w="70"/>
              <w:left w:type="dxa" w:w="110"/>
              <w:bottom w:type="dxa" w:w="70"/>
              <w:right w:type="dxa" w:w="110"/>
            </w:tcMar>
          </w:tcPr>
          <w:p>
            <w:pPr>
              <w:spacing w:after="0" w:line="250"/>
            </w:pPr>
            <w:r>
              <w:rPr>
                <w:b/>
                <w:bCs/>
                <w:sz w:val="18"/>
                <w:szCs w:val="18"/>
              </w:rPr>
              <w:t xml:space="preserve">Component</w:t>
            </w:r>
          </w:p>
        </w:tc>
        <w:tc>
          <w:tcPr>
            <w:tcW w:type="dxa" w:w="1814"/>
            <w:shd w:fill="D9E2F3" w:color="auto" w:val="clear"/>
            <w:tcMar>
              <w:top w:type="dxa" w:w="70"/>
              <w:left w:type="dxa" w:w="110"/>
              <w:bottom w:type="dxa" w:w="70"/>
              <w:right w:type="dxa" w:w="110"/>
            </w:tcMar>
          </w:tcPr>
          <w:p>
            <w:pPr>
              <w:spacing w:after="0" w:line="250"/>
            </w:pPr>
            <w:r>
              <w:rPr>
                <w:b/>
                <w:bCs/>
                <w:sz w:val="18"/>
                <w:szCs w:val="18"/>
              </w:rPr>
              <w:t xml:space="preserve">Workstream</w:t>
            </w:r>
          </w:p>
        </w:tc>
        <w:tc>
          <w:tcPr>
            <w:tcW w:type="dxa" w:w="1996"/>
            <w:shd w:fill="D9E2F3" w:color="auto" w:val="clear"/>
            <w:tcMar>
              <w:top w:type="dxa" w:w="70"/>
              <w:left w:type="dxa" w:w="110"/>
              <w:bottom w:type="dxa" w:w="70"/>
              <w:right w:type="dxa" w:w="110"/>
            </w:tcMar>
          </w:tcPr>
          <w:p>
            <w:pPr>
              <w:spacing w:after="0" w:line="250"/>
            </w:pPr>
            <w:r>
              <w:rPr>
                <w:b/>
                <w:bCs/>
                <w:sz w:val="18"/>
                <w:szCs w:val="18"/>
              </w:rPr>
              <w:t xml:space="preserve">Status</w:t>
            </w:r>
          </w:p>
        </w:tc>
      </w:tr>
      <w:tr>
        <w:tc>
          <w:tcPr>
            <w:tcW w:type="dxa" w:w="5262"/>
            <w:tcMar>
              <w:top w:type="dxa" w:w="70"/>
              <w:left w:type="dxa" w:w="110"/>
              <w:bottom w:type="dxa" w:w="70"/>
              <w:right w:type="dxa" w:w="110"/>
            </w:tcMar>
          </w:tcPr>
          <w:p>
            <w:pPr>
              <w:spacing w:after="0" w:line="250"/>
            </w:pPr>
            <w:r>
              <w:rPr>
                <w:b w:val="false"/>
                <w:bCs w:val="false"/>
                <w:sz w:val="18"/>
                <w:szCs w:val="18"/>
              </w:rPr>
              <w:t xml:space="preserve">Email and password authentication (bcrypt, JSON Web Tokens)</w:t>
            </w:r>
          </w:p>
        </w:tc>
        <w:tc>
          <w:tcPr>
            <w:tcW w:type="dxa" w:w="1814"/>
            <w:tcMar>
              <w:top w:type="dxa" w:w="70"/>
              <w:left w:type="dxa" w:w="110"/>
              <w:bottom w:type="dxa" w:w="70"/>
              <w:right w:type="dxa" w:w="110"/>
            </w:tcMar>
          </w:tcPr>
          <w:p>
            <w:pPr>
              <w:spacing w:after="0" w:line="250"/>
            </w:pPr>
            <w:r>
              <w:rPr>
                <w:b w:val="false"/>
                <w:bCs w:val="false"/>
                <w:sz w:val="18"/>
                <w:szCs w:val="18"/>
              </w:rPr>
              <w:t xml:space="preserve">Shared</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Subjects and typed note ingestion</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Image note ingestion via in-process Tesseract</w:t>
            </w:r>
          </w:p>
        </w:tc>
        <w:tc>
          <w:tcPr>
            <w:tcW w:type="dxa" w:w="1814"/>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DOCX and PDF ingestion, format router</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Image preprocessing, confidence gate, cloud Vision escalation</w:t>
            </w:r>
          </w:p>
        </w:tc>
        <w:tc>
          <w:tcPr>
            <w:tcW w:type="dxa" w:w="1814"/>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Grounded note summarisation</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Object storage, signed URLs, upload validation</w:t>
            </w:r>
          </w:p>
        </w:tc>
        <w:tc>
          <w:tcPr>
            <w:tcW w:type="dxa" w:w="1814"/>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Textbook chunking and vector index</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1</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TF-IDF keyword extraction and lexical similarity</w:t>
            </w:r>
          </w:p>
        </w:tc>
        <w:tc>
          <w:tcPr>
            <w:tcW w:type="dxa" w:w="1814"/>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Cosine-similarity note linking and edge creation</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Cytoscape.js graph rendering</w:t>
            </w:r>
          </w:p>
        </w:tc>
        <w:tc>
          <w:tcPr>
            <w:tcW w:type="dxa" w:w="1814"/>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Sentence embeddings and hybrid scoring</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Cross-subject word-sense gate and cross-encoder re-score</w:t>
            </w:r>
          </w:p>
        </w:tc>
        <w:tc>
          <w:tcPr>
            <w:tcW w:type="dxa" w:w="1814"/>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Community detection and mislink flagging</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Edge-confidence model and correction loop</w:t>
            </w:r>
          </w:p>
        </w:tc>
        <w:tc>
          <w:tcPr>
            <w:tcW w:type="dxa" w:w="1814"/>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Graph accuracy gold set and evaluation</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2</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LLM-drafted MCQ and theory generation</w:t>
            </w:r>
          </w:p>
        </w:tc>
        <w:tc>
          <w:tcPr>
            <w:tcW w:type="dxa" w:w="1814"/>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Hallucination gate (excerpt, answer-set and rubric checks)</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Rule-based generation fallback, no LLM key required</w:t>
            </w:r>
          </w:p>
        </w:tc>
        <w:tc>
          <w:tcPr>
            <w:tcW w:type="dxa" w:w="1814"/>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Adaptive staircase item delivery</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Free-text theory grading, LLM and keyword-overlap paths</w:t>
            </w:r>
          </w:p>
        </w:tc>
        <w:tc>
          <w:tcPr>
            <w:tcW w:type="dxa" w:w="1814"/>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Deterministic per-topic scoring and marks summary</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Feedback phrasing, LLM and template paths</w:t>
            </w:r>
          </w:p>
        </w:tc>
        <w:tc>
          <w:tcPr>
            <w:tcW w:type="dxa" w:w="1814"/>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Attempt integrity: one question at a time, answers final, correctness withheld until submission</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Test duration timer enforcement</w:t>
            </w:r>
          </w:p>
        </w:tc>
        <w:tc>
          <w:tcPr>
            <w:tcW w:type="dxa" w:w="1814"/>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Cross-attempt mastery modelling (knowledge tracing)</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3</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Dual database backends behind one interface, single string id type</w:t>
            </w:r>
          </w:p>
        </w:tc>
        <w:tc>
          <w:tcPr>
            <w:tcW w:type="dxa" w:w="1814"/>
            <w:tcMar>
              <w:top w:type="dxa" w:w="70"/>
              <w:left w:type="dxa" w:w="110"/>
              <w:bottom w:type="dxa" w:w="70"/>
              <w:right w:type="dxa" w:w="110"/>
            </w:tcMar>
          </w:tcPr>
          <w:p>
            <w:pPr>
              <w:spacing w:after="0" w:line="250"/>
            </w:pPr>
            <w:r>
              <w:rPr>
                <w:b w:val="false"/>
                <w:bCs w:val="false"/>
                <w:sz w:val="18"/>
                <w:szCs w:val="18"/>
              </w:rPr>
              <w:t xml:space="preserve">Member 4</w:t>
            </w:r>
          </w:p>
        </w:tc>
        <w:tc>
          <w:tcPr>
            <w:tcW w:type="dxa" w:w="1996"/>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API hardening: rate limiting, CORS allowlist, production secret guard, security headers</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4</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Built, verified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Dockerfiles and local compose orchestration</w:t>
            </w:r>
          </w:p>
        </w:tc>
        <w:tc>
          <w:tcPr>
            <w:tcW w:type="dxa" w:w="1814"/>
            <w:tcMar>
              <w:top w:type="dxa" w:w="70"/>
              <w:left w:type="dxa" w:w="110"/>
              <w:bottom w:type="dxa" w:w="70"/>
              <w:right w:type="dxa" w:w="110"/>
            </w:tcMar>
          </w:tcPr>
          <w:p>
            <w:pPr>
              <w:spacing w:after="0" w:line="250"/>
            </w:pPr>
            <w:r>
              <w:rPr>
                <w:b w:val="false"/>
                <w:bCs w:val="false"/>
                <w:sz w:val="18"/>
                <w:szCs w:val="18"/>
              </w:rPr>
              <w:t xml:space="preserve">Member 4</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CI pipeline with dependency and secret scanning</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Member 4</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tcMar>
              <w:top w:type="dxa" w:w="70"/>
              <w:left w:type="dxa" w:w="110"/>
              <w:bottom w:type="dxa" w:w="70"/>
              <w:right w:type="dxa" w:w="110"/>
            </w:tcMar>
          </w:tcPr>
          <w:p>
            <w:pPr>
              <w:spacing w:after="0" w:line="250"/>
            </w:pPr>
            <w:r>
              <w:rPr>
                <w:b w:val="false"/>
                <w:bCs w:val="false"/>
                <w:sz w:val="18"/>
                <w:szCs w:val="18"/>
              </w:rPr>
              <w:t xml:space="preserve">Hosting configuration and staging deployment</w:t>
            </w:r>
          </w:p>
        </w:tc>
        <w:tc>
          <w:tcPr>
            <w:tcW w:type="dxa" w:w="1814"/>
            <w:tcMar>
              <w:top w:type="dxa" w:w="70"/>
              <w:left w:type="dxa" w:w="110"/>
              <w:bottom w:type="dxa" w:w="70"/>
              <w:right w:type="dxa" w:w="110"/>
            </w:tcMar>
          </w:tcPr>
          <w:p>
            <w:pPr>
              <w:spacing w:after="0" w:line="250"/>
            </w:pPr>
            <w:r>
              <w:rPr>
                <w:b w:val="false"/>
                <w:bCs w:val="false"/>
                <w:sz w:val="18"/>
                <w:szCs w:val="18"/>
              </w:rPr>
              <w:t xml:space="preserve">Member 4</w:t>
            </w:r>
          </w:p>
        </w:tc>
        <w:tc>
          <w:tcPr>
            <w:tcW w:type="dxa" w:w="1996"/>
            <w:tcMar>
              <w:top w:type="dxa" w:w="70"/>
              <w:left w:type="dxa" w:w="110"/>
              <w:bottom w:type="dxa" w:w="70"/>
              <w:right w:type="dxa" w:w="110"/>
            </w:tcMar>
          </w:tcPr>
          <w:p>
            <w:pPr>
              <w:spacing w:after="0" w:line="250"/>
            </w:pPr>
            <w:r>
              <w:rPr>
                <w:b w:val="false"/>
                <w:bCs w:val="false"/>
                <w:sz w:val="18"/>
                <w:szCs w:val="18"/>
              </w:rPr>
              <w:t xml:space="preserve">Planned</w:t>
            </w:r>
          </w:p>
        </w:tc>
      </w:tr>
      <w:tr>
        <w:tc>
          <w:tcPr>
            <w:tcW w:type="dxa" w:w="5262"/>
            <w:shd w:fill="F2F5FB" w:color="auto" w:val="clear"/>
            <w:tcMar>
              <w:top w:type="dxa" w:w="70"/>
              <w:left w:type="dxa" w:w="110"/>
              <w:bottom w:type="dxa" w:w="70"/>
              <w:right w:type="dxa" w:w="110"/>
            </w:tcMar>
          </w:tcPr>
          <w:p>
            <w:pPr>
              <w:spacing w:after="0" w:line="250"/>
            </w:pPr>
            <w:r>
              <w:rPr>
                <w:b w:val="false"/>
                <w:bCs w:val="false"/>
                <w:sz w:val="18"/>
                <w:szCs w:val="18"/>
              </w:rPr>
              <w:t xml:space="preserve">Video proctoring and expression analysis</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w:t>
            </w:r>
          </w:p>
        </w:tc>
        <w:tc>
          <w:tcPr>
            <w:tcW w:type="dxa" w:w="1996"/>
            <w:shd w:fill="F2F5FB" w:color="auto" w:val="clear"/>
            <w:tcMar>
              <w:top w:type="dxa" w:w="70"/>
              <w:left w:type="dxa" w:w="110"/>
              <w:bottom w:type="dxa" w:w="70"/>
              <w:right w:type="dxa" w:w="110"/>
            </w:tcMar>
          </w:tcPr>
          <w:p>
            <w:pPr>
              <w:spacing w:after="0" w:line="250"/>
            </w:pPr>
            <w:r>
              <w:rPr>
                <w:b w:val="false"/>
                <w:bCs w:val="false"/>
                <w:sz w:val="18"/>
                <w:szCs w:val="18"/>
              </w:rPr>
              <w:t xml:space="preserve">Future scope</w:t>
            </w:r>
          </w:p>
        </w:tc>
      </w:tr>
    </w:tbl>
    <w:p>
      <w:pPr>
        <w:spacing w:after="170"/>
      </w:pPr>
    </w:p>
    <w:p>
      <w:pPr>
        <w:spacing w:after="130" w:line="276"/>
      </w:pPr>
      <w:r>
        <w:rPr>
          <w:sz w:val="21"/>
          <w:szCs w:val="21"/>
        </w:rPr>
        <w:t xml:space="preserve">Two points of honesty about this table. First, the TF-IDF linking rows are marked built on the strength of Member 3's end-to-end tests, which exercise them incidentally; Member 2's own accuracy evaluation does not yet exist, so built here means present and working, not measured for quality. Second, the built rows in Member 4's column are shared infrastructure that landed alongside Member 3's work; the four artifacts that define that workstream — the two Dockerfiles, the compose file and the CI workflow — remain planned.</w:t>
      </w:r>
    </w:p>
    <w:p>
      <w:r>
        <w:br w:type="page"/>
      </w:r>
    </w:p>
    <w:p>
      <w:pPr>
        <w:pStyle w:val="Heading1"/>
        <w:spacing w:after="170" w:before="340"/>
      </w:pPr>
      <w:r>
        <w:rPr>
          <w:b/>
          <w:bCs/>
          <w:color w:val="1F3864"/>
          <w:sz w:val="30"/>
          <w:szCs w:val="30"/>
        </w:rPr>
        <w:t xml:space="preserve">6. Workstream Summaries</w:t>
      </w:r>
    </w:p>
    <w:p>
      <w:pPr>
        <w:pStyle w:val="Heading2"/>
        <w:spacing w:after="120" w:before="250"/>
      </w:pPr>
      <w:r>
        <w:rPr>
          <w:b/>
          <w:bCs/>
          <w:color w:val="1F3864"/>
          <w:sz w:val="24"/>
          <w:szCs w:val="24"/>
        </w:rPr>
        <w:t xml:space="preserve">6.1 Member 1 — Notes Ingestion and Summarisation</w:t>
      </w:r>
    </w:p>
    <w:p>
      <w:pPr>
        <w:spacing w:after="130" w:line="276"/>
      </w:pPr>
      <w:r>
        <w:rPr>
          <w:sz w:val="21"/>
          <w:szCs w:val="21"/>
        </w:rPr>
        <w:t xml:space="preserve">This workstream is the entry point of the whole system: every note, scan and textbook passes through it before the knowledge graph or the test generator can use it. Its design principle is to send each input down the cheapest path that yields clean text, and to spend money only where measurement shows it is needed.</w:t>
      </w:r>
    </w:p>
    <w:p>
      <w:pPr>
        <w:spacing w:after="130" w:line="276"/>
      </w:pPr>
      <w:r>
        <w:rPr>
          <w:b/>
          <w:bCs/>
          <w:sz w:val="21"/>
          <w:szCs w:val="21"/>
        </w:rPr>
        <w:t xml:space="preserve">Feasibility. </w:t>
      </w:r>
      <w:r>
        <w:rPr>
          <w:b w:val="false"/>
          <w:bCs w:val="false"/>
          <w:sz w:val="21"/>
          <w:szCs w:val="21"/>
        </w:rPr>
        <w:t xml:space="preserve">Every processing step runs on CPU. Tesseract, the document parsers, image preprocessing, sentence-embedding inference and exact vector search are standard, well-documented components with no training step. The stack sits on free tiers throughout, with one metered exception — the cloud Vision fallback — whose expected cost is a function of a single measurable number, the fraction of pages that escalate. The one non-trivial systems concern is that OCR is slow relative to the rest of the API, which the queue-backed separate container addresses directly: ingestion can be slow without making anything else slow.</w:t>
      </w:r>
    </w:p>
    <w:p>
      <w:pPr>
        <w:spacing w:after="130" w:line="276"/>
      </w:pPr>
      <w:r>
        <w:rPr>
          <w:b/>
          <w:bCs/>
          <w:sz w:val="21"/>
          <w:szCs w:val="21"/>
        </w:rPr>
        <w:t xml:space="preserve">Summarisation. </w:t>
      </w:r>
      <w:r>
        <w:rPr>
          <w:b w:val="false"/>
          <w:bCs w:val="false"/>
          <w:sz w:val="21"/>
          <w:szCs w:val="21"/>
        </w:rPr>
        <w:t xml:space="preserve">A note's extracted text is summarised by the same LLM the test generator uses, under the same constraint: the prompt may use only that note's own text, or a linked textbook chunk, as context, never open-domain knowledge. This is what keeps a summary from introducing facts the source never contained, and it reuses a grounding pattern the team has already implemented and verified once, which is why it is assessed as low risk despite not yet being built.</w:t>
      </w:r>
    </w:p>
    <w:p>
      <w:pPr>
        <w:spacing w:after="130" w:line="276"/>
      </w:pPr>
      <w:r>
        <w:rPr>
          <w:b/>
          <w:bCs/>
          <w:sz w:val="21"/>
          <w:szCs w:val="21"/>
        </w:rPr>
        <w:t xml:space="preserve">Named heuristics. </w:t>
      </w:r>
      <w:r>
        <w:rPr>
          <w:b w:val="false"/>
          <w:bCs w:val="false"/>
          <w:sz w:val="21"/>
          <w:szCs w:val="21"/>
        </w:rPr>
        <w:t xml:space="preserve">The escalation threshold and the textbook chunk size and overlap are engineering heuristics, not published values. Tesseract's confidence is not a calibrated probability and no source prescribes a threshold for this use.</w:t>
      </w:r>
    </w:p>
    <w:p>
      <w:pPr>
        <w:pStyle w:val="Heading3"/>
        <w:spacing w:after="100" w:before="200"/>
      </w:pPr>
      <w:r>
        <w:rPr>
          <w:b/>
          <w:bCs/>
          <w:sz w:val="22"/>
          <w:szCs w:val="22"/>
        </w:rPr>
        <w:t xml:space="preserve">Recommendations</w:t>
      </w:r>
    </w:p>
    <w:p>
      <w:pPr>
        <w:pStyle w:val="ListParagraph"/>
        <w:numPr>
          <w:ilvl w:val="0"/>
          <w:numId w:val="2"/>
        </w:numPr>
        <w:spacing w:after="90" w:line="276"/>
      </w:pPr>
      <w:r>
        <w:rPr>
          <w:b/>
          <w:bCs/>
          <w:sz w:val="21"/>
          <w:szCs w:val="21"/>
        </w:rPr>
        <w:t xml:space="preserve">P1 — </w:t>
      </w:r>
      <w:r>
        <w:rPr>
          <w:b w:val="false"/>
          <w:bCs w:val="false"/>
          <w:sz w:val="21"/>
          <w:szCs w:val="21"/>
        </w:rPr>
        <w:t xml:space="preserve">Build a small labelled OCR evaluation set of 30 to 50 real student photos and scans, including handwriting, and measure character error rate with and without the fallback. This sets the threshold and estimates the monthly cost, turning the workstream's main assumption into a measured number.</w:t>
      </w:r>
    </w:p>
    <w:p>
      <w:pPr>
        <w:pStyle w:val="ListParagraph"/>
        <w:numPr>
          <w:ilvl w:val="0"/>
          <w:numId w:val="2"/>
        </w:numPr>
        <w:spacing w:after="90" w:line="276"/>
      </w:pPr>
      <w:r>
        <w:rPr>
          <w:b/>
          <w:bCs/>
          <w:sz w:val="21"/>
          <w:szCs w:val="21"/>
        </w:rPr>
        <w:t xml:space="preserve">P1 — </w:t>
      </w:r>
      <w:r>
        <w:rPr>
          <w:b w:val="false"/>
          <w:bCs w:val="false"/>
          <w:sz w:val="21"/>
          <w:szCs w:val="21"/>
        </w:rPr>
        <w:t xml:space="preserve">Add the escalation cap and the low-confidence review prompt before any real users arrive.</w:t>
      </w:r>
    </w:p>
    <w:p>
      <w:pPr>
        <w:pStyle w:val="ListParagraph"/>
        <w:numPr>
          <w:ilvl w:val="0"/>
          <w:numId w:val="2"/>
        </w:numPr>
        <w:spacing w:after="90" w:line="276"/>
      </w:pPr>
      <w:r>
        <w:rPr>
          <w:b/>
          <w:bCs/>
          <w:sz w:val="21"/>
          <w:szCs w:val="21"/>
        </w:rPr>
        <w:t xml:space="preserve">P2 — </w:t>
      </w:r>
      <w:r>
        <w:rPr>
          <w:b w:val="false"/>
          <w:bCs w:val="false"/>
          <w:sz w:val="21"/>
          <w:szCs w:val="21"/>
        </w:rPr>
        <w:t xml:space="preserve">Implement textbook chunking and the vector index, then measure retrieval quality jointly with Member 3: does the top-k contain the passage a question was actually drawn from?</w:t>
      </w:r>
    </w:p>
    <w:p>
      <w:pPr>
        <w:pStyle w:val="ListParagraph"/>
        <w:numPr>
          <w:ilvl w:val="0"/>
          <w:numId w:val="2"/>
        </w:numPr>
        <w:spacing w:after="90" w:line="276"/>
      </w:pPr>
      <w:r>
        <w:rPr>
          <w:b/>
          <w:bCs/>
          <w:sz w:val="21"/>
          <w:szCs w:val="21"/>
        </w:rPr>
        <w:t xml:space="preserve">P2 — </w:t>
      </w:r>
      <w:r>
        <w:rPr>
          <w:b w:val="false"/>
          <w:bCs w:val="false"/>
          <w:sz w:val="21"/>
          <w:szCs w:val="21"/>
        </w:rPr>
        <w:t xml:space="preserve">Add a garbled-text-layer check so a broken PDF text layer falls back to OCR automatically.</w:t>
      </w:r>
    </w:p>
    <w:p>
      <w:pPr>
        <w:pStyle w:val="ListParagraph"/>
        <w:numPr>
          <w:ilvl w:val="0"/>
          <w:numId w:val="2"/>
        </w:numPr>
        <w:spacing w:after="90" w:line="276"/>
      </w:pPr>
      <w:r>
        <w:rPr>
          <w:b/>
          <w:bCs/>
          <w:sz w:val="21"/>
          <w:szCs w:val="21"/>
        </w:rPr>
        <w:t xml:space="preserve">P3 — </w:t>
      </w:r>
      <w:r>
        <w:rPr>
          <w:b w:val="false"/>
          <w:bCs w:val="false"/>
          <w:sz w:val="21"/>
          <w:szCs w:val="21"/>
        </w:rPr>
        <w:t xml:space="preserve">Evaluate a CPU-exported transformer OCR model as a middle tier between Tesseract and the paid API for pages detected as handwriting.</w:t>
      </w:r>
    </w:p>
    <w:p>
      <w:pPr>
        <w:pStyle w:val="Heading3"/>
        <w:spacing w:after="100" w:before="200"/>
      </w:pPr>
      <w:r>
        <w:rPr>
          <w:b/>
          <w:bCs/>
          <w:sz w:val="22"/>
          <w:szCs w:val="22"/>
        </w:rPr>
        <w:t xml:space="preserve">Key risks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5443"/>
      </w:tblGrid>
      <w:tr>
        <w:trPr>
          <w:tblHeader/>
        </w:trPr>
        <w:tc>
          <w:tcPr>
            <w:tcW w:type="dxa" w:w="3629"/>
            <w:shd w:fill="D9E2F3" w:color="auto" w:val="clear"/>
            <w:tcMar>
              <w:top w:type="dxa" w:w="70"/>
              <w:left w:type="dxa" w:w="110"/>
              <w:bottom w:type="dxa" w:w="70"/>
              <w:right w:type="dxa" w:w="110"/>
            </w:tcMar>
          </w:tcPr>
          <w:p>
            <w:pPr>
              <w:spacing w:after="0" w:line="250"/>
            </w:pPr>
            <w:r>
              <w:rPr>
                <w:b/>
                <w:bCs/>
                <w:sz w:val="18"/>
                <w:szCs w:val="18"/>
              </w:rPr>
              <w:t xml:space="preserve">Risk</w:t>
            </w:r>
          </w:p>
        </w:tc>
        <w:tc>
          <w:tcPr>
            <w:tcW w:type="dxa" w:w="5443"/>
            <w:shd w:fill="D9E2F3" w:color="auto" w:val="clear"/>
            <w:tcMar>
              <w:top w:type="dxa" w:w="70"/>
              <w:left w:type="dxa" w:w="110"/>
              <w:bottom w:type="dxa" w:w="70"/>
              <w:right w:type="dxa" w:w="110"/>
            </w:tcMar>
          </w:tcPr>
          <w:p>
            <w:pPr>
              <w:spacing w:after="0" w:line="250"/>
            </w:pPr>
            <w:r>
              <w:rPr>
                <w:b/>
                <w:bCs/>
                <w:sz w:val="18"/>
                <w:szCs w:val="18"/>
              </w:rPr>
              <w:t xml:space="preserve">Mitigation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OCR accuracy falls sharply on noisy or handwritten input; published benchmarks show Tesseract trailing server-based processors, with the gap widest on noisy images</w:t>
            </w:r>
          </w:p>
        </w:tc>
        <w:tc>
          <w:tcPr>
            <w:tcW w:type="dxa" w:w="5443"/>
            <w:tcMar>
              <w:top w:type="dxa" w:w="70"/>
              <w:left w:type="dxa" w:w="110"/>
              <w:bottom w:type="dxa" w:w="70"/>
              <w:right w:type="dxa" w:w="110"/>
            </w:tcMar>
          </w:tcPr>
          <w:p>
            <w:pPr>
              <w:spacing w:after="0" w:line="250"/>
            </w:pPr>
            <w:r>
              <w:rPr>
                <w:b w:val="false"/>
                <w:bCs w:val="false"/>
                <w:sz w:val="18"/>
                <w:szCs w:val="18"/>
              </w:rPr>
              <w:t xml:space="preserve">Confidence-gated cloud fallback, a review prompt for low-confidence pages, and the P1 labelled evaluation set</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The metered cloud fallback could exceed its free allowance if far more pages escalate than expected</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Per-user and global monthly caps, escalation-rate logging, and a graceful low-confidence mode once the cap is reached</w:t>
            </w:r>
          </w:p>
        </w:tc>
      </w:tr>
      <w:tr>
        <w:tc>
          <w:tcPr>
            <w:tcW w:type="dxa" w:w="3629"/>
            <w:tcMar>
              <w:top w:type="dxa" w:w="70"/>
              <w:left w:type="dxa" w:w="110"/>
              <w:bottom w:type="dxa" w:w="70"/>
              <w:right w:type="dxa" w:w="110"/>
            </w:tcMar>
          </w:tcPr>
          <w:p>
            <w:pPr>
              <w:spacing w:after="0" w:line="250"/>
            </w:pPr>
            <w:r>
              <w:rPr>
                <w:b w:val="false"/>
                <w:bCs w:val="false"/>
                <w:sz w:val="18"/>
                <w:szCs w:val="18"/>
              </w:rPr>
              <w:t xml:space="preserve">Free-tier limits: container memory, Atlas storage cap, cold starts</w:t>
            </w:r>
          </w:p>
        </w:tc>
        <w:tc>
          <w:tcPr>
            <w:tcW w:type="dxa" w:w="5443"/>
            <w:tcMar>
              <w:top w:type="dxa" w:w="70"/>
              <w:left w:type="dxa" w:w="110"/>
              <w:bottom w:type="dxa" w:w="70"/>
              <w:right w:type="dxa" w:w="110"/>
            </w:tcMar>
          </w:tcPr>
          <w:p>
            <w:pPr>
              <w:spacing w:after="0" w:line="250"/>
            </w:pPr>
            <w:r>
              <w:rPr>
                <w:b w:val="false"/>
                <w:bCs w:val="false"/>
                <w:sz w:val="18"/>
                <w:szCs w:val="18"/>
              </w:rPr>
              <w:t xml:space="preserve">Load OCR and embedding models once per container, keep embeddings out of note documents, document cold-start behaviour</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File upload is a classic attack surface</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Magic-byte and size validation, quarantine before processing, private bucket, random keys, short-lived signed URLs</w:t>
            </w:r>
          </w:p>
        </w:tc>
      </w:tr>
      <w:tr>
        <w:tc>
          <w:tcPr>
            <w:tcW w:type="dxa" w:w="3629"/>
            <w:tcMar>
              <w:top w:type="dxa" w:w="70"/>
              <w:left w:type="dxa" w:w="110"/>
              <w:bottom w:type="dxa" w:w="70"/>
              <w:right w:type="dxa" w:w="110"/>
            </w:tcMar>
          </w:tcPr>
          <w:p>
            <w:pPr>
              <w:spacing w:after="0" w:line="250"/>
            </w:pPr>
            <w:r>
              <w:rPr>
                <w:b w:val="false"/>
                <w:bCs w:val="false"/>
                <w:sz w:val="18"/>
                <w:szCs w:val="18"/>
              </w:rPr>
              <w:t xml:space="preserve">Every downstream workstream depends on this one landing text early</w:t>
            </w:r>
          </w:p>
        </w:tc>
        <w:tc>
          <w:tcPr>
            <w:tcW w:type="dxa" w:w="5443"/>
            <w:tcMar>
              <w:top w:type="dxa" w:w="70"/>
              <w:left w:type="dxa" w:w="110"/>
              <w:bottom w:type="dxa" w:w="70"/>
              <w:right w:type="dxa" w:w="110"/>
            </w:tcMar>
          </w:tcPr>
          <w:p>
            <w:pPr>
              <w:spacing w:after="0" w:line="250"/>
            </w:pPr>
            <w:r>
              <w:rPr>
                <w:b w:val="false"/>
                <w:bCs w:val="false"/>
                <w:sz w:val="18"/>
                <w:szCs w:val="18"/>
              </w:rPr>
              <w:t xml:space="preserve">Typed, DOCX and PDF ingestion are prioritised ahead of OCR polish</w:t>
            </w:r>
          </w:p>
        </w:tc>
      </w:tr>
    </w:tbl>
    <w:p>
      <w:r>
        <w:br w:type="page"/>
      </w:r>
    </w:p>
    <w:p>
      <w:pPr>
        <w:pStyle w:val="Heading2"/>
        <w:spacing w:after="120" w:before="250"/>
      </w:pPr>
      <w:r>
        <w:rPr>
          <w:b/>
          <w:bCs/>
          <w:color w:val="1F3864"/>
          <w:sz w:val="24"/>
          <w:szCs w:val="24"/>
        </w:rPr>
        <w:t xml:space="preserve">6.2 Member 2 — Knowledge Graph and NLP Intelligence</w:t>
      </w:r>
    </w:p>
    <w:p>
      <w:pPr>
        <w:spacing w:after="130" w:line="276"/>
      </w:pPr>
      <w:r>
        <w:rPr>
          <w:sz w:val="21"/>
          <w:szCs w:val="21"/>
        </w:rPr>
        <w:t xml:space="preserve">This workstream turns ingested notes into a per-subject graph in which each note is a node and each edge is a scored claim that two notes concern related ideas. That graph is what the student explores visually, what Member 3's test builder draws topics from, and what Member 3's feedback engine maps weak topics back onto.</w:t>
      </w:r>
    </w:p>
    <w:p>
      <w:pPr>
        <w:spacing w:after="130" w:line="276"/>
      </w:pPr>
      <w:r>
        <w:rPr>
          <w:b/>
          <w:bCs/>
          <w:sz w:val="21"/>
          <w:szCs w:val="21"/>
        </w:rPr>
        <w:t xml:space="preserve">Feasibility. </w:t>
      </w:r>
      <w:r>
        <w:rPr>
          <w:b w:val="false"/>
          <w:bCs w:val="false"/>
          <w:sz w:val="21"/>
          <w:szCs w:val="21"/>
        </w:rPr>
        <w:t xml:space="preserve">The entire pipeline runs on CPU with no GPU and no training pipeline beyond a logistic regression that fits in seconds. Every other model is used inference-only or is a classical algorithm. Pairwise scoring is quadratic in the number of notes, which is trivial at personal scale — two hundred notes is about twenty thousand pairs, a single matrix multiplication — and incremental updates need only one new row plus a millisecond re-run of community detection. The expensive step, the cross-encoder, is bounded by running only on the borderline band, so its cost scales with ambiguous pairs rather than all pairs.</w:t>
      </w:r>
    </w:p>
    <w:p>
      <w:pPr>
        <w:spacing w:after="130" w:line="276"/>
      </w:pPr>
      <w:r>
        <w:rPr>
          <w:b/>
          <w:bCs/>
          <w:sz w:val="21"/>
          <w:szCs w:val="21"/>
        </w:rPr>
        <w:t xml:space="preserve">Scope honesty. </w:t>
      </w:r>
      <w:r>
        <w:rPr>
          <w:b w:val="false"/>
          <w:bCs w:val="false"/>
          <w:sz w:val="21"/>
          <w:szCs w:val="21"/>
        </w:rPr>
        <w:t xml:space="preserve">This graph links notes by relatedness; it does not encode typed facts between entities. That is appropriate for study navigation, and the documentation describes it accurately rather than over-claiming it as a formal knowledge graph.</w:t>
      </w:r>
    </w:p>
    <w:p>
      <w:pPr>
        <w:spacing w:after="130" w:line="276"/>
      </w:pPr>
      <w:r>
        <w:rPr>
          <w:b/>
          <w:bCs/>
          <w:sz w:val="21"/>
          <w:szCs w:val="21"/>
        </w:rPr>
        <w:t xml:space="preserve">Named heuristics. </w:t>
      </w:r>
      <w:r>
        <w:rPr>
          <w:b w:val="false"/>
          <w:bCs w:val="false"/>
          <w:sz w:val="21"/>
          <w:szCs w:val="21"/>
        </w:rPr>
        <w:t xml:space="preserve">The hybrid weighting that blends lexical and embedding similarity, and the rule by which a weak edge bridging two communities is flagged for review, are the team's own. Blending the two signals is common practice, but no source prescribes these values for student notes.</w:t>
      </w:r>
    </w:p>
    <w:p>
      <w:pPr>
        <w:pStyle w:val="Heading3"/>
        <w:spacing w:after="100" w:before="200"/>
      </w:pPr>
      <w:r>
        <w:rPr>
          <w:b/>
          <w:bCs/>
          <w:sz w:val="22"/>
          <w:szCs w:val="22"/>
        </w:rPr>
        <w:t xml:space="preserve">Recommendations</w:t>
      </w:r>
    </w:p>
    <w:p>
      <w:pPr>
        <w:pStyle w:val="ListParagraph"/>
        <w:numPr>
          <w:ilvl w:val="0"/>
          <w:numId w:val="2"/>
        </w:numPr>
        <w:spacing w:after="90" w:line="276"/>
      </w:pPr>
      <w:r>
        <w:rPr>
          <w:b/>
          <w:bCs/>
          <w:sz w:val="21"/>
          <w:szCs w:val="21"/>
        </w:rPr>
        <w:t xml:space="preserve">P1 — </w:t>
      </w:r>
      <w:r>
        <w:rPr>
          <w:b w:val="false"/>
          <w:bCs w:val="false"/>
          <w:sz w:val="21"/>
          <w:szCs w:val="21"/>
        </w:rPr>
        <w:t xml:space="preserve">Build the gold set: roughly 150 to 300 labelled note pairs across two or three subjects, deliberately oversampling cross-subject pairs that share vocabulary. Without it, graph quality is an impression rather than a measurement, and every later addition is unfalsifiable.</w:t>
      </w:r>
    </w:p>
    <w:p>
      <w:pPr>
        <w:pStyle w:val="ListParagraph"/>
        <w:numPr>
          <w:ilvl w:val="0"/>
          <w:numId w:val="2"/>
        </w:numPr>
        <w:spacing w:after="90" w:line="276"/>
      </w:pPr>
      <w:r>
        <w:rPr>
          <w:b/>
          <w:bCs/>
          <w:sz w:val="21"/>
          <w:szCs w:val="21"/>
        </w:rPr>
        <w:t xml:space="preserve">P1 — </w:t>
      </w:r>
      <w:r>
        <w:rPr>
          <w:b w:val="false"/>
          <w:bCs w:val="false"/>
          <w:sz w:val="21"/>
          <w:szCs w:val="21"/>
        </w:rPr>
        <w:t xml:space="preserve">Add sentence embeddings and hybrid scoring on top of the built TF-IDF baseline, and report the precision and recall change against the gold set.</w:t>
      </w:r>
    </w:p>
    <w:p>
      <w:pPr>
        <w:pStyle w:val="ListParagraph"/>
        <w:numPr>
          <w:ilvl w:val="0"/>
          <w:numId w:val="2"/>
        </w:numPr>
        <w:spacing w:after="90" w:line="276"/>
      </w:pPr>
      <w:r>
        <w:rPr>
          <w:b/>
          <w:bCs/>
          <w:sz w:val="21"/>
          <w:szCs w:val="21"/>
        </w:rPr>
        <w:t xml:space="preserve">P1 — </w:t>
      </w:r>
      <w:r>
        <w:rPr>
          <w:b w:val="false"/>
          <w:bCs w:val="false"/>
          <w:sz w:val="21"/>
          <w:szCs w:val="21"/>
        </w:rPr>
        <w:t xml:space="preserve">Use Leiden rather than Louvain for community detection: a drop-in change that removes a documented failure mode at no cost.</w:t>
      </w:r>
    </w:p>
    <w:p>
      <w:pPr>
        <w:pStyle w:val="ListParagraph"/>
        <w:numPr>
          <w:ilvl w:val="0"/>
          <w:numId w:val="2"/>
        </w:numPr>
        <w:spacing w:after="90" w:line="276"/>
      </w:pPr>
      <w:r>
        <w:rPr>
          <w:b/>
          <w:bCs/>
          <w:sz w:val="21"/>
          <w:szCs w:val="21"/>
        </w:rPr>
        <w:t xml:space="preserve">P2 — </w:t>
      </w:r>
      <w:r>
        <w:rPr>
          <w:b w:val="false"/>
          <w:bCs w:val="false"/>
          <w:sz w:val="21"/>
          <w:szCs w:val="21"/>
        </w:rPr>
        <w:t xml:space="preserve">Ship the correction interface and the logistic-regression confidence model, prioritising review by uncertainty; add the word-sense gate and cross-encoder re-score.</w:t>
      </w:r>
    </w:p>
    <w:p>
      <w:pPr>
        <w:pStyle w:val="ListParagraph"/>
        <w:numPr>
          <w:ilvl w:val="0"/>
          <w:numId w:val="2"/>
        </w:numPr>
        <w:spacing w:after="90" w:line="276"/>
      </w:pPr>
      <w:r>
        <w:rPr>
          <w:b/>
          <w:bCs/>
          <w:sz w:val="21"/>
          <w:szCs w:val="21"/>
        </w:rPr>
        <w:t xml:space="preserve">P3 — </w:t>
      </w:r>
      <w:r>
        <w:rPr>
          <w:b w:val="false"/>
          <w:bCs w:val="false"/>
          <w:sz w:val="21"/>
          <w:szCs w:val="21"/>
        </w:rPr>
        <w:t xml:space="preserve">Per-subject sense centroids for frequently shared terms, and a separate opt-in layer for genuine cross-subject links.</w:t>
      </w:r>
    </w:p>
    <w:p>
      <w:pPr>
        <w:pStyle w:val="ListParagraph"/>
        <w:numPr>
          <w:ilvl w:val="0"/>
          <w:numId w:val="2"/>
        </w:numPr>
        <w:spacing w:after="90" w:line="276"/>
      </w:pPr>
      <w:r>
        <w:rPr>
          <w:b/>
          <w:bCs/>
          <w:sz w:val="21"/>
          <w:szCs w:val="21"/>
        </w:rPr>
        <w:t xml:space="preserve">P4 — </w:t>
      </w:r>
      <w:r>
        <w:rPr>
          <w:b w:val="false"/>
          <w:bCs w:val="false"/>
          <w:sz w:val="21"/>
          <w:szCs w:val="21"/>
        </w:rPr>
        <w:t xml:space="preserve">Concept-level nodes with typed relations, moving toward a true concept map, once enough correction data has accumulated to support it.</w:t>
      </w:r>
    </w:p>
    <w:p>
      <w:pPr>
        <w:pStyle w:val="Heading3"/>
        <w:spacing w:after="100" w:before="200"/>
      </w:pPr>
      <w:r>
        <w:rPr>
          <w:b/>
          <w:bCs/>
          <w:sz w:val="22"/>
          <w:szCs w:val="22"/>
        </w:rPr>
        <w:t xml:space="preserve">Key risks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5443"/>
      </w:tblGrid>
      <w:tr>
        <w:trPr>
          <w:tblHeader/>
        </w:trPr>
        <w:tc>
          <w:tcPr>
            <w:tcW w:type="dxa" w:w="3629"/>
            <w:shd w:fill="D9E2F3" w:color="auto" w:val="clear"/>
            <w:tcMar>
              <w:top w:type="dxa" w:w="70"/>
              <w:left w:type="dxa" w:w="110"/>
              <w:bottom w:type="dxa" w:w="70"/>
              <w:right w:type="dxa" w:w="110"/>
            </w:tcMar>
          </w:tcPr>
          <w:p>
            <w:pPr>
              <w:spacing w:after="0" w:line="250"/>
            </w:pPr>
            <w:r>
              <w:rPr>
                <w:b/>
                <w:bCs/>
                <w:sz w:val="18"/>
                <w:szCs w:val="18"/>
              </w:rPr>
              <w:t xml:space="preserve">Risk</w:t>
            </w:r>
          </w:p>
        </w:tc>
        <w:tc>
          <w:tcPr>
            <w:tcW w:type="dxa" w:w="5443"/>
            <w:shd w:fill="D9E2F3" w:color="auto" w:val="clear"/>
            <w:tcMar>
              <w:top w:type="dxa" w:w="70"/>
              <w:left w:type="dxa" w:w="110"/>
              <w:bottom w:type="dxa" w:w="70"/>
              <w:right w:type="dxa" w:w="110"/>
            </w:tcMar>
          </w:tcPr>
          <w:p>
            <w:pPr>
              <w:spacing w:after="0" w:line="250"/>
            </w:pPr>
            <w:r>
              <w:rPr>
                <w:b/>
                <w:bCs/>
                <w:sz w:val="18"/>
                <w:szCs w:val="18"/>
              </w:rPr>
              <w:t xml:space="preserve">Mitigation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No ground truth yet, so graph quality cannot be measured</w:t>
            </w:r>
          </w:p>
        </w:tc>
        <w:tc>
          <w:tcPr>
            <w:tcW w:type="dxa" w:w="5443"/>
            <w:tcMar>
              <w:top w:type="dxa" w:w="70"/>
              <w:left w:type="dxa" w:w="110"/>
              <w:bottom w:type="dxa" w:w="70"/>
              <w:right w:type="dxa" w:w="110"/>
            </w:tcMar>
          </w:tcPr>
          <w:p>
            <w:pPr>
              <w:spacing w:after="0" w:line="250"/>
            </w:pPr>
            <w:r>
              <w:rPr>
                <w:b w:val="false"/>
                <w:bCs w:val="false"/>
                <w:sz w:val="18"/>
                <w:szCs w:val="18"/>
              </w:rPr>
              <w:t xml:space="preserve">Addressed directly by the P1 gold set; this is the most important gap in the workstream</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Upstream OCR noise becomes spurious keywords and weaker embeddings</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Down-weight notes carrying low OCR confidence when scoring edges — the field Member 1 already records for this purpose</w:t>
            </w:r>
          </w:p>
        </w:tc>
      </w:tr>
      <w:tr>
        <w:tc>
          <w:tcPr>
            <w:tcW w:type="dxa" w:w="3629"/>
            <w:tcMar>
              <w:top w:type="dxa" w:w="70"/>
              <w:left w:type="dxa" w:w="110"/>
              <w:bottom w:type="dxa" w:w="70"/>
              <w:right w:type="dxa" w:w="110"/>
            </w:tcMar>
          </w:tcPr>
          <w:p>
            <w:pPr>
              <w:spacing w:after="0" w:line="250"/>
            </w:pPr>
            <w:r>
              <w:rPr>
                <w:b w:val="false"/>
                <w:bCs w:val="false"/>
                <w:sz w:val="18"/>
                <w:szCs w:val="18"/>
              </w:rPr>
              <w:t xml:space="preserve">Small-corpus instability: both TF-IDF and community detection behave poorly with very few notes</w:t>
            </w:r>
          </w:p>
        </w:tc>
        <w:tc>
          <w:tcPr>
            <w:tcW w:type="dxa" w:w="5443"/>
            <w:tcMar>
              <w:top w:type="dxa" w:w="70"/>
              <w:left w:type="dxa" w:w="110"/>
              <w:bottom w:type="dxa" w:w="70"/>
              <w:right w:type="dxa" w:w="110"/>
            </w:tcMar>
          </w:tcPr>
          <w:p>
            <w:pPr>
              <w:spacing w:after="0" w:line="250"/>
            </w:pPr>
            <w:r>
              <w:rPr>
                <w:b w:val="false"/>
                <w:bCs w:val="false"/>
                <w:sz w:val="18"/>
                <w:szCs w:val="18"/>
              </w:rPr>
              <w:t xml:space="preserve">Single-document keyword extraction as a fallback; skip community detection below a minimum node count</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Cold start for the confidence model: few corrections means overfitting</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Hand-set initial coefficients equivalent to the hybrid score, with regularisation, until enough labels exist</w:t>
            </w:r>
          </w:p>
        </w:tc>
      </w:tr>
      <w:tr>
        <w:tc>
          <w:tcPr>
            <w:tcW w:type="dxa" w:w="3629"/>
            <w:tcMar>
              <w:top w:type="dxa" w:w="70"/>
              <w:left w:type="dxa" w:w="110"/>
              <w:bottom w:type="dxa" w:w="70"/>
              <w:right w:type="dxa" w:w="110"/>
            </w:tcMar>
          </w:tcPr>
          <w:p>
            <w:pPr>
              <w:spacing w:after="0" w:line="250"/>
            </w:pPr>
            <w:r>
              <w:rPr>
                <w:b w:val="false"/>
                <w:bCs w:val="false"/>
                <w:sz w:val="18"/>
                <w:szCs w:val="18"/>
              </w:rPr>
              <w:t xml:space="preserve">Students may correct edges wrongly</w:t>
            </w:r>
          </w:p>
        </w:tc>
        <w:tc>
          <w:tcPr>
            <w:tcW w:type="dxa" w:w="5443"/>
            <w:tcMar>
              <w:top w:type="dxa" w:w="70"/>
              <w:left w:type="dxa" w:w="110"/>
              <w:bottom w:type="dxa" w:w="70"/>
              <w:right w:type="dxa" w:w="110"/>
            </w:tcMar>
          </w:tcPr>
          <w:p>
            <w:pPr>
              <w:spacing w:after="0" w:line="250"/>
            </w:pPr>
            <w:r>
              <w:rPr>
                <w:b w:val="false"/>
                <w:bCs w:val="false"/>
                <w:sz w:val="18"/>
                <w:szCs w:val="18"/>
              </w:rPr>
              <w:t xml:space="preserve">Weight instructor corrections more heavily; keep an audit log so corrections can be reviewed</w:t>
            </w:r>
          </w:p>
        </w:tc>
      </w:tr>
    </w:tbl>
    <w:p>
      <w:r>
        <w:br w:type="page"/>
      </w:r>
    </w:p>
    <w:p>
      <w:pPr>
        <w:pStyle w:val="Heading2"/>
        <w:spacing w:after="120" w:before="250"/>
      </w:pPr>
      <w:r>
        <w:rPr>
          <w:b/>
          <w:bCs/>
          <w:color w:val="1F3864"/>
          <w:sz w:val="24"/>
          <w:szCs w:val="24"/>
        </w:rPr>
        <w:t xml:space="preserve">6.3 Member 3 — Test Generation and Feedback</w:t>
      </w:r>
    </w:p>
    <w:p>
      <w:pPr>
        <w:spacing w:after="130" w:line="276"/>
      </w:pPr>
      <w:r>
        <w:rPr>
          <w:sz w:val="21"/>
          <w:szCs w:val="21"/>
        </w:rPr>
        <w:t xml:space="preserve">This module takes notes collected by Member 1 and linked by Member 2 and produces grounded multiple-choice and theory tests, plus a deterministic ranked feedback report. Unlike the other three workstreams it is not a proposal: it is implemented and verified end to end by automated API and browser tests, for all-MCQ, all-theory and mixed tests alike.</w:t>
      </w:r>
    </w:p>
    <w:p>
      <w:pPr>
        <w:spacing w:after="130" w:line="276"/>
      </w:pPr>
      <w:r>
        <w:rPr>
          <w:b/>
          <w:bCs/>
          <w:sz w:val="21"/>
          <w:szCs w:val="21"/>
        </w:rPr>
        <w:t xml:space="preserve">Feasibility. </w:t>
      </w:r>
      <w:r>
        <w:rPr>
          <w:b w:val="false"/>
          <w:bCs w:val="false"/>
          <w:sz w:val="21"/>
          <w:szCs w:val="21"/>
        </w:rPr>
        <w:t xml:space="preserve">The module runs on the existing Node.js server with no GPU, no training step and no vector database. Its only metered dependency is the LLM, and that dependency is bounded by design — every call path has a deterministic or template fallback, verified by running the entire flow with no API key configured at all. Availability therefore does not depend on the LLM provider's uptime, which matters for a system four members and eventually real students rely on.</w:t>
      </w:r>
    </w:p>
    <w:p>
      <w:pPr>
        <w:spacing w:after="130" w:line="276"/>
      </w:pPr>
      <w:r>
        <w:rPr>
          <w:b/>
          <w:bCs/>
          <w:sz w:val="21"/>
          <w:szCs w:val="21"/>
        </w:rPr>
        <w:t xml:space="preserve">Named heuristics. </w:t>
      </w:r>
      <w:r>
        <w:rPr>
          <w:b w:val="false"/>
          <w:bCs w:val="false"/>
          <w:sz w:val="21"/>
          <w:szCs w:val="21"/>
        </w:rPr>
        <w:t xml:space="preserve">Two choices are original rather than reproductions of a published method, and the individual report states this plainly rather than forcing a citation that does not exist. The hallucination gate's verbatim-substring test is a deliberately strict, purely lexical special case of the broader grounding and verification family — cheaper and fully deterministic, but brittle to paraphrase in a way a semantic checker would not be. The 0.7 and 0.3 weights in the attention score are hand-tuned; response time is known from the psychometrics literature to carry diagnostic signal, but no published source uses this specific linear weighting.</w:t>
      </w:r>
    </w:p>
    <w:p>
      <w:pPr>
        <w:spacing w:after="130" w:line="276"/>
      </w:pPr>
      <w:r>
        <w:rPr>
          <w:b/>
          <w:bCs/>
          <w:sz w:val="21"/>
          <w:szCs w:val="21"/>
        </w:rPr>
        <w:t xml:space="preserve">Adaptive delivery is deliberately the simple end. </w:t>
      </w:r>
      <w:r>
        <w:rPr>
          <w:b w:val="false"/>
          <w:bCs w:val="false"/>
          <w:sz w:val="21"/>
          <w:szCs w:val="21"/>
        </w:rPr>
        <w:t xml:space="preserve">A one-up-one-down staircase over three heuristically assigned tiers is not calibrated Item Response Theory. Real adaptive testing needs item difficulty and discrimination parameters estimated from logged response data the project does not yet have, and estimated parameters would be no more trustworthy than the heuristic tiers already in place. The stepping logic does not change when calibrated difficulties eventually replace the tiers.</w:t>
      </w:r>
    </w:p>
    <w:p>
      <w:pPr>
        <w:pStyle w:val="Heading3"/>
        <w:spacing w:after="100" w:before="200"/>
      </w:pPr>
      <w:r>
        <w:rPr>
          <w:b/>
          <w:bCs/>
          <w:sz w:val="22"/>
          <w:szCs w:val="22"/>
        </w:rPr>
        <w:t xml:space="preserve">Recommendations</w:t>
      </w:r>
    </w:p>
    <w:p>
      <w:pPr>
        <w:pStyle w:val="ListParagraph"/>
        <w:numPr>
          <w:ilvl w:val="0"/>
          <w:numId w:val="2"/>
        </w:numPr>
        <w:spacing w:after="90" w:line="276"/>
      </w:pPr>
      <w:r>
        <w:rPr>
          <w:b/>
          <w:bCs/>
          <w:sz w:val="21"/>
          <w:szCs w:val="21"/>
        </w:rPr>
        <w:t xml:space="preserve">P1 — </w:t>
      </w:r>
      <w:r>
        <w:rPr>
          <w:b w:val="false"/>
          <w:bCs w:val="false"/>
          <w:sz w:val="21"/>
          <w:szCs w:val="21"/>
        </w:rPr>
        <w:t xml:space="preserve">Extend the hallucination gate to distractors, rejecting any distractor that is itself a verbatim excerpt found elsewhere in the notes and would therefore be arguably correct.</w:t>
      </w:r>
    </w:p>
    <w:p>
      <w:pPr>
        <w:pStyle w:val="ListParagraph"/>
        <w:numPr>
          <w:ilvl w:val="0"/>
          <w:numId w:val="2"/>
        </w:numPr>
        <w:spacing w:after="90" w:line="276"/>
      </w:pPr>
      <w:r>
        <w:rPr>
          <w:b/>
          <w:bCs/>
          <w:sz w:val="21"/>
          <w:szCs w:val="21"/>
        </w:rPr>
        <w:t xml:space="preserve">P1 — </w:t>
      </w:r>
      <w:r>
        <w:rPr>
          <w:b w:val="false"/>
          <w:bCs w:val="false"/>
          <w:sz w:val="21"/>
          <w:szCs w:val="21"/>
        </w:rPr>
        <w:t xml:space="preserve">Tighten the theory-grading prompt to penalise missing key points explicitly, targeting the leniency bias documented in LLM graders.</w:t>
      </w:r>
    </w:p>
    <w:p>
      <w:pPr>
        <w:pStyle w:val="ListParagraph"/>
        <w:numPr>
          <w:ilvl w:val="0"/>
          <w:numId w:val="2"/>
        </w:numPr>
        <w:spacing w:after="90" w:line="276"/>
      </w:pPr>
      <w:r>
        <w:rPr>
          <w:b/>
          <w:bCs/>
          <w:sz w:val="21"/>
          <w:szCs w:val="21"/>
        </w:rPr>
        <w:t xml:space="preserve">P1 — </w:t>
      </w:r>
      <w:r>
        <w:rPr>
          <w:b w:val="false"/>
          <w:bCs w:val="false"/>
          <w:sz w:val="21"/>
          <w:szCs w:val="21"/>
        </w:rPr>
        <w:t xml:space="preserve">Replace the fallback generator's keyword step with a graph-based extractor that captures co-occurrence structure bag-of-words weighting misses — a pure-JavaScript change with no new infrastructure.</w:t>
      </w:r>
    </w:p>
    <w:p>
      <w:pPr>
        <w:pStyle w:val="ListParagraph"/>
        <w:numPr>
          <w:ilvl w:val="0"/>
          <w:numId w:val="2"/>
        </w:numPr>
        <w:spacing w:after="90" w:line="276"/>
      </w:pPr>
      <w:r>
        <w:rPr>
          <w:b/>
          <w:bCs/>
          <w:sz w:val="21"/>
          <w:szCs w:val="21"/>
        </w:rPr>
        <w:t xml:space="preserve">P1 — </w:t>
      </w:r>
      <w:r>
        <w:rPr>
          <w:b w:val="false"/>
          <w:bCs w:val="false"/>
          <w:sz w:val="21"/>
          <w:szCs w:val="21"/>
        </w:rPr>
        <w:t xml:space="preserve">Enforce the test duration with a countdown in the attempt screen; the field is stored and displayed but not currently enforced.</w:t>
      </w:r>
    </w:p>
    <w:p>
      <w:pPr>
        <w:pStyle w:val="ListParagraph"/>
        <w:numPr>
          <w:ilvl w:val="0"/>
          <w:numId w:val="2"/>
        </w:numPr>
        <w:spacing w:after="90" w:line="276"/>
      </w:pPr>
      <w:r>
        <w:rPr>
          <w:b/>
          <w:bCs/>
          <w:sz w:val="21"/>
          <w:szCs w:val="21"/>
        </w:rPr>
        <w:t xml:space="preserve">P2 — </w:t>
      </w:r>
      <w:r>
        <w:rPr>
          <w:b w:val="false"/>
          <w:bCs w:val="false"/>
          <w:sz w:val="21"/>
          <w:szCs w:val="21"/>
        </w:rPr>
        <w:t xml:space="preserve">Implement Bayesian Knowledge Tracing per topic. This is the single highest-value recommendation in the whole project: it needs no GPU and no training pipeline, it directly extends the per-topic scoring that already exists, and it turns the feedback engine from a one-shot snapshot into a model of learning across attempts.</w:t>
      </w:r>
    </w:p>
    <w:p>
      <w:pPr>
        <w:pStyle w:val="ListParagraph"/>
        <w:numPr>
          <w:ilvl w:val="0"/>
          <w:numId w:val="2"/>
        </w:numPr>
        <w:spacing w:after="90" w:line="276"/>
      </w:pPr>
      <w:r>
        <w:rPr>
          <w:b/>
          <w:bCs/>
          <w:sz w:val="21"/>
          <w:szCs w:val="21"/>
        </w:rPr>
        <w:t xml:space="preserve">P2 — </w:t>
      </w:r>
      <w:r>
        <w:rPr>
          <w:b w:val="false"/>
          <w:bCs w:val="false"/>
          <w:sz w:val="21"/>
          <w:szCs w:val="21"/>
        </w:rPr>
        <w:t xml:space="preserve">Relax the hallucination gate's exact-substring match to a fuzzy or embedding-similarity threshold, trading some strictness for tolerance of faithful paraphrase.</w:t>
      </w:r>
    </w:p>
    <w:p>
      <w:pPr>
        <w:pStyle w:val="ListParagraph"/>
        <w:numPr>
          <w:ilvl w:val="0"/>
          <w:numId w:val="2"/>
        </w:numPr>
        <w:spacing w:after="90" w:line="276"/>
      </w:pPr>
      <w:r>
        <w:rPr>
          <w:b/>
          <w:bCs/>
          <w:sz w:val="21"/>
          <w:szCs w:val="21"/>
        </w:rPr>
        <w:t xml:space="preserve">P3 — </w:t>
      </w:r>
      <w:r>
        <w:rPr>
          <w:b w:val="false"/>
          <w:bCs w:val="false"/>
          <w:sz w:val="21"/>
          <w:szCs w:val="21"/>
        </w:rPr>
        <w:t xml:space="preserve">Move from heuristic difficulty tiers to calibrated one-parameter item difficulties once enough real response data exists to fit them.</w:t>
      </w:r>
    </w:p>
    <w:p>
      <w:pPr>
        <w:pStyle w:val="Heading3"/>
        <w:spacing w:after="100" w:before="200"/>
      </w:pPr>
      <w:r>
        <w:rPr>
          <w:b/>
          <w:bCs/>
          <w:sz w:val="22"/>
          <w:szCs w:val="22"/>
        </w:rPr>
        <w:t xml:space="preserve">Key risks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5443"/>
      </w:tblGrid>
      <w:tr>
        <w:trPr>
          <w:tblHeader/>
        </w:trPr>
        <w:tc>
          <w:tcPr>
            <w:tcW w:type="dxa" w:w="3629"/>
            <w:shd w:fill="D9E2F3" w:color="auto" w:val="clear"/>
            <w:tcMar>
              <w:top w:type="dxa" w:w="70"/>
              <w:left w:type="dxa" w:w="110"/>
              <w:bottom w:type="dxa" w:w="70"/>
              <w:right w:type="dxa" w:w="110"/>
            </w:tcMar>
          </w:tcPr>
          <w:p>
            <w:pPr>
              <w:spacing w:after="0" w:line="250"/>
            </w:pPr>
            <w:r>
              <w:rPr>
                <w:b/>
                <w:bCs/>
                <w:sz w:val="18"/>
                <w:szCs w:val="18"/>
              </w:rPr>
              <w:t xml:space="preserve">Risk</w:t>
            </w:r>
          </w:p>
        </w:tc>
        <w:tc>
          <w:tcPr>
            <w:tcW w:type="dxa" w:w="5443"/>
            <w:shd w:fill="D9E2F3" w:color="auto" w:val="clear"/>
            <w:tcMar>
              <w:top w:type="dxa" w:w="70"/>
              <w:left w:type="dxa" w:w="110"/>
              <w:bottom w:type="dxa" w:w="70"/>
              <w:right w:type="dxa" w:w="110"/>
            </w:tcMar>
          </w:tcPr>
          <w:p>
            <w:pPr>
              <w:spacing w:after="0" w:line="250"/>
            </w:pPr>
            <w:r>
              <w:rPr>
                <w:b/>
                <w:bCs/>
                <w:sz w:val="18"/>
                <w:szCs w:val="18"/>
              </w:rPr>
              <w:t xml:space="preserve">Mitigation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The gate's exact-substring check rejects a faithful paraphrase as readily as a fabrication</w:t>
            </w:r>
          </w:p>
        </w:tc>
        <w:tc>
          <w:tcPr>
            <w:tcW w:type="dxa" w:w="5443"/>
            <w:tcMar>
              <w:top w:type="dxa" w:w="70"/>
              <w:left w:type="dxa" w:w="110"/>
              <w:bottom w:type="dxa" w:w="70"/>
              <w:right w:type="dxa" w:w="110"/>
            </w:tcMar>
          </w:tcPr>
          <w:p>
            <w:pPr>
              <w:spacing w:after="0" w:line="250"/>
            </w:pPr>
            <w:r>
              <w:rPr>
                <w:b w:val="false"/>
                <w:bCs w:val="false"/>
                <w:sz w:val="18"/>
                <w:szCs w:val="18"/>
              </w:rPr>
              <w:t xml:space="preserve">An explicit trade-off of recall for auditability and determinism; the P2 item relaxes it toward semantic matching</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LLM graders are documented as lenient, and neither grading path has been validated against real student answers</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P1 prompt tightening; validation against human-graded answers planned before any summative use</w:t>
            </w:r>
          </w:p>
        </w:tc>
      </w:tr>
      <w:tr>
        <w:tc>
          <w:tcPr>
            <w:tcW w:type="dxa" w:w="3629"/>
            <w:tcMar>
              <w:top w:type="dxa" w:w="70"/>
              <w:left w:type="dxa" w:w="110"/>
              <w:bottom w:type="dxa" w:w="70"/>
              <w:right w:type="dxa" w:w="110"/>
            </w:tcMar>
          </w:tcPr>
          <w:p>
            <w:pPr>
              <w:spacing w:after="0" w:line="250"/>
            </w:pPr>
            <w:r>
              <w:rPr>
                <w:b w:val="false"/>
                <w:bCs w:val="false"/>
                <w:sz w:val="18"/>
                <w:szCs w:val="18"/>
              </w:rPr>
              <w:t xml:space="preserve">The gate design and the attention-score weights are internally consistent heuristics, not empirically validated</w:t>
            </w:r>
          </w:p>
        </w:tc>
        <w:tc>
          <w:tcPr>
            <w:tcW w:type="dxa" w:w="5443"/>
            <w:tcMar>
              <w:top w:type="dxa" w:w="70"/>
              <w:left w:type="dxa" w:w="110"/>
              <w:bottom w:type="dxa" w:w="70"/>
              <w:right w:type="dxa" w:w="110"/>
            </w:tcMar>
          </w:tcPr>
          <w:p>
            <w:pPr>
              <w:spacing w:after="0" w:line="250"/>
            </w:pPr>
            <w:r>
              <w:rPr>
                <w:b w:val="false"/>
                <w:bCs w:val="false"/>
                <w:sz w:val="18"/>
                <w:szCs w:val="18"/>
              </w:rPr>
              <w:t xml:space="preserve">Named explicitly as original rather than presented as settled; both are candidates for tuning against outcome data</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The staircase does not guarantee topic or question-type balance while it adapts, and a small note corpus can leave a tier thin</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Documented limitation; the nearest-tier fallback prevents repeats or early termination; P3 moves toward calibration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Generation, grading and phrasing all depend on one hosted LLM API</w:t>
            </w:r>
          </w:p>
        </w:tc>
        <w:tc>
          <w:tcPr>
            <w:tcW w:type="dxa" w:w="5443"/>
            <w:tcMar>
              <w:top w:type="dxa" w:w="70"/>
              <w:left w:type="dxa" w:w="110"/>
              <w:bottom w:type="dxa" w:w="70"/>
              <w:right w:type="dxa" w:w="110"/>
            </w:tcMar>
          </w:tcPr>
          <w:p>
            <w:pPr>
              <w:spacing w:after="0" w:line="250"/>
            </w:pPr>
            <w:r>
              <w:rPr>
                <w:b w:val="false"/>
                <w:bCs w:val="false"/>
                <w:sz w:val="18"/>
                <w:szCs w:val="18"/>
              </w:rPr>
              <w:t xml:space="preserve">Every path has a deterministic or template fallback, verified by running the full flow, mixed tests included, with no key configured</w:t>
            </w:r>
          </w:p>
        </w:tc>
      </w:tr>
    </w:tbl>
    <w:p>
      <w:r>
        <w:br w:type="page"/>
      </w:r>
    </w:p>
    <w:p>
      <w:pPr>
        <w:pStyle w:val="Heading2"/>
        <w:spacing w:after="120" w:before="250"/>
      </w:pPr>
      <w:r>
        <w:rPr>
          <w:b/>
          <w:bCs/>
          <w:color w:val="1F3864"/>
          <w:sz w:val="24"/>
          <w:szCs w:val="24"/>
        </w:rPr>
        <w:t xml:space="preserve">6.4 Member 4 — Containerization and Cloud Deployment</w:t>
      </w:r>
    </w:p>
    <w:p>
      <w:pPr>
        <w:spacing w:after="130" w:line="276"/>
      </w:pPr>
      <w:r>
        <w:rPr>
          <w:sz w:val="21"/>
          <w:szCs w:val="21"/>
        </w:rPr>
        <w:t xml:space="preserve">Where the other three workstreams turn notes into a graph, a test and a feedback report, this one turns that code into something that actually runs: a reproducible local environment, a tested and scanned build for every push, and a live deployment a panel can open in a browser on demo day. It owns four repository artifacts — a multi-stage Dockerfile for the API, a static-build Dockerfile for the client, a compose file giving every member a real local MongoDB in place of the in-memory development store, and a CI workflow — plus the hosting configuration and the environment-variable contract every other service depends on.</w:t>
      </w:r>
    </w:p>
    <w:p>
      <w:pPr>
        <w:spacing w:after="130" w:line="276"/>
      </w:pPr>
      <w:r>
        <w:rPr>
          <w:b/>
          <w:bCs/>
          <w:sz w:val="21"/>
          <w:szCs w:val="21"/>
        </w:rPr>
        <w:t xml:space="preserve">Feasibility. </w:t>
      </w:r>
      <w:r>
        <w:rPr>
          <w:b w:val="false"/>
          <w:bCs w:val="false"/>
          <w:sz w:val="21"/>
          <w:szCs w:val="21"/>
        </w:rPr>
        <w:t xml:space="preserve">No component here carries meaningful implementation risk. Every tool involved is mature and industry-standard, and the work is integration and configuration discipline rather than research. The entire workstream runs on free tiers with nothing metered per request; the only spending risk is outgrowing a capacity cap. The real risk is not a tool failing but drift between four members' local environments and the one that ships, which the compose stack and CI close by making the containerised environment the one everyone runs.</w:t>
      </w:r>
    </w:p>
    <w:p>
      <w:pPr>
        <w:spacing w:after="130" w:line="276"/>
      </w:pPr>
      <w:r>
        <w:rPr>
          <w:b/>
          <w:bCs/>
          <w:sz w:val="21"/>
          <w:szCs w:val="21"/>
        </w:rPr>
        <w:t xml:space="preserve">It is also the most parallelisable workstream. </w:t>
      </w:r>
      <w:r>
        <w:rPr>
          <w:b w:val="false"/>
          <w:bCs w:val="false"/>
          <w:sz w:val="21"/>
          <w:szCs w:val="21"/>
        </w:rPr>
        <w:t xml:space="preserve">A Dockerfile and CI pipeline can be built against stub services on day one rather than waiting for any feature to finish, which is what makes it the highest-leverage work to start immediately: every other member benefits from a working stack and a green pipeline from the start instead of improvising a local setup and discovering integration problems late.</w:t>
      </w:r>
    </w:p>
    <w:p>
      <w:pPr>
        <w:spacing w:after="130" w:line="276"/>
      </w:pPr>
      <w:r>
        <w:rPr>
          <w:b/>
          <w:bCs/>
          <w:sz w:val="21"/>
          <w:szCs w:val="21"/>
        </w:rPr>
        <w:t xml:space="preserve">Named judgement calls. </w:t>
      </w:r>
      <w:r>
        <w:rPr>
          <w:b w:val="false"/>
          <w:bCs w:val="false"/>
          <w:sz w:val="21"/>
          <w:szCs w:val="21"/>
        </w:rPr>
        <w:t xml:space="preserve">The Docker layer ordering used to maximise build-cache hits, and the severity threshold at which CI fails a build on a dependency or secret finding, are engineering judgement rather than settled fact. Both are configuration choices, not algorithmic ones, and both are cheap to tune once the pipeline runs.</w:t>
      </w:r>
    </w:p>
    <w:p>
      <w:pPr>
        <w:pStyle w:val="Heading3"/>
        <w:spacing w:after="100" w:before="200"/>
      </w:pPr>
      <w:r>
        <w:rPr>
          <w:b/>
          <w:bCs/>
          <w:sz w:val="22"/>
          <w:szCs w:val="22"/>
        </w:rPr>
        <w:t xml:space="preserve">Recommendations</w:t>
      </w:r>
    </w:p>
    <w:p>
      <w:pPr>
        <w:pStyle w:val="ListParagraph"/>
        <w:numPr>
          <w:ilvl w:val="0"/>
          <w:numId w:val="2"/>
        </w:numPr>
        <w:spacing w:after="90" w:line="276"/>
      </w:pPr>
      <w:r>
        <w:rPr>
          <w:b/>
          <w:bCs/>
          <w:sz w:val="21"/>
          <w:szCs w:val="21"/>
        </w:rPr>
        <w:t xml:space="preserve">P1 — </w:t>
      </w:r>
      <w:r>
        <w:rPr>
          <w:b w:val="false"/>
          <w:bCs w:val="false"/>
          <w:sz w:val="21"/>
          <w:szCs w:val="21"/>
        </w:rPr>
        <w:t xml:space="preserve">Stand up the compose stack and a minimal CI workflow before any service is feature-complete, since every other workstream builds against it.</w:t>
      </w:r>
    </w:p>
    <w:p>
      <w:pPr>
        <w:pStyle w:val="ListParagraph"/>
        <w:numPr>
          <w:ilvl w:val="0"/>
          <w:numId w:val="2"/>
        </w:numPr>
        <w:spacing w:after="90" w:line="276"/>
      </w:pPr>
      <w:r>
        <w:rPr>
          <w:b/>
          <w:bCs/>
          <w:sz w:val="21"/>
          <w:szCs w:val="21"/>
        </w:rPr>
        <w:t xml:space="preserve">P1 — </w:t>
      </w:r>
      <w:r>
        <w:rPr>
          <w:b w:val="false"/>
          <w:bCs w:val="false"/>
          <w:sz w:val="21"/>
          <w:szCs w:val="21"/>
        </w:rPr>
        <w:t xml:space="preserve">Keep the environment-variable example file current and add "did this change add a variable, and is the example updated" to the pull-request checklist, before variables accumulate across three members' code.</w:t>
      </w:r>
    </w:p>
    <w:p>
      <w:pPr>
        <w:pStyle w:val="ListParagraph"/>
        <w:numPr>
          <w:ilvl w:val="0"/>
          <w:numId w:val="2"/>
        </w:numPr>
        <w:spacing w:after="90" w:line="276"/>
      </w:pPr>
      <w:r>
        <w:rPr>
          <w:b/>
          <w:bCs/>
          <w:sz w:val="21"/>
          <w:szCs w:val="21"/>
        </w:rPr>
        <w:t xml:space="preserve">P1 — </w:t>
      </w:r>
      <w:r>
        <w:rPr>
          <w:b w:val="false"/>
          <w:bCs w:val="false"/>
          <w:sz w:val="21"/>
          <w:szCs w:val="21"/>
        </w:rPr>
        <w:t xml:space="preserve">Turn on dependency auditing and secret scanning as required checks as soon as the pipeline exists, not retroactively.</w:t>
      </w:r>
    </w:p>
    <w:p>
      <w:pPr>
        <w:pStyle w:val="ListParagraph"/>
        <w:numPr>
          <w:ilvl w:val="0"/>
          <w:numId w:val="2"/>
        </w:numPr>
        <w:spacing w:after="90" w:line="276"/>
      </w:pPr>
      <w:r>
        <w:rPr>
          <w:b/>
          <w:bCs/>
          <w:sz w:val="21"/>
          <w:szCs w:val="21"/>
        </w:rPr>
        <w:t xml:space="preserve">P2 — </w:t>
      </w:r>
      <w:r>
        <w:rPr>
          <w:b w:val="false"/>
          <w:bCs w:val="false"/>
          <w:sz w:val="21"/>
          <w:szCs w:val="21"/>
        </w:rPr>
        <w:t xml:space="preserve">Finish both Dockerfiles as multi-stage builds once layer-caching decisions stop changing week to week, and add the Python service images defined in Section 3.2.</w:t>
      </w:r>
    </w:p>
    <w:p>
      <w:pPr>
        <w:pStyle w:val="ListParagraph"/>
        <w:numPr>
          <w:ilvl w:val="0"/>
          <w:numId w:val="2"/>
        </w:numPr>
        <w:spacing w:after="90" w:line="276"/>
      </w:pPr>
      <w:r>
        <w:rPr>
          <w:b/>
          <w:bCs/>
          <w:sz w:val="21"/>
          <w:szCs w:val="21"/>
        </w:rPr>
        <w:t xml:space="preserve">P2 — </w:t>
      </w:r>
      <w:r>
        <w:rPr>
          <w:b w:val="false"/>
          <w:bCs w:val="false"/>
          <w:sz w:val="21"/>
          <w:szCs w:val="21"/>
        </w:rPr>
        <w:t xml:space="preserve">Stand up staging on the chosen hosts and confirm an end-to-end deploy from a merge, including secrets pulled correctly from the host's secret manager.</w:t>
      </w:r>
    </w:p>
    <w:p>
      <w:pPr>
        <w:pStyle w:val="ListParagraph"/>
        <w:numPr>
          <w:ilvl w:val="0"/>
          <w:numId w:val="2"/>
        </w:numPr>
        <w:spacing w:after="90" w:line="276"/>
      </w:pPr>
      <w:r>
        <w:rPr>
          <w:b/>
          <w:bCs/>
          <w:sz w:val="21"/>
          <w:szCs w:val="21"/>
        </w:rPr>
        <w:t xml:space="preserve">P3 — </w:t>
      </w:r>
      <w:r>
        <w:rPr>
          <w:b w:val="false"/>
          <w:bCs w:val="false"/>
          <w:sz w:val="21"/>
          <w:szCs w:val="21"/>
        </w:rPr>
        <w:t xml:space="preserve">Add container image scanning to close the operating-system package blind spot that dependency auditing cannot see, and a CI check that fails when code references an undocumented variable.</w:t>
      </w:r>
    </w:p>
    <w:p>
      <w:pPr>
        <w:pStyle w:val="Heading3"/>
        <w:spacing w:after="100" w:before="200"/>
      </w:pPr>
      <w:r>
        <w:rPr>
          <w:b/>
          <w:bCs/>
          <w:sz w:val="22"/>
          <w:szCs w:val="22"/>
        </w:rPr>
        <w:t xml:space="preserve">Key risks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29"/>
        <w:gridCol w:w="5443"/>
      </w:tblGrid>
      <w:tr>
        <w:trPr>
          <w:tblHeader/>
        </w:trPr>
        <w:tc>
          <w:tcPr>
            <w:tcW w:type="dxa" w:w="3629"/>
            <w:shd w:fill="D9E2F3" w:color="auto" w:val="clear"/>
            <w:tcMar>
              <w:top w:type="dxa" w:w="70"/>
              <w:left w:type="dxa" w:w="110"/>
              <w:bottom w:type="dxa" w:w="70"/>
              <w:right w:type="dxa" w:w="110"/>
            </w:tcMar>
          </w:tcPr>
          <w:p>
            <w:pPr>
              <w:spacing w:after="0" w:line="250"/>
            </w:pPr>
            <w:r>
              <w:rPr>
                <w:b/>
                <w:bCs/>
                <w:sz w:val="18"/>
                <w:szCs w:val="18"/>
              </w:rPr>
              <w:t xml:space="preserve">Risk</w:t>
            </w:r>
          </w:p>
        </w:tc>
        <w:tc>
          <w:tcPr>
            <w:tcW w:type="dxa" w:w="5443"/>
            <w:shd w:fill="D9E2F3" w:color="auto" w:val="clear"/>
            <w:tcMar>
              <w:top w:type="dxa" w:w="70"/>
              <w:left w:type="dxa" w:w="110"/>
              <w:bottom w:type="dxa" w:w="70"/>
              <w:right w:type="dxa" w:w="110"/>
            </w:tcMar>
          </w:tcPr>
          <w:p>
            <w:pPr>
              <w:spacing w:after="0" w:line="250"/>
            </w:pPr>
            <w:r>
              <w:rPr>
                <w:b/>
                <w:bCs/>
                <w:sz w:val="18"/>
                <w:szCs w:val="18"/>
              </w:rPr>
              <w:t xml:space="preserve">Mitigation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Free-tier cold starts: an idle container can take up to a minute to wake, which reads as broken rather than asleep during a live demonstration</w:t>
            </w:r>
          </w:p>
        </w:tc>
        <w:tc>
          <w:tcPr>
            <w:tcW w:type="dxa" w:w="5443"/>
            <w:tcMar>
              <w:top w:type="dxa" w:w="70"/>
              <w:left w:type="dxa" w:w="110"/>
              <w:bottom w:type="dxa" w:w="70"/>
              <w:right w:type="dxa" w:w="110"/>
            </w:tcMar>
          </w:tcPr>
          <w:p>
            <w:pPr>
              <w:spacing w:after="0" w:line="250"/>
            </w:pPr>
            <w:r>
              <w:rPr>
                <w:b w:val="false"/>
                <w:bCs w:val="false"/>
                <w:sz w:val="18"/>
                <w:szCs w:val="18"/>
              </w:rPr>
              <w:t xml:space="preserve">A scheduled health-check ping keeps the environment warm around the evaluation window; budget for one paid month around the demonstration if the risk is unacceptable</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Environment-variable drift across four contributors working in parallel</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Pull-request checklist item now, and a CI check that fails on an undocumented variable later</w:t>
            </w:r>
          </w:p>
        </w:tc>
      </w:tr>
      <w:tr>
        <w:tc>
          <w:tcPr>
            <w:tcW w:type="dxa" w:w="3629"/>
            <w:tcMar>
              <w:top w:type="dxa" w:w="70"/>
              <w:left w:type="dxa" w:w="110"/>
              <w:bottom w:type="dxa" w:w="70"/>
              <w:right w:type="dxa" w:w="110"/>
            </w:tcMar>
          </w:tcPr>
          <w:p>
            <w:pPr>
              <w:spacing w:after="0" w:line="250"/>
            </w:pPr>
            <w:r>
              <w:rPr>
                <w:b w:val="false"/>
                <w:bCs w:val="false"/>
                <w:sz w:val="18"/>
                <w:szCs w:val="18"/>
              </w:rPr>
              <w:t xml:space="preserve">Secret scanning is a backstop, not a guarantee</w:t>
            </w:r>
          </w:p>
        </w:tc>
        <w:tc>
          <w:tcPr>
            <w:tcW w:type="dxa" w:w="5443"/>
            <w:tcMar>
              <w:top w:type="dxa" w:w="70"/>
              <w:left w:type="dxa" w:w="110"/>
              <w:bottom w:type="dxa" w:w="70"/>
              <w:right w:type="dxa" w:w="110"/>
            </w:tcMar>
          </w:tcPr>
          <w:p>
            <w:pPr>
              <w:spacing w:after="0" w:line="250"/>
            </w:pPr>
            <w:r>
              <w:rPr>
                <w:b w:val="false"/>
                <w:bCs w:val="false"/>
                <w:sz w:val="18"/>
                <w:szCs w:val="18"/>
              </w:rPr>
              <w:t xml:space="preserve">Ignoring environment files remains the first line of defence; any leaked credential is rotated immediately and purged from history, not merely deleted in a later commit</w:t>
            </w:r>
          </w:p>
        </w:tc>
      </w:tr>
      <w:tr>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Single point of failure: every member's ability to demonstrate depends on this pipeline</w:t>
            </w:r>
          </w:p>
        </w:tc>
        <w:tc>
          <w:tcPr>
            <w:tcW w:type="dxa" w:w="5443"/>
            <w:shd w:fill="F2F5FB" w:color="auto" w:val="clear"/>
            <w:tcMar>
              <w:top w:type="dxa" w:w="70"/>
              <w:left w:type="dxa" w:w="110"/>
              <w:bottom w:type="dxa" w:w="70"/>
              <w:right w:type="dxa" w:w="110"/>
            </w:tcMar>
          </w:tcPr>
          <w:p>
            <w:pPr>
              <w:spacing w:after="0" w:line="250"/>
            </w:pPr>
            <w:r>
              <w:rPr>
                <w:b w:val="false"/>
                <w:bCs w:val="false"/>
                <w:sz w:val="18"/>
                <w:szCs w:val="18"/>
              </w:rPr>
              <w:t xml:space="preserve">All configuration lives in the repository and is documented, so any teammate can redeploy from a cold start; hosting accounts are held under a shared project account rather than one member's personal login</w:t>
            </w:r>
          </w:p>
        </w:tc>
      </w:tr>
      <w:tr>
        <w:tc>
          <w:tcPr>
            <w:tcW w:type="dxa" w:w="3629"/>
            <w:tcMar>
              <w:top w:type="dxa" w:w="70"/>
              <w:left w:type="dxa" w:w="110"/>
              <w:bottom w:type="dxa" w:w="70"/>
              <w:right w:type="dxa" w:w="110"/>
            </w:tcMar>
          </w:tcPr>
          <w:p>
            <w:pPr>
              <w:spacing w:after="0" w:line="250"/>
            </w:pPr>
            <w:r>
              <w:rPr>
                <w:b w:val="false"/>
                <w:bCs w:val="false"/>
                <w:sz w:val="18"/>
                <w:szCs w:val="18"/>
              </w:rPr>
              <w:t xml:space="preserve">CI as a bottleneck: a slow or flaky required check invites being bypassed under deadline pressure</w:t>
            </w:r>
          </w:p>
        </w:tc>
        <w:tc>
          <w:tcPr>
            <w:tcW w:type="dxa" w:w="5443"/>
            <w:tcMar>
              <w:top w:type="dxa" w:w="70"/>
              <w:left w:type="dxa" w:w="110"/>
              <w:bottom w:type="dxa" w:w="70"/>
              <w:right w:type="dxa" w:w="110"/>
            </w:tcMar>
          </w:tcPr>
          <w:p>
            <w:pPr>
              <w:spacing w:after="0" w:line="250"/>
            </w:pPr>
            <w:r>
              <w:rPr>
                <w:b w:val="false"/>
                <w:bCs w:val="false"/>
                <w:sz w:val="18"/>
                <w:szCs w:val="18"/>
              </w:rPr>
              <w:t xml:space="preserve">Keep the pipeline fast with cached installs and scoped test runs; treat a flaky check as a bug to fix, never one to skip</w:t>
            </w:r>
          </w:p>
        </w:tc>
      </w:tr>
    </w:tbl>
    <w:p>
      <w:r>
        <w:br w:type="page"/>
      </w:r>
    </w:p>
    <w:p>
      <w:pPr>
        <w:pStyle w:val="Heading1"/>
        <w:spacing w:after="170" w:before="340"/>
      </w:pPr>
      <w:r>
        <w:rPr>
          <w:b/>
          <w:bCs/>
          <w:color w:val="1F3864"/>
          <w:sz w:val="30"/>
          <w:szCs w:val="30"/>
        </w:rPr>
        <w:t xml:space="preserve">7. Cross-Workstream Synthesis</w:t>
      </w:r>
    </w:p>
    <w:p>
      <w:pPr>
        <w:pStyle w:val="Heading2"/>
        <w:spacing w:after="120" w:before="250"/>
      </w:pPr>
      <w:r>
        <w:rPr>
          <w:b/>
          <w:bCs/>
          <w:color w:val="1F3864"/>
          <w:sz w:val="24"/>
          <w:szCs w:val="24"/>
        </w:rPr>
        <w:t xml:space="preserve">7.1 Common findings</w:t>
      </w:r>
    </w:p>
    <w:p>
      <w:pPr>
        <w:spacing w:after="130" w:line="276"/>
      </w:pPr>
      <w:r>
        <w:rPr>
          <w:sz w:val="21"/>
          <w:szCs w:val="21"/>
        </w:rPr>
        <w:t xml:space="preserve">Independently, and by four different technical routes, all four workstreams reach the same conclusion: every component of Mind Atlas runs on free-tier infrastructure with no GPU and no dedicated training pipeline anywhere in the system. The closest anything comes to a training step is a logistic regression that refits in seconds on CPU. Every report also follows the same discipline of naming which design choices are supported by published work and which are the team's own heuristics — the OCR escalation threshold and chunking parameters, the hybrid similarity weighting and outlier-flagging rule, the hallucination gate and the feedback fusion weights, and the Docker layer ordering and CI failure threshold — and each names a concrete, low-effort route to validating its heuristic empirically rather than leaving it as an assumption.</w:t>
      </w:r>
    </w:p>
    <w:p>
      <w:pPr>
        <w:pStyle w:val="Heading2"/>
        <w:spacing w:after="120" w:before="250"/>
      </w:pPr>
      <w:r>
        <w:rPr>
          <w:b/>
          <w:bCs/>
          <w:color w:val="1F3864"/>
          <w:sz w:val="24"/>
          <w:szCs w:val="24"/>
        </w:rPr>
        <w:t xml:space="preserve">7.2 Integration risks the individual reports do not fully capture</w:t>
      </w:r>
    </w:p>
    <w:p>
      <w:pPr>
        <w:spacing w:after="130" w:line="276"/>
      </w:pPr>
      <w:r>
        <w:rPr>
          <w:sz w:val="21"/>
          <w:szCs w:val="21"/>
        </w:rPr>
        <w:t xml:space="preserve">Because the four workstreams form a pipeline rather than four independent features, a quality problem upstream compounds downstream. OCR errors become spurious keywords, which become weaker and sometimes wrong graph edges, which become noisier topics for the test generator to draw from and for the feedback engine to rank. A student then receives a confident-looking ranking computed over topics that were mis-derived three stages earlier. This is precisely why Member 1's labelled OCR set and Member 2's graph gold set are, implicitly, the highest-leverage work for Member 3's output quality as well as their own.</w:t>
      </w:r>
    </w:p>
    <w:p>
      <w:pPr>
        <w:spacing w:after="130" w:line="276"/>
      </w:pPr>
      <w:r>
        <w:rPr>
          <w:sz w:val="21"/>
          <w:szCs w:val="21"/>
        </w:rPr>
        <w:t xml:space="preserve">Two further couplings deserve naming. All four workstreams share one free-tier resource ceiling — Atlas storage, container memory and build minutes — so capacity planning is a whole-team concern rather than any one member's. And the environment-variable contract Member 4 owns is the only thing keeping four people's configurations from silently diverging as each adds features in parallel; it is the most easily neglected artifact in the project and among the most consequential.</w:t>
      </w:r>
    </w:p>
    <w:p>
      <w:pPr>
        <w:spacing w:after="130" w:line="276"/>
      </w:pPr>
      <w:r>
        <w:rPr>
          <w:sz w:val="21"/>
          <w:szCs w:val="21"/>
        </w:rPr>
        <w:t xml:space="preserve">One coupling is not yet resolved and is recorded here as an action. Member 2's report specifies that the test builder should address topics by graph node id, so the graph's ids become a shared vocabulary across workstreams, while the built implementation addresses topics by note title. Appendix A.2 records the target contract; the change is small but should be made before the feedback engine starts mapping weak topics back onto graph nodes.</w:t>
      </w:r>
    </w:p>
    <w:p>
      <w:pPr>
        <w:pStyle w:val="Heading2"/>
        <w:spacing w:after="120" w:before="250"/>
      </w:pPr>
      <w:r>
        <w:rPr>
          <w:b/>
          <w:bCs/>
          <w:color w:val="1F3864"/>
          <w:sz w:val="24"/>
          <w:szCs w:val="24"/>
        </w:rPr>
        <w:t xml:space="preserve">7.3 Recommended build order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2"/>
        <w:gridCol w:w="3629"/>
        <w:gridCol w:w="3992"/>
      </w:tblGrid>
      <w:tr>
        <w:trPr>
          <w:tblHeader/>
        </w:trPr>
        <w:tc>
          <w:tcPr>
            <w:tcW w:type="dxa" w:w="1452"/>
            <w:shd w:fill="D9E2F3" w:color="auto" w:val="clear"/>
            <w:tcMar>
              <w:top w:type="dxa" w:w="70"/>
              <w:left w:type="dxa" w:w="110"/>
              <w:bottom w:type="dxa" w:w="70"/>
              <w:right w:type="dxa" w:w="110"/>
            </w:tcMar>
          </w:tcPr>
          <w:p>
            <w:pPr>
              <w:spacing w:after="0" w:line="250"/>
            </w:pPr>
            <w:r>
              <w:rPr>
                <w:b/>
                <w:bCs/>
                <w:sz w:val="18"/>
                <w:szCs w:val="18"/>
              </w:rPr>
              <w:t xml:space="preserve">When</w:t>
            </w:r>
          </w:p>
        </w:tc>
        <w:tc>
          <w:tcPr>
            <w:tcW w:type="dxa" w:w="3629"/>
            <w:shd w:fill="D9E2F3" w:color="auto" w:val="clear"/>
            <w:tcMar>
              <w:top w:type="dxa" w:w="70"/>
              <w:left w:type="dxa" w:w="110"/>
              <w:bottom w:type="dxa" w:w="70"/>
              <w:right w:type="dxa" w:w="110"/>
            </w:tcMar>
          </w:tcPr>
          <w:p>
            <w:pPr>
              <w:spacing w:after="0" w:line="250"/>
            </w:pPr>
            <w:r>
              <w:rPr>
                <w:b/>
                <w:bCs/>
                <w:sz w:val="18"/>
                <w:szCs w:val="18"/>
              </w:rPr>
              <w:t xml:space="preserve">What</w:t>
            </w:r>
          </w:p>
        </w:tc>
        <w:tc>
          <w:tcPr>
            <w:tcW w:type="dxa" w:w="3992"/>
            <w:shd w:fill="D9E2F3" w:color="auto" w:val="clear"/>
            <w:tcMar>
              <w:top w:type="dxa" w:w="70"/>
              <w:left w:type="dxa" w:w="110"/>
              <w:bottom w:type="dxa" w:w="70"/>
              <w:right w:type="dxa" w:w="110"/>
            </w:tcMar>
          </w:tcPr>
          <w:p>
            <w:pPr>
              <w:spacing w:after="0" w:line="250"/>
            </w:pPr>
            <w:r>
              <w:rPr>
                <w:b/>
                <w:bCs/>
                <w:sz w:val="18"/>
                <w:szCs w:val="18"/>
              </w:rPr>
              <w:t xml:space="preserve">Why now</w:t>
            </w:r>
          </w:p>
        </w:tc>
      </w:tr>
      <w:tr>
        <w:tc>
          <w:tcPr>
            <w:tcW w:type="dxa" w:w="1452"/>
            <w:tcMar>
              <w:top w:type="dxa" w:w="70"/>
              <w:left w:type="dxa" w:w="110"/>
              <w:bottom w:type="dxa" w:w="70"/>
              <w:right w:type="dxa" w:w="110"/>
            </w:tcMar>
          </w:tcPr>
          <w:p>
            <w:pPr>
              <w:spacing w:after="0" w:line="250"/>
            </w:pPr>
            <w:r>
              <w:rPr>
                <w:b w:val="false"/>
                <w:bCs w:val="false"/>
                <w:sz w:val="18"/>
                <w:szCs w:val="18"/>
              </w:rPr>
              <w:t xml:space="preserve">Week 1</w:t>
            </w:r>
          </w:p>
        </w:tc>
        <w:tc>
          <w:tcPr>
            <w:tcW w:type="dxa" w:w="3629"/>
            <w:tcMar>
              <w:top w:type="dxa" w:w="70"/>
              <w:left w:type="dxa" w:w="110"/>
              <w:bottom w:type="dxa" w:w="70"/>
              <w:right w:type="dxa" w:w="110"/>
            </w:tcMar>
          </w:tcPr>
          <w:p>
            <w:pPr>
              <w:spacing w:after="0" w:line="250"/>
            </w:pPr>
            <w:r>
              <w:rPr>
                <w:b w:val="false"/>
                <w:bCs w:val="false"/>
                <w:sz w:val="18"/>
                <w:szCs w:val="18"/>
              </w:rPr>
              <w:t xml:space="preserve">Member 4's compose stack and CI skeleton</w:t>
            </w:r>
          </w:p>
        </w:tc>
        <w:tc>
          <w:tcPr>
            <w:tcW w:type="dxa" w:w="3992"/>
            <w:tcMar>
              <w:top w:type="dxa" w:w="70"/>
              <w:left w:type="dxa" w:w="110"/>
              <w:bottom w:type="dxa" w:w="70"/>
              <w:right w:type="dxa" w:w="110"/>
            </w:tcMar>
          </w:tcPr>
          <w:p>
            <w:pPr>
              <w:spacing w:after="0" w:line="250"/>
            </w:pPr>
            <w:r>
              <w:rPr>
                <w:b w:val="false"/>
                <w:bCs w:val="false"/>
                <w:sz w:val="18"/>
                <w:szCs w:val="18"/>
              </w:rPr>
              <w:t xml:space="preserve">Every other member develops and tests inside the same environment from the start instead of improvising a local setup</w:t>
            </w:r>
          </w:p>
        </w:tc>
      </w:tr>
      <w:tr>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Early</w:t>
            </w:r>
          </w:p>
        </w:tc>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Member 1's typed, DOCX and PDF ingestion, without OCR</w:t>
            </w:r>
          </w:p>
        </w:tc>
        <w:tc>
          <w:tcPr>
            <w:tcW w:type="dxa" w:w="3992"/>
            <w:shd w:fill="F2F5FB" w:color="auto" w:val="clear"/>
            <w:tcMar>
              <w:top w:type="dxa" w:w="70"/>
              <w:left w:type="dxa" w:w="110"/>
              <w:bottom w:type="dxa" w:w="70"/>
              <w:right w:type="dxa" w:w="110"/>
            </w:tcMar>
          </w:tcPr>
          <w:p>
            <w:pPr>
              <w:spacing w:after="0" w:line="250"/>
            </w:pPr>
            <w:r>
              <w:rPr>
                <w:b w:val="false"/>
                <w:bCs w:val="false"/>
                <w:sz w:val="18"/>
                <w:szCs w:val="18"/>
              </w:rPr>
              <w:t xml:space="preserve">The cheapest path to realistic note text for Members 2 and 3 to build and test against</w:t>
            </w:r>
          </w:p>
        </w:tc>
      </w:tr>
      <w:tr>
        <w:tc>
          <w:tcPr>
            <w:tcW w:type="dxa" w:w="1452"/>
            <w:tcMar>
              <w:top w:type="dxa" w:w="70"/>
              <w:left w:type="dxa" w:w="110"/>
              <w:bottom w:type="dxa" w:w="70"/>
              <w:right w:type="dxa" w:w="110"/>
            </w:tcMar>
          </w:tcPr>
          <w:p>
            <w:pPr>
              <w:spacing w:after="0" w:line="250"/>
            </w:pPr>
            <w:r>
              <w:rPr>
                <w:b w:val="false"/>
                <w:bCs w:val="false"/>
                <w:sz w:val="18"/>
                <w:szCs w:val="18"/>
              </w:rPr>
              <w:t xml:space="preserve">In parallel</w:t>
            </w:r>
          </w:p>
        </w:tc>
        <w:tc>
          <w:tcPr>
            <w:tcW w:type="dxa" w:w="3629"/>
            <w:tcMar>
              <w:top w:type="dxa" w:w="70"/>
              <w:left w:type="dxa" w:w="110"/>
              <w:bottom w:type="dxa" w:w="70"/>
              <w:right w:type="dxa" w:w="110"/>
            </w:tcMar>
          </w:tcPr>
          <w:p>
            <w:pPr>
              <w:spacing w:after="0" w:line="250"/>
            </w:pPr>
            <w:r>
              <w:rPr>
                <w:b w:val="false"/>
                <w:bCs w:val="false"/>
                <w:sz w:val="18"/>
                <w:szCs w:val="18"/>
              </w:rPr>
              <w:t xml:space="preserve">Member 2's gold set and Member 3's knowledge-tracing groundwork</w:t>
            </w:r>
          </w:p>
        </w:tc>
        <w:tc>
          <w:tcPr>
            <w:tcW w:type="dxa" w:w="3992"/>
            <w:tcMar>
              <w:top w:type="dxa" w:w="70"/>
              <w:left w:type="dxa" w:w="110"/>
              <w:bottom w:type="dxa" w:w="70"/>
              <w:right w:type="dxa" w:w="110"/>
            </w:tcMar>
          </w:tcPr>
          <w:p>
            <w:pPr>
              <w:spacing w:after="0" w:line="250"/>
            </w:pPr>
            <w:r>
              <w:rPr>
                <w:b w:val="false"/>
                <w:bCs w:val="false"/>
                <w:sz w:val="18"/>
                <w:szCs w:val="18"/>
              </w:rPr>
              <w:t xml:space="preserve">Both are measurement infrastructure, and measurement infrastructure pays off earlier the sooner it exists</w:t>
            </w:r>
          </w:p>
        </w:tc>
      </w:tr>
      <w:tr>
        <w:tc>
          <w:tcPr>
            <w:tcW w:type="dxa" w:w="1452"/>
            <w:shd w:fill="F2F5FB" w:color="auto" w:val="clear"/>
            <w:tcMar>
              <w:top w:type="dxa" w:w="70"/>
              <w:left w:type="dxa" w:w="110"/>
              <w:bottom w:type="dxa" w:w="70"/>
              <w:right w:type="dxa" w:w="110"/>
            </w:tcMar>
          </w:tcPr>
          <w:p>
            <w:pPr>
              <w:spacing w:after="0" w:line="250"/>
            </w:pPr>
            <w:r>
              <w:rPr>
                <w:b w:val="false"/>
                <w:bCs w:val="false"/>
                <w:sz w:val="18"/>
                <w:szCs w:val="18"/>
              </w:rPr>
              <w:t xml:space="preserve">Mid-semester</w:t>
            </w:r>
          </w:p>
        </w:tc>
        <w:tc>
          <w:tcPr>
            <w:tcW w:type="dxa" w:w="3629"/>
            <w:shd w:fill="F2F5FB" w:color="auto" w:val="clear"/>
            <w:tcMar>
              <w:top w:type="dxa" w:w="70"/>
              <w:left w:type="dxa" w:w="110"/>
              <w:bottom w:type="dxa" w:w="70"/>
              <w:right w:type="dxa" w:w="110"/>
            </w:tcMar>
          </w:tcPr>
          <w:p>
            <w:pPr>
              <w:spacing w:after="0" w:line="250"/>
            </w:pPr>
            <w:r>
              <w:rPr>
                <w:b w:val="false"/>
                <w:bCs w:val="false"/>
                <w:sz w:val="18"/>
                <w:szCs w:val="18"/>
              </w:rPr>
              <w:t xml:space="preserve">OCR fallback tuning, hybrid graph scoring, the extended hallucination gate</w:t>
            </w:r>
          </w:p>
        </w:tc>
        <w:tc>
          <w:tcPr>
            <w:tcW w:type="dxa" w:w="3992"/>
            <w:shd w:fill="F2F5FB" w:color="auto" w:val="clear"/>
            <w:tcMar>
              <w:top w:type="dxa" w:w="70"/>
              <w:left w:type="dxa" w:w="110"/>
              <w:bottom w:type="dxa" w:w="70"/>
              <w:right w:type="dxa" w:w="110"/>
            </w:tcMar>
          </w:tcPr>
          <w:p>
            <w:pPr>
              <w:spacing w:after="0" w:line="250"/>
            </w:pPr>
            <w:r>
              <w:rPr>
                <w:b w:val="false"/>
                <w:bCs w:val="false"/>
                <w:sz w:val="18"/>
                <w:szCs w:val="18"/>
              </w:rPr>
              <w:t xml:space="preserve">Each is validated against the measurement infrastructure built above, so improvements are demonstrated rather than asserted</w:t>
            </w:r>
          </w:p>
        </w:tc>
      </w:tr>
      <w:tr>
        <w:tc>
          <w:tcPr>
            <w:tcW w:type="dxa" w:w="1452"/>
            <w:tcMar>
              <w:top w:type="dxa" w:w="70"/>
              <w:left w:type="dxa" w:w="110"/>
              <w:bottom w:type="dxa" w:w="70"/>
              <w:right w:type="dxa" w:w="110"/>
            </w:tcMar>
          </w:tcPr>
          <w:p>
            <w:pPr>
              <w:spacing w:after="0" w:line="250"/>
            </w:pPr>
            <w:r>
              <w:rPr>
                <w:b w:val="false"/>
                <w:bCs w:val="false"/>
                <w:sz w:val="18"/>
                <w:szCs w:val="18"/>
              </w:rPr>
              <w:t xml:space="preserve">Late</w:t>
            </w:r>
          </w:p>
        </w:tc>
        <w:tc>
          <w:tcPr>
            <w:tcW w:type="dxa" w:w="3629"/>
            <w:tcMar>
              <w:top w:type="dxa" w:w="70"/>
              <w:left w:type="dxa" w:w="110"/>
              <w:bottom w:type="dxa" w:w="70"/>
              <w:right w:type="dxa" w:w="110"/>
            </w:tcMar>
          </w:tcPr>
          <w:p>
            <w:pPr>
              <w:spacing w:after="0" w:line="250"/>
            </w:pPr>
            <w:r>
              <w:rPr>
                <w:b w:val="false"/>
                <w:bCs w:val="false"/>
                <w:sz w:val="18"/>
                <w:szCs w:val="18"/>
              </w:rPr>
              <w:t xml:space="preserve">Staging deployment and scripted scalability testing</w:t>
            </w:r>
          </w:p>
        </w:tc>
        <w:tc>
          <w:tcPr>
            <w:tcW w:type="dxa" w:w="3992"/>
            <w:tcMar>
              <w:top w:type="dxa" w:w="70"/>
              <w:left w:type="dxa" w:w="110"/>
              <w:bottom w:type="dxa" w:w="70"/>
              <w:right w:type="dxa" w:w="110"/>
            </w:tcMar>
          </w:tcPr>
          <w:p>
            <w:pPr>
              <w:spacing w:after="0" w:line="250"/>
            </w:pPr>
            <w:r>
              <w:rPr>
                <w:b w:val="false"/>
                <w:bCs w:val="false"/>
                <w:sz w:val="18"/>
                <w:szCs w:val="18"/>
              </w:rPr>
              <w:t xml:space="preserve">Meaningful only once there is a realistic system to load and real free-tier behaviour to observe</w:t>
            </w:r>
          </w:p>
        </w:tc>
      </w:tr>
    </w:tbl>
    <w:p>
      <w:r>
        <w:br w:type="page"/>
      </w:r>
    </w:p>
    <w:p>
      <w:pPr>
        <w:pStyle w:val="Heading1"/>
        <w:spacing w:after="170" w:before="340"/>
      </w:pPr>
      <w:r>
        <w:rPr>
          <w:b/>
          <w:bCs/>
          <w:color w:val="1F3864"/>
          <w:sz w:val="30"/>
          <w:szCs w:val="30"/>
        </w:rPr>
        <w:t xml:space="preserve">8. Future Scope</w:t>
      </w:r>
    </w:p>
    <w:p>
      <w:pPr>
        <w:pStyle w:val="Heading2"/>
        <w:spacing w:after="120" w:before="250"/>
      </w:pPr>
      <w:r>
        <w:rPr>
          <w:b/>
          <w:bCs/>
          <w:color w:val="1F3864"/>
          <w:sz w:val="24"/>
          <w:szCs w:val="24"/>
        </w:rPr>
        <w:t xml:space="preserve">8.1 Video proctoring and expression analysis</w:t>
      </w:r>
    </w:p>
    <w:p>
      <w:pPr>
        <w:spacing w:after="130" w:line="276"/>
      </w:pPr>
      <w:r>
        <w:rPr>
          <w:b/>
          <w:bCs/>
          <w:sz w:val="21"/>
          <w:szCs w:val="21"/>
        </w:rPr>
        <w:t xml:space="preserve">Video proctoring is future scope and is not a deliverable of this project. </w:t>
      </w:r>
      <w:r>
        <w:rPr>
          <w:b w:val="false"/>
          <w:bCs w:val="false"/>
          <w:sz w:val="21"/>
          <w:szCs w:val="21"/>
        </w:rPr>
        <w:t xml:space="preserve">It appeared in the initial system architecture as one of the processing services, but the team has scoped it out of this cycle. It belongs to no workstream under the ownership defined in Section 2, and it is excluded from every technical, cost and schedule claim in this report. The team records it here explicitly rather than leaving it implicit in an architecture diagram, because an unassessed component shown alongside built ones reads as a commitment.</w:t>
      </w:r>
    </w:p>
    <w:p>
      <w:pPr>
        <w:spacing w:after="130" w:line="276"/>
      </w:pPr>
      <w:r>
        <w:rPr>
          <w:sz w:val="21"/>
          <w:szCs w:val="21"/>
        </w:rPr>
        <w:t xml:space="preserve">Three substantive reasons support deferring it rather than attempting it. It is the only component in the entire system that would plausibly require GPU inference or a paid vision service for real-time expression analysis, which would break the project's central finding that everything runs on free-tier CPU infrastructure. It carries privacy, consent and data-retention obligations around biometric data that materially exceed anything else in the system and would need their own assessment. And its educational value is the least established of any component proposed: using inferred emotional state to adjust a difficulty ranking is an active research question, not settled practice, whereas every other signal the feedback engine uses is directly observed.</w:t>
      </w:r>
    </w:p>
    <w:p>
      <w:pPr>
        <w:spacing w:after="130" w:line="276"/>
      </w:pPr>
      <w:r>
        <w:rPr>
          <w:b/>
          <w:bCs/>
          <w:sz w:val="21"/>
          <w:szCs w:val="21"/>
        </w:rPr>
        <w:t xml:space="preserve">Nothing in the built system depends on it. </w:t>
      </w:r>
      <w:r>
        <w:rPr>
          <w:b w:val="false"/>
          <w:bCs w:val="false"/>
          <w:sz w:val="21"/>
          <w:szCs w:val="21"/>
        </w:rPr>
        <w:t xml:space="preserve">Member 3's attempt flow was designed from the start so that the non-camera path is the fully supported path rather than a degraded one. The feedback engine's attention score is computed from correctness and response time only, both directly measured. If proctoring were added later it would enter as an additional term in that formula and an additional deployable service, which is why Section 3.2 counts three services today and notes that a fourth would be required.</w:t>
      </w:r>
    </w:p>
    <w:p>
      <w:pPr>
        <w:spacing w:after="130" w:line="276"/>
      </w:pPr>
      <w:r>
        <w:rPr>
          <w:sz w:val="21"/>
          <w:szCs w:val="21"/>
        </w:rPr>
        <w:t xml:space="preserve">Should a future team take it up, the prerequisites are clear: an explicit consent flow with a fully supported decline path, a data-retention and deletion policy for video and any derived signal, a validation study showing the inferred signal actually improves the feedback ranking rather than merely adding a number to it, and a hosting budget that accommodates either GPU inference or a paid vision API.</w:t>
      </w:r>
    </w:p>
    <w:p>
      <w:pPr>
        <w:pStyle w:val="Heading2"/>
        <w:spacing w:after="120" w:before="250"/>
      </w:pPr>
      <w:r>
        <w:rPr>
          <w:b/>
          <w:bCs/>
          <w:color w:val="1F3864"/>
          <w:sz w:val="24"/>
          <w:szCs w:val="24"/>
        </w:rPr>
        <w:t xml:space="preserve">8.2 Other items deferred beyond this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5988"/>
      </w:tblGrid>
      <w:tr>
        <w:trPr>
          <w:tblHeader/>
        </w:trPr>
        <w:tc>
          <w:tcPr>
            <w:tcW w:type="dxa" w:w="3084"/>
            <w:shd w:fill="D9E2F3" w:color="auto" w:val="clear"/>
            <w:tcMar>
              <w:top w:type="dxa" w:w="70"/>
              <w:left w:type="dxa" w:w="110"/>
              <w:bottom w:type="dxa" w:w="70"/>
              <w:right w:type="dxa" w:w="110"/>
            </w:tcMar>
          </w:tcPr>
          <w:p>
            <w:pPr>
              <w:spacing w:after="0" w:line="250"/>
            </w:pPr>
            <w:r>
              <w:rPr>
                <w:b/>
                <w:bCs/>
                <w:sz w:val="18"/>
                <w:szCs w:val="18"/>
              </w:rPr>
              <w:t xml:space="preserve">Item</w:t>
            </w:r>
          </w:p>
        </w:tc>
        <w:tc>
          <w:tcPr>
            <w:tcW w:type="dxa" w:w="5988"/>
            <w:shd w:fill="D9E2F3" w:color="auto" w:val="clear"/>
            <w:tcMar>
              <w:top w:type="dxa" w:w="70"/>
              <w:left w:type="dxa" w:w="110"/>
              <w:bottom w:type="dxa" w:w="70"/>
              <w:right w:type="dxa" w:w="110"/>
            </w:tcMar>
          </w:tcPr>
          <w:p>
            <w:pPr>
              <w:spacing w:after="0" w:line="250"/>
            </w:pPr>
            <w:r>
              <w:rPr>
                <w:b/>
                <w:bCs/>
                <w:sz w:val="18"/>
                <w:szCs w:val="18"/>
              </w:rPr>
              <w:t xml:space="preserve">Why deferred</w:t>
            </w:r>
          </w:p>
        </w:tc>
      </w:tr>
      <w:tr>
        <w:tc>
          <w:tcPr>
            <w:tcW w:type="dxa" w:w="3084"/>
            <w:tcMar>
              <w:top w:type="dxa" w:w="70"/>
              <w:left w:type="dxa" w:w="110"/>
              <w:bottom w:type="dxa" w:w="70"/>
              <w:right w:type="dxa" w:w="110"/>
            </w:tcMar>
          </w:tcPr>
          <w:p>
            <w:pPr>
              <w:spacing w:after="0" w:line="250"/>
            </w:pPr>
            <w:r>
              <w:rPr>
                <w:b w:val="false"/>
                <w:bCs w:val="false"/>
                <w:sz w:val="18"/>
                <w:szCs w:val="18"/>
              </w:rPr>
              <w:t xml:space="preserve">Neural knowledge tracing using recurrent or attention-based models</w:t>
            </w:r>
          </w:p>
        </w:tc>
        <w:tc>
          <w:tcPr>
            <w:tcW w:type="dxa" w:w="5988"/>
            <w:tcMar>
              <w:top w:type="dxa" w:w="70"/>
              <w:left w:type="dxa" w:w="110"/>
              <w:bottom w:type="dxa" w:w="70"/>
              <w:right w:type="dxa" w:w="110"/>
            </w:tcMar>
          </w:tcPr>
          <w:p>
            <w:pPr>
              <w:spacing w:after="0" w:line="250"/>
            </w:pPr>
            <w:r>
              <w:rPr>
                <w:b w:val="false"/>
                <w:bCs w:val="false"/>
                <w:sz w:val="18"/>
                <w:szCs w:val="18"/>
              </w:rPr>
              <w:t xml:space="preserve">Requires a training pipeline, GPU access and a substantially larger logged-response dataset than a capstone accumulates in one semester; Bayesian Knowledge Tracing delivers most of the value with none of that</w:t>
            </w:r>
          </w:p>
        </w:tc>
      </w:tr>
      <w:tr>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Neural distractor generation</w:t>
            </w:r>
          </w:p>
        </w:tc>
        <w:tc>
          <w:tcPr>
            <w:tcW w:type="dxa" w:w="5988"/>
            <w:shd w:fill="F2F5FB" w:color="auto" w:val="clear"/>
            <w:tcMar>
              <w:top w:type="dxa" w:w="70"/>
              <w:left w:type="dxa" w:w="110"/>
              <w:bottom w:type="dxa" w:w="70"/>
              <w:right w:type="dxa" w:w="110"/>
            </w:tcMar>
          </w:tcPr>
          <w:p>
            <w:pPr>
              <w:spacing w:after="0" w:line="250"/>
            </w:pPr>
            <w:r>
              <w:rPr>
                <w:b w:val="false"/>
                <w:bCs w:val="false"/>
                <w:sz w:val="18"/>
                <w:szCs w:val="18"/>
              </w:rPr>
              <w:t xml:space="preserve">Worthwhile only if prompting plus a distractor gate proves insufficient, which has not yet been measured</w:t>
            </w:r>
          </w:p>
        </w:tc>
      </w:tr>
      <w:tr>
        <w:tc>
          <w:tcPr>
            <w:tcW w:type="dxa" w:w="3084"/>
            <w:tcMar>
              <w:top w:type="dxa" w:w="70"/>
              <w:left w:type="dxa" w:w="110"/>
              <w:bottom w:type="dxa" w:w="70"/>
              <w:right w:type="dxa" w:w="110"/>
            </w:tcMar>
          </w:tcPr>
          <w:p>
            <w:pPr>
              <w:spacing w:after="0" w:line="250"/>
            </w:pPr>
            <w:r>
              <w:rPr>
                <w:b w:val="false"/>
                <w:bCs w:val="false"/>
                <w:sz w:val="18"/>
                <w:szCs w:val="18"/>
              </w:rPr>
              <w:t xml:space="preserve">Concept-level graph nodes with typed relations</w:t>
            </w:r>
          </w:p>
        </w:tc>
        <w:tc>
          <w:tcPr>
            <w:tcW w:type="dxa" w:w="5988"/>
            <w:tcMar>
              <w:top w:type="dxa" w:w="70"/>
              <w:left w:type="dxa" w:w="110"/>
              <w:bottom w:type="dxa" w:w="70"/>
              <w:right w:type="dxa" w:w="110"/>
            </w:tcMar>
          </w:tcPr>
          <w:p>
            <w:pPr>
              <w:spacing w:after="0" w:line="250"/>
            </w:pPr>
            <w:r>
              <w:rPr>
                <w:b w:val="false"/>
                <w:bCs w:val="false"/>
                <w:sz w:val="18"/>
                <w:szCs w:val="18"/>
              </w:rPr>
              <w:t xml:space="preserve">Depends on accumulated correction data that does not exist yet; the note-level relatedness graph is the appropriate scope for study navigation</w:t>
            </w:r>
          </w:p>
        </w:tc>
      </w:tr>
      <w:tr>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Approximate vector indexes and a dedicated vector database</w:t>
            </w:r>
          </w:p>
        </w:tc>
        <w:tc>
          <w:tcPr>
            <w:tcW w:type="dxa" w:w="5988"/>
            <w:shd w:fill="F2F5FB" w:color="auto" w:val="clear"/>
            <w:tcMar>
              <w:top w:type="dxa" w:w="70"/>
              <w:left w:type="dxa" w:w="110"/>
              <w:bottom w:type="dxa" w:w="70"/>
              <w:right w:type="dxa" w:w="110"/>
            </w:tcMar>
          </w:tcPr>
          <w:p>
            <w:pPr>
              <w:spacing w:after="0" w:line="250"/>
            </w:pPr>
            <w:r>
              <w:rPr>
                <w:b w:val="false"/>
                <w:bCs w:val="false"/>
                <w:sz w:val="18"/>
                <w:szCs w:val="18"/>
              </w:rPr>
              <w:t xml:space="preserve">Exact search is both faster to build and exactly correct at the few thousand vectors a personal corpus produces; approximate indexing would add tuning cost with no benefit</w:t>
            </w:r>
          </w:p>
        </w:tc>
      </w:tr>
      <w:tr>
        <w:tc>
          <w:tcPr>
            <w:tcW w:type="dxa" w:w="3084"/>
            <w:tcMar>
              <w:top w:type="dxa" w:w="70"/>
              <w:left w:type="dxa" w:w="110"/>
              <w:bottom w:type="dxa" w:w="70"/>
              <w:right w:type="dxa" w:w="110"/>
            </w:tcMar>
          </w:tcPr>
          <w:p>
            <w:pPr>
              <w:spacing w:after="0" w:line="250"/>
            </w:pPr>
            <w:r>
              <w:rPr>
                <w:b w:val="false"/>
                <w:bCs w:val="false"/>
                <w:sz w:val="18"/>
                <w:szCs w:val="18"/>
              </w:rPr>
              <w:t xml:space="preserve">Fine-tuning an embedding model on accumulated corrections</w:t>
            </w:r>
          </w:p>
        </w:tc>
        <w:tc>
          <w:tcPr>
            <w:tcW w:type="dxa" w:w="5988"/>
            <w:tcMar>
              <w:top w:type="dxa" w:w="70"/>
              <w:left w:type="dxa" w:w="110"/>
              <w:bottom w:type="dxa" w:w="70"/>
              <w:right w:type="dxa" w:w="110"/>
            </w:tcMar>
          </w:tcPr>
          <w:p>
            <w:pPr>
              <w:spacing w:after="0" w:line="250"/>
            </w:pPr>
            <w:r>
              <w:rPr>
                <w:b w:val="false"/>
                <w:bCs w:val="false"/>
                <w:sz w:val="18"/>
                <w:szCs w:val="18"/>
              </w:rPr>
              <w:t xml:space="preserve">Needs both a volume of labels and a training setup the project does not have</w:t>
            </w:r>
          </w:p>
        </w:tc>
      </w:tr>
      <w:tr>
        <w:tc>
          <w:tcPr>
            <w:tcW w:type="dxa" w:w="3084"/>
            <w:shd w:fill="F2F5FB" w:color="auto" w:val="clear"/>
            <w:tcMar>
              <w:top w:type="dxa" w:w="70"/>
              <w:left w:type="dxa" w:w="110"/>
              <w:bottom w:type="dxa" w:w="70"/>
              <w:right w:type="dxa" w:w="110"/>
            </w:tcMar>
          </w:tcPr>
          <w:p>
            <w:pPr>
              <w:spacing w:after="0" w:line="250"/>
            </w:pPr>
            <w:r>
              <w:rPr>
                <w:b w:val="false"/>
                <w:bCs w:val="false"/>
                <w:sz w:val="18"/>
                <w:szCs w:val="18"/>
              </w:rPr>
              <w:t xml:space="preserve">Blue-green and canary deployment</w:t>
            </w:r>
          </w:p>
        </w:tc>
        <w:tc>
          <w:tcPr>
            <w:tcW w:type="dxa" w:w="5988"/>
            <w:shd w:fill="F2F5FB" w:color="auto" w:val="clear"/>
            <w:tcMar>
              <w:top w:type="dxa" w:w="70"/>
              <w:left w:type="dxa" w:w="110"/>
              <w:bottom w:type="dxa" w:w="70"/>
              <w:right w:type="dxa" w:w="110"/>
            </w:tcMar>
          </w:tcPr>
          <w:p>
            <w:pPr>
              <w:spacing w:after="0" w:line="250"/>
            </w:pPr>
            <w:r>
              <w:rPr>
                <w:b w:val="false"/>
                <w:bCs w:val="false"/>
                <w:sz w:val="18"/>
                <w:szCs w:val="18"/>
              </w:rPr>
              <w:t xml:space="preserve">Requires more than one production-like environment than free tiers allow</w:t>
            </w:r>
          </w:p>
        </w:tc>
      </w:tr>
    </w:tbl>
    <w:p>
      <w:r>
        <w:br w:type="page"/>
      </w:r>
    </w:p>
    <w:p>
      <w:pPr>
        <w:pStyle w:val="Heading1"/>
        <w:spacing w:after="170" w:before="340"/>
      </w:pPr>
      <w:r>
        <w:rPr>
          <w:b/>
          <w:bCs/>
          <w:color w:val="1F3864"/>
          <w:sz w:val="30"/>
          <w:szCs w:val="30"/>
        </w:rPr>
        <w:t xml:space="preserve">9. Consolidated Risk Register</w:t>
      </w:r>
    </w:p>
    <w:p>
      <w:pPr>
        <w:spacing w:after="130" w:line="276"/>
      </w:pPr>
      <w:r>
        <w:rPr>
          <w:sz w:val="21"/>
          <w:szCs w:val="21"/>
        </w:rPr>
        <w:t xml:space="preserve">The risks below are those that cross workstream boundaries or threaten the project as a whole. Workstream-specific risks are listed in each subsection of Section 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2903"/>
        <w:gridCol w:w="3447"/>
      </w:tblGrid>
      <w:tr>
        <w:trPr>
          <w:tblHeader/>
        </w:trPr>
        <w:tc>
          <w:tcPr>
            <w:tcW w:type="dxa" w:w="2722"/>
            <w:shd w:fill="D9E2F3" w:color="auto" w:val="clear"/>
            <w:tcMar>
              <w:top w:type="dxa" w:w="70"/>
              <w:left w:type="dxa" w:w="110"/>
              <w:bottom w:type="dxa" w:w="70"/>
              <w:right w:type="dxa" w:w="110"/>
            </w:tcMar>
          </w:tcPr>
          <w:p>
            <w:pPr>
              <w:spacing w:after="0" w:line="250"/>
            </w:pPr>
            <w:r>
              <w:rPr>
                <w:b/>
                <w:bCs/>
                <w:sz w:val="18"/>
                <w:szCs w:val="18"/>
              </w:rPr>
              <w:t xml:space="preserve">Risk</w:t>
            </w:r>
          </w:p>
        </w:tc>
        <w:tc>
          <w:tcPr>
            <w:tcW w:type="dxa" w:w="2903"/>
            <w:shd w:fill="D9E2F3" w:color="auto" w:val="clear"/>
            <w:tcMar>
              <w:top w:type="dxa" w:w="70"/>
              <w:left w:type="dxa" w:w="110"/>
              <w:bottom w:type="dxa" w:w="70"/>
              <w:right w:type="dxa" w:w="110"/>
            </w:tcMar>
          </w:tcPr>
          <w:p>
            <w:pPr>
              <w:spacing w:after="0" w:line="250"/>
            </w:pPr>
            <w:r>
              <w:rPr>
                <w:b/>
                <w:bCs/>
                <w:sz w:val="18"/>
                <w:szCs w:val="18"/>
              </w:rPr>
              <w:t xml:space="preserve">Impact</w:t>
            </w:r>
          </w:p>
        </w:tc>
        <w:tc>
          <w:tcPr>
            <w:tcW w:type="dxa" w:w="3447"/>
            <w:shd w:fill="D9E2F3" w:color="auto" w:val="clear"/>
            <w:tcMar>
              <w:top w:type="dxa" w:w="70"/>
              <w:left w:type="dxa" w:w="110"/>
              <w:bottom w:type="dxa" w:w="70"/>
              <w:right w:type="dxa" w:w="110"/>
            </w:tcMar>
          </w:tcPr>
          <w:p>
            <w:pPr>
              <w:spacing w:after="0" w:line="250"/>
            </w:pPr>
            <w:r>
              <w:rPr>
                <w:b/>
                <w:bCs/>
                <w:sz w:val="18"/>
                <w:szCs w:val="18"/>
              </w:rPr>
              <w:t xml:space="preserve">Mitigation</w:t>
            </w:r>
          </w:p>
        </w:tc>
      </w:tr>
      <w:tr>
        <w:tc>
          <w:tcPr>
            <w:tcW w:type="dxa" w:w="2722"/>
            <w:tcMar>
              <w:top w:type="dxa" w:w="70"/>
              <w:left w:type="dxa" w:w="110"/>
              <w:bottom w:type="dxa" w:w="70"/>
              <w:right w:type="dxa" w:w="110"/>
            </w:tcMar>
          </w:tcPr>
          <w:p>
            <w:pPr>
              <w:spacing w:after="0" w:line="250"/>
            </w:pPr>
            <w:r>
              <w:rPr>
                <w:b w:val="false"/>
                <w:bCs w:val="false"/>
                <w:sz w:val="18"/>
                <w:szCs w:val="18"/>
              </w:rPr>
              <w:t xml:space="preserve">A measurement gap, not technical infeasibility, dominates every workstream's risk profile: no OCR evaluation set, no graph gold set, no validation of the grading or gate heuristics against real student data</w:t>
            </w:r>
          </w:p>
        </w:tc>
        <w:tc>
          <w:tcPr>
            <w:tcW w:type="dxa" w:w="2903"/>
            <w:tcMar>
              <w:top w:type="dxa" w:w="70"/>
              <w:left w:type="dxa" w:w="110"/>
              <w:bottom w:type="dxa" w:w="70"/>
              <w:right w:type="dxa" w:w="110"/>
            </w:tcMar>
          </w:tcPr>
          <w:p>
            <w:pPr>
              <w:spacing w:after="0" w:line="250"/>
            </w:pPr>
            <w:r>
              <w:rPr>
                <w:b w:val="false"/>
                <w:bCs w:val="false"/>
                <w:sz w:val="18"/>
                <w:szCs w:val="18"/>
              </w:rPr>
              <w:t xml:space="preserve">Quality claims across the project remain assertions rather than measurements, which is the weakest point of the work under examination</w:t>
            </w:r>
          </w:p>
        </w:tc>
        <w:tc>
          <w:tcPr>
            <w:tcW w:type="dxa" w:w="3447"/>
            <w:tcMar>
              <w:top w:type="dxa" w:w="70"/>
              <w:left w:type="dxa" w:w="110"/>
              <w:bottom w:type="dxa" w:w="70"/>
              <w:right w:type="dxa" w:w="110"/>
            </w:tcMar>
          </w:tcPr>
          <w:p>
            <w:pPr>
              <w:spacing w:after="0" w:line="250"/>
            </w:pPr>
            <w:r>
              <w:rPr>
                <w:b w:val="false"/>
                <w:bCs w:val="false"/>
                <w:sz w:val="18"/>
                <w:szCs w:val="18"/>
              </w:rPr>
              <w:t xml:space="preserve">Each report proposes the specific low-effort step that closes its own gap; Section 7.3 sequences them early, before the features they would measure</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Upstream quality compounds downstream through the pipeline</w:t>
            </w:r>
          </w:p>
        </w:tc>
        <w:tc>
          <w:tcPr>
            <w:tcW w:type="dxa" w:w="2903"/>
            <w:shd w:fill="F2F5FB" w:color="auto" w:val="clear"/>
            <w:tcMar>
              <w:top w:type="dxa" w:w="70"/>
              <w:left w:type="dxa" w:w="110"/>
              <w:bottom w:type="dxa" w:w="70"/>
              <w:right w:type="dxa" w:w="110"/>
            </w:tcMar>
          </w:tcPr>
          <w:p>
            <w:pPr>
              <w:spacing w:after="0" w:line="250"/>
            </w:pPr>
            <w:r>
              <w:rPr>
                <w:b w:val="false"/>
                <w:bCs w:val="false"/>
                <w:sz w:val="18"/>
                <w:szCs w:val="18"/>
              </w:rPr>
              <w:t xml:space="preserve">A confident feedback ranking computed over topics mis-derived at ingestion</w:t>
            </w:r>
          </w:p>
        </w:tc>
        <w:tc>
          <w:tcPr>
            <w:tcW w:type="dxa" w:w="3447"/>
            <w:shd w:fill="F2F5FB" w:color="auto" w:val="clear"/>
            <w:tcMar>
              <w:top w:type="dxa" w:w="70"/>
              <w:left w:type="dxa" w:w="110"/>
              <w:bottom w:type="dxa" w:w="70"/>
              <w:right w:type="dxa" w:w="110"/>
            </w:tcMar>
          </w:tcPr>
          <w:p>
            <w:pPr>
              <w:spacing w:after="0" w:line="250"/>
            </w:pPr>
            <w:r>
              <w:rPr>
                <w:b w:val="false"/>
                <w:bCs w:val="false"/>
                <w:sz w:val="18"/>
                <w:szCs w:val="18"/>
              </w:rPr>
              <w:t xml:space="preserve">Record OCR confidence per note and down-weight low-confidence notes in edge scoring; the field already exists in the note contract for this purpose</w:t>
            </w:r>
          </w:p>
        </w:tc>
      </w:tr>
      <w:tr>
        <w:tc>
          <w:tcPr>
            <w:tcW w:type="dxa" w:w="2722"/>
            <w:tcMar>
              <w:top w:type="dxa" w:w="70"/>
              <w:left w:type="dxa" w:w="110"/>
              <w:bottom w:type="dxa" w:w="70"/>
              <w:right w:type="dxa" w:w="110"/>
            </w:tcMar>
          </w:tcPr>
          <w:p>
            <w:pPr>
              <w:spacing w:after="0" w:line="250"/>
            </w:pPr>
            <w:r>
              <w:rPr>
                <w:b w:val="false"/>
                <w:bCs w:val="false"/>
                <w:sz w:val="18"/>
                <w:szCs w:val="18"/>
              </w:rPr>
              <w:t xml:space="preserve">Shared free-tier ceiling across all four workstreams</w:t>
            </w:r>
          </w:p>
        </w:tc>
        <w:tc>
          <w:tcPr>
            <w:tcW w:type="dxa" w:w="2903"/>
            <w:tcMar>
              <w:top w:type="dxa" w:w="70"/>
              <w:left w:type="dxa" w:w="110"/>
              <w:bottom w:type="dxa" w:w="70"/>
              <w:right w:type="dxa" w:w="110"/>
            </w:tcMar>
          </w:tcPr>
          <w:p>
            <w:pPr>
              <w:spacing w:after="0" w:line="250"/>
            </w:pPr>
            <w:r>
              <w:rPr>
                <w:b w:val="false"/>
                <w:bCs w:val="false"/>
                <w:sz w:val="18"/>
                <w:szCs w:val="18"/>
              </w:rPr>
              <w:t xml:space="preserve">Storage, memory or build minutes exhausted by whichever workstream grows fastest, affecting everyone</w:t>
            </w:r>
          </w:p>
        </w:tc>
        <w:tc>
          <w:tcPr>
            <w:tcW w:type="dxa" w:w="3447"/>
            <w:tcMar>
              <w:top w:type="dxa" w:w="70"/>
              <w:left w:type="dxa" w:w="110"/>
              <w:bottom w:type="dxa" w:w="70"/>
              <w:right w:type="dxa" w:w="110"/>
            </w:tcMar>
          </w:tcPr>
          <w:p>
            <w:pPr>
              <w:spacing w:after="0" w:line="250"/>
            </w:pPr>
            <w:r>
              <w:rPr>
                <w:b w:val="false"/>
                <w:bCs w:val="false"/>
                <w:sz w:val="18"/>
                <w:szCs w:val="18"/>
              </w:rPr>
              <w:t xml:space="preserve">Whole-team capacity planning; monitor Atlas storage as data accumulates; keep embeddings out of note documents</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Free-tier cold starts during the evaluation window</w:t>
            </w:r>
          </w:p>
        </w:tc>
        <w:tc>
          <w:tcPr>
            <w:tcW w:type="dxa" w:w="2903"/>
            <w:shd w:fill="F2F5FB" w:color="auto" w:val="clear"/>
            <w:tcMar>
              <w:top w:type="dxa" w:w="70"/>
              <w:left w:type="dxa" w:w="110"/>
              <w:bottom w:type="dxa" w:w="70"/>
              <w:right w:type="dxa" w:w="110"/>
            </w:tcMar>
          </w:tcPr>
          <w:p>
            <w:pPr>
              <w:spacing w:after="0" w:line="250"/>
            </w:pPr>
            <w:r>
              <w:rPr>
                <w:b w:val="false"/>
                <w:bCs w:val="false"/>
                <w:sz w:val="18"/>
                <w:szCs w:val="18"/>
              </w:rPr>
              <w:t xml:space="preserve">A minute-long wait reads as a broken system to an examiner</w:t>
            </w:r>
          </w:p>
        </w:tc>
        <w:tc>
          <w:tcPr>
            <w:tcW w:type="dxa" w:w="3447"/>
            <w:shd w:fill="F2F5FB" w:color="auto" w:val="clear"/>
            <w:tcMar>
              <w:top w:type="dxa" w:w="70"/>
              <w:left w:type="dxa" w:w="110"/>
              <w:bottom w:type="dxa" w:w="70"/>
              <w:right w:type="dxa" w:w="110"/>
            </w:tcMar>
          </w:tcPr>
          <w:p>
            <w:pPr>
              <w:spacing w:after="0" w:line="250"/>
            </w:pPr>
            <w:r>
              <w:rPr>
                <w:b w:val="false"/>
                <w:bCs w:val="false"/>
                <w:sz w:val="18"/>
                <w:szCs w:val="18"/>
              </w:rPr>
              <w:t xml:space="preserve">Scheduled warming ping around the demonstration; one paid month budgeted if the risk is judged unacceptable</w:t>
            </w:r>
          </w:p>
        </w:tc>
      </w:tr>
      <w:tr>
        <w:tc>
          <w:tcPr>
            <w:tcW w:type="dxa" w:w="2722"/>
            <w:tcMar>
              <w:top w:type="dxa" w:w="70"/>
              <w:left w:type="dxa" w:w="110"/>
              <w:bottom w:type="dxa" w:w="70"/>
              <w:right w:type="dxa" w:w="110"/>
            </w:tcMar>
          </w:tcPr>
          <w:p>
            <w:pPr>
              <w:spacing w:after="0" w:line="250"/>
            </w:pPr>
            <w:r>
              <w:rPr>
                <w:b w:val="false"/>
                <w:bCs w:val="false"/>
                <w:sz w:val="18"/>
                <w:szCs w:val="18"/>
              </w:rPr>
              <w:t xml:space="preserve">Configuration drift across four parallel contributors</w:t>
            </w:r>
          </w:p>
        </w:tc>
        <w:tc>
          <w:tcPr>
            <w:tcW w:type="dxa" w:w="2903"/>
            <w:tcMar>
              <w:top w:type="dxa" w:w="70"/>
              <w:left w:type="dxa" w:w="110"/>
              <w:bottom w:type="dxa" w:w="70"/>
              <w:right w:type="dxa" w:w="110"/>
            </w:tcMar>
          </w:tcPr>
          <w:p>
            <w:pPr>
              <w:spacing w:after="0" w:line="250"/>
            </w:pPr>
            <w:r>
              <w:rPr>
                <w:b w:val="false"/>
                <w:bCs w:val="false"/>
                <w:sz w:val="18"/>
                <w:szCs w:val="18"/>
              </w:rPr>
              <w:t xml:space="preserve">A teammate's local setup or a fresh deploy breaks for reasons unrelated to their own work</w:t>
            </w:r>
          </w:p>
        </w:tc>
        <w:tc>
          <w:tcPr>
            <w:tcW w:type="dxa" w:w="3447"/>
            <w:tcMar>
              <w:top w:type="dxa" w:w="70"/>
              <w:left w:type="dxa" w:w="110"/>
              <w:bottom w:type="dxa" w:w="70"/>
              <w:right w:type="dxa" w:w="110"/>
            </w:tcMar>
          </w:tcPr>
          <w:p>
            <w:pPr>
              <w:spacing w:after="0" w:line="250"/>
            </w:pPr>
            <w:r>
              <w:rPr>
                <w:b w:val="false"/>
                <w:bCs w:val="false"/>
                <w:sz w:val="18"/>
                <w:szCs w:val="18"/>
              </w:rPr>
              <w:t xml:space="preserve">The environment-variable example file as a contract, enforced by a pull-request checklist item and later a CI check</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Concentration of deployment knowledge and credentials in one member</w:t>
            </w:r>
          </w:p>
        </w:tc>
        <w:tc>
          <w:tcPr>
            <w:tcW w:type="dxa" w:w="2903"/>
            <w:shd w:fill="F2F5FB" w:color="auto" w:val="clear"/>
            <w:tcMar>
              <w:top w:type="dxa" w:w="70"/>
              <w:left w:type="dxa" w:w="110"/>
              <w:bottom w:type="dxa" w:w="70"/>
              <w:right w:type="dxa" w:w="110"/>
            </w:tcMar>
          </w:tcPr>
          <w:p>
            <w:pPr>
              <w:spacing w:after="0" w:line="250"/>
            </w:pPr>
            <w:r>
              <w:rPr>
                <w:b w:val="false"/>
                <w:bCs w:val="false"/>
                <w:sz w:val="18"/>
                <w:szCs w:val="18"/>
              </w:rPr>
              <w:t xml:space="preserve">The team cannot deploy or diagnose production if that member is unavailable</w:t>
            </w:r>
          </w:p>
        </w:tc>
        <w:tc>
          <w:tcPr>
            <w:tcW w:type="dxa" w:w="3447"/>
            <w:shd w:fill="F2F5FB" w:color="auto" w:val="clear"/>
            <w:tcMar>
              <w:top w:type="dxa" w:w="70"/>
              <w:left w:type="dxa" w:w="110"/>
              <w:bottom w:type="dxa" w:w="70"/>
              <w:right w:type="dxa" w:w="110"/>
            </w:tcMar>
          </w:tcPr>
          <w:p>
            <w:pPr>
              <w:spacing w:after="0" w:line="250"/>
            </w:pPr>
            <w:r>
              <w:rPr>
                <w:b w:val="false"/>
                <w:bCs w:val="false"/>
                <w:sz w:val="18"/>
                <w:szCs w:val="18"/>
              </w:rPr>
              <w:t xml:space="preserve">Hosting accounts under a shared project account with read access for all four; all configuration in the repository; the deploy process documented so any member can redeploy</w:t>
            </w:r>
          </w:p>
        </w:tc>
      </w:tr>
      <w:tr>
        <w:tc>
          <w:tcPr>
            <w:tcW w:type="dxa" w:w="2722"/>
            <w:tcMar>
              <w:top w:type="dxa" w:w="70"/>
              <w:left w:type="dxa" w:w="110"/>
              <w:bottom w:type="dxa" w:w="70"/>
              <w:right w:type="dxa" w:w="110"/>
            </w:tcMar>
          </w:tcPr>
          <w:p>
            <w:pPr>
              <w:spacing w:after="0" w:line="250"/>
            </w:pPr>
            <w:r>
              <w:rPr>
                <w:b w:val="false"/>
                <w:bCs w:val="false"/>
                <w:sz w:val="18"/>
                <w:szCs w:val="18"/>
              </w:rPr>
              <w:t xml:space="preserve">Dependence on one hosted LLM API for generation, grading and phrasing</w:t>
            </w:r>
          </w:p>
        </w:tc>
        <w:tc>
          <w:tcPr>
            <w:tcW w:type="dxa" w:w="2903"/>
            <w:tcMar>
              <w:top w:type="dxa" w:w="70"/>
              <w:left w:type="dxa" w:w="110"/>
              <w:bottom w:type="dxa" w:w="70"/>
              <w:right w:type="dxa" w:w="110"/>
            </w:tcMar>
          </w:tcPr>
          <w:p>
            <w:pPr>
              <w:spacing w:after="0" w:line="250"/>
            </w:pPr>
            <w:r>
              <w:rPr>
                <w:b w:val="false"/>
                <w:bCs w:val="false"/>
                <w:sz w:val="18"/>
                <w:szCs w:val="18"/>
              </w:rPr>
              <w:t xml:space="preserve">A rate limit or outage during a demonstration</w:t>
            </w:r>
          </w:p>
        </w:tc>
        <w:tc>
          <w:tcPr>
            <w:tcW w:type="dxa" w:w="3447"/>
            <w:tcMar>
              <w:top w:type="dxa" w:w="70"/>
              <w:left w:type="dxa" w:w="110"/>
              <w:bottom w:type="dxa" w:w="70"/>
              <w:right w:type="dxa" w:w="110"/>
            </w:tcMar>
          </w:tcPr>
          <w:p>
            <w:pPr>
              <w:spacing w:after="0" w:line="250"/>
            </w:pPr>
            <w:r>
              <w:rPr>
                <w:b w:val="false"/>
                <w:bCs w:val="false"/>
                <w:sz w:val="18"/>
                <w:szCs w:val="18"/>
              </w:rPr>
              <w:t xml:space="preserve">Every path already falls back to a deterministic or template equivalent, verified by running the full flow with no key configured</w:t>
            </w:r>
          </w:p>
        </w:tc>
      </w:tr>
    </w:tbl>
    <w:p>
      <w:r>
        <w:br w:type="page"/>
      </w:r>
    </w:p>
    <w:p>
      <w:pPr>
        <w:pStyle w:val="Heading1"/>
        <w:spacing w:after="170" w:before="340"/>
      </w:pPr>
      <w:r>
        <w:rPr>
          <w:b/>
          <w:bCs/>
          <w:color w:val="1F3864"/>
          <w:sz w:val="30"/>
          <w:szCs w:val="30"/>
        </w:rPr>
        <w:t xml:space="preserve">10. Conclusion</w:t>
      </w:r>
    </w:p>
    <w:p>
      <w:pPr>
        <w:spacing w:after="130" w:line="276"/>
      </w:pPr>
      <w:r>
        <w:rPr>
          <w:sz w:val="21"/>
          <w:szCs w:val="21"/>
        </w:rPr>
        <w:t xml:space="preserve">Taken together, the four workstream reports support one overall conclusion: Mind Atlas is feasible within the team's stated constraints of a single semester, no GPU, free-tier cloud infrastructure throughout, and a single external LLM API that every dependent feature degrades gracefully without. One workstream, test generation and feedback, is already implemented and verified end to end rather than proposed, which gives the project a working core to build the remaining three around rather than four parallel unknowns.</w:t>
      </w:r>
    </w:p>
    <w:p>
      <w:pPr>
        <w:spacing w:after="130" w:line="276"/>
      </w:pPr>
      <w:r>
        <w:rPr>
          <w:sz w:val="21"/>
          <w:szCs w:val="21"/>
        </w:rPr>
        <w:t xml:space="preserve">Each workstream's risk profile is dominated not by technical infeasibility but by a measurement gap. There is no gold set for graph accuracy, no labelled evaluation set for OCR, and no validation of the grading or hallucination-gate heuristics against real student data. Each report proposes the specific, low-effort step that closes its own gap, and Section 7.3 deliberately sequences those steps early, because a measurement built after the feature it measures tends never to be built at all.</w:t>
      </w:r>
    </w:p>
    <w:p>
      <w:pPr>
        <w:spacing w:after="130" w:line="276"/>
      </w:pPr>
      <w:r>
        <w:rPr>
          <w:sz w:val="21"/>
          <w:szCs w:val="21"/>
        </w:rPr>
        <w:t xml:space="preserve">Two structural decisions shape what the project commits to. The runtime boundary between the Node API and the Python services is settled in Section 3.1, so every workstream's dependency list and the container plan describe the same system. And video proctoring is recorded as future scope rather than carried as an unassessed commitment, which makes the project's claims narrower and considerably more defensible. Member 4's containerization and deployment workstream is what turns four independently feasible pieces into one reviewable system, and is positioned first in the build order so the other three never have to work around infrastructure that does not yet exist.</w:t>
      </w:r>
    </w:p>
    <w:p>
      <w:r>
        <w:br w:type="page"/>
      </w:r>
    </w:p>
    <w:p>
      <w:pPr>
        <w:pStyle w:val="Heading1"/>
        <w:spacing w:after="170" w:before="340"/>
      </w:pPr>
      <w:r>
        <w:rPr>
          <w:b/>
          <w:bCs/>
          <w:color w:val="1F3864"/>
          <w:sz w:val="30"/>
          <w:szCs w:val="30"/>
        </w:rPr>
        <w:t xml:space="preserve">Appendix A — Interface Contracts</w:t>
      </w:r>
    </w:p>
    <w:p>
      <w:pPr>
        <w:spacing w:after="130" w:line="276"/>
      </w:pPr>
      <w:r>
        <w:rPr>
          <w:sz w:val="21"/>
          <w:szCs w:val="21"/>
        </w:rPr>
        <w:t xml:space="preserve">Each stage of the pipeline consumes the previous stage's output and nothing else. Each individual report describes its own side of these boundaries; this appendix states them once so both sides agree. One rule applies everywhere: every identifier in the system is a plain 24-character hexadecimal string, on both database backends, and no code should assume a driver-native object identifier.</w:t>
      </w:r>
    </w:p>
    <w:p>
      <w:pPr>
        <w:pStyle w:val="Heading3"/>
        <w:spacing w:after="100" w:before="200"/>
      </w:pPr>
      <w:r>
        <w:rPr>
          <w:b/>
          <w:bCs/>
          <w:sz w:val="22"/>
          <w:szCs w:val="22"/>
        </w:rPr>
        <w:t xml:space="preserve">A.1 Ingestion to knowledge graph — the note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2359"/>
        <w:gridCol w:w="4355"/>
      </w:tblGrid>
      <w:tr>
        <w:trPr>
          <w:tblHeader/>
        </w:trPr>
        <w:tc>
          <w:tcPr>
            <w:tcW w:type="dxa" w:w="2359"/>
            <w:shd w:fill="D9E2F3" w:color="auto" w:val="clear"/>
            <w:tcMar>
              <w:top w:type="dxa" w:w="70"/>
              <w:left w:type="dxa" w:w="110"/>
              <w:bottom w:type="dxa" w:w="70"/>
              <w:right w:type="dxa" w:w="110"/>
            </w:tcMar>
          </w:tcPr>
          <w:p>
            <w:pPr>
              <w:spacing w:after="0" w:line="250"/>
            </w:pPr>
            <w:r>
              <w:rPr>
                <w:b/>
                <w:bCs/>
                <w:sz w:val="18"/>
                <w:szCs w:val="18"/>
              </w:rPr>
              <w:t xml:space="preserve">Field</w:t>
            </w:r>
          </w:p>
        </w:tc>
        <w:tc>
          <w:tcPr>
            <w:tcW w:type="dxa" w:w="2359"/>
            <w:shd w:fill="D9E2F3" w:color="auto" w:val="clear"/>
            <w:tcMar>
              <w:top w:type="dxa" w:w="70"/>
              <w:left w:type="dxa" w:w="110"/>
              <w:bottom w:type="dxa" w:w="70"/>
              <w:right w:type="dxa" w:w="110"/>
            </w:tcMar>
          </w:tcPr>
          <w:p>
            <w:pPr>
              <w:spacing w:after="0" w:line="250"/>
            </w:pPr>
            <w:r>
              <w:rPr>
                <w:b/>
                <w:bCs/>
                <w:sz w:val="18"/>
                <w:szCs w:val="18"/>
              </w:rPr>
              <w:t xml:space="preserve">Type</w:t>
            </w:r>
          </w:p>
        </w:tc>
        <w:tc>
          <w:tcPr>
            <w:tcW w:type="dxa" w:w="4355"/>
            <w:shd w:fill="D9E2F3" w:color="auto" w:val="clear"/>
            <w:tcMar>
              <w:top w:type="dxa" w:w="70"/>
              <w:left w:type="dxa" w:w="110"/>
              <w:bottom w:type="dxa" w:w="70"/>
              <w:right w:type="dxa" w:w="110"/>
            </w:tcMar>
          </w:tcPr>
          <w:p>
            <w:pPr>
              <w:spacing w:after="0" w:line="250"/>
            </w:pPr>
            <w:r>
              <w:rPr>
                <w:b/>
                <w:bCs/>
                <w:sz w:val="18"/>
                <w:szCs w:val="18"/>
              </w:rPr>
              <w:t xml:space="preserve">Notes</w:t>
            </w:r>
          </w:p>
        </w:tc>
      </w:tr>
      <w:tr>
        <w:tc>
          <w:tcPr>
            <w:tcW w:type="dxa" w:w="2359"/>
            <w:tcMar>
              <w:top w:type="dxa" w:w="70"/>
              <w:left w:type="dxa" w:w="110"/>
              <w:bottom w:type="dxa" w:w="70"/>
              <w:right w:type="dxa" w:w="110"/>
            </w:tcMar>
          </w:tcPr>
          <w:p>
            <w:pPr>
              <w:spacing w:after="0" w:line="250"/>
            </w:pPr>
            <w:r>
              <w:rPr>
                <w:b w:val="false"/>
                <w:bCs w:val="false"/>
                <w:sz w:val="18"/>
                <w:szCs w:val="18"/>
              </w:rPr>
              <w:t xml:space="preserve">_id, ownerId, subjectId</w:t>
            </w:r>
          </w:p>
        </w:tc>
        <w:tc>
          <w:tcPr>
            <w:tcW w:type="dxa" w:w="2359"/>
            <w:tcMar>
              <w:top w:type="dxa" w:w="70"/>
              <w:left w:type="dxa" w:w="110"/>
              <w:bottom w:type="dxa" w:w="70"/>
              <w:right w:type="dxa" w:w="110"/>
            </w:tcMar>
          </w:tcPr>
          <w:p>
            <w:pPr>
              <w:spacing w:after="0" w:line="250"/>
            </w:pPr>
            <w:r>
              <w:rPr>
                <w:b w:val="false"/>
                <w:bCs w:val="false"/>
                <w:sz w:val="18"/>
                <w:szCs w:val="18"/>
              </w:rPr>
              <w:t xml:space="preserve">24-hex string</w:t>
            </w:r>
          </w:p>
        </w:tc>
        <w:tc>
          <w:tcPr>
            <w:tcW w:type="dxa" w:w="4355"/>
            <w:tcMar>
              <w:top w:type="dxa" w:w="70"/>
              <w:left w:type="dxa" w:w="110"/>
              <w:bottom w:type="dxa" w:w="70"/>
              <w:right w:type="dxa" w:w="110"/>
            </w:tcMar>
          </w:tcPr>
          <w:p>
            <w:pPr>
              <w:spacing w:after="0" w:line="250"/>
            </w:pPr>
            <w:r>
              <w:rPr>
                <w:b w:val="false"/>
                <w:bCs w:val="false"/>
                <w:sz w:val="18"/>
                <w:szCs w:val="18"/>
              </w:rPr>
              <w:t xml:space="preserve">Ownership scoping is enforced on every read</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title</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string</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Also the human-readable topic label used today</w:t>
            </w:r>
          </w:p>
        </w:tc>
      </w:tr>
      <w:tr>
        <w:tc>
          <w:tcPr>
            <w:tcW w:type="dxa" w:w="2359"/>
            <w:tcMar>
              <w:top w:type="dxa" w:w="70"/>
              <w:left w:type="dxa" w:w="110"/>
              <w:bottom w:type="dxa" w:w="70"/>
              <w:right w:type="dxa" w:w="110"/>
            </w:tcMar>
          </w:tcPr>
          <w:p>
            <w:pPr>
              <w:spacing w:after="0" w:line="250"/>
            </w:pPr>
            <w:r>
              <w:rPr>
                <w:b w:val="false"/>
                <w:bCs w:val="false"/>
                <w:sz w:val="18"/>
                <w:szCs w:val="18"/>
              </w:rPr>
              <w:t xml:space="preserve">sourceType</w:t>
            </w:r>
          </w:p>
        </w:tc>
        <w:tc>
          <w:tcPr>
            <w:tcW w:type="dxa" w:w="2359"/>
            <w:tcMar>
              <w:top w:type="dxa" w:w="70"/>
              <w:left w:type="dxa" w:w="110"/>
              <w:bottom w:type="dxa" w:w="70"/>
              <w:right w:type="dxa" w:w="110"/>
            </w:tcMar>
          </w:tcPr>
          <w:p>
            <w:pPr>
              <w:spacing w:after="0" w:line="250"/>
            </w:pPr>
            <w:r>
              <w:rPr>
                <w:b w:val="false"/>
                <w:bCs w:val="false"/>
                <w:sz w:val="18"/>
                <w:szCs w:val="18"/>
              </w:rPr>
              <w:t xml:space="preserve">typed | image | pdf | docx</w:t>
            </w:r>
          </w:p>
        </w:tc>
        <w:tc>
          <w:tcPr>
            <w:tcW w:type="dxa" w:w="4355"/>
            <w:tcMar>
              <w:top w:type="dxa" w:w="70"/>
              <w:left w:type="dxa" w:w="110"/>
              <w:bottom w:type="dxa" w:w="70"/>
              <w:right w:type="dxa" w:w="110"/>
            </w:tcMar>
          </w:tcPr>
          <w:p>
            <w:pPr>
              <w:spacing w:after="0" w:line="250"/>
            </w:pPr>
            <w:r>
              <w:rPr>
                <w:b w:val="false"/>
                <w:bCs w:val="false"/>
                <w:sz w:val="18"/>
                <w:szCs w:val="18"/>
              </w:rPr>
              <w:t xml:space="preserve">The pdf and docx values are reserved and not yet produced</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rawText</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string</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Extracted text, sanitised</w:t>
            </w:r>
          </w:p>
        </w:tc>
      </w:tr>
      <w:tr>
        <w:tc>
          <w:tcPr>
            <w:tcW w:type="dxa" w:w="2359"/>
            <w:tcMar>
              <w:top w:type="dxa" w:w="70"/>
              <w:left w:type="dxa" w:w="110"/>
              <w:bottom w:type="dxa" w:w="70"/>
              <w:right w:type="dxa" w:w="110"/>
            </w:tcMar>
          </w:tcPr>
          <w:p>
            <w:pPr>
              <w:spacing w:after="0" w:line="250"/>
            </w:pPr>
            <w:r>
              <w:rPr>
                <w:b w:val="false"/>
                <w:bCs w:val="false"/>
                <w:sz w:val="18"/>
                <w:szCs w:val="18"/>
              </w:rPr>
              <w:t xml:space="preserve">keywords</w:t>
            </w:r>
          </w:p>
        </w:tc>
        <w:tc>
          <w:tcPr>
            <w:tcW w:type="dxa" w:w="2359"/>
            <w:tcMar>
              <w:top w:type="dxa" w:w="70"/>
              <w:left w:type="dxa" w:w="110"/>
              <w:bottom w:type="dxa" w:w="70"/>
              <w:right w:type="dxa" w:w="110"/>
            </w:tcMar>
          </w:tcPr>
          <w:p>
            <w:pPr>
              <w:spacing w:after="0" w:line="250"/>
            </w:pPr>
            <w:r>
              <w:rPr>
                <w:b w:val="false"/>
                <w:bCs w:val="false"/>
                <w:sz w:val="18"/>
                <w:szCs w:val="18"/>
              </w:rPr>
              <w:t xml:space="preserve">string[]</w:t>
            </w:r>
          </w:p>
        </w:tc>
        <w:tc>
          <w:tcPr>
            <w:tcW w:type="dxa" w:w="4355"/>
            <w:tcMar>
              <w:top w:type="dxa" w:w="70"/>
              <w:left w:type="dxa" w:w="110"/>
              <w:bottom w:type="dxa" w:w="70"/>
              <w:right w:type="dxa" w:w="110"/>
            </w:tcMar>
          </w:tcPr>
          <w:p>
            <w:pPr>
              <w:spacing w:after="0" w:line="250"/>
            </w:pPr>
            <w:r>
              <w:rPr>
                <w:b w:val="false"/>
                <w:bCs w:val="false"/>
                <w:sz w:val="18"/>
                <w:szCs w:val="18"/>
              </w:rPr>
              <w:t xml:space="preserve">Ranked, corpus-aware</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vector</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object</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Term-weight map; replaced by embeddingRef once embeddings land</w:t>
            </w:r>
          </w:p>
        </w:tc>
      </w:tr>
      <w:tr>
        <w:tc>
          <w:tcPr>
            <w:tcW w:type="dxa" w:w="2359"/>
            <w:tcMar>
              <w:top w:type="dxa" w:w="70"/>
              <w:left w:type="dxa" w:w="110"/>
              <w:bottom w:type="dxa" w:w="70"/>
              <w:right w:type="dxa" w:w="110"/>
            </w:tcMar>
          </w:tcPr>
          <w:p>
            <w:pPr>
              <w:spacing w:after="0" w:line="250"/>
            </w:pPr>
            <w:r>
              <w:rPr>
                <w:b w:val="false"/>
                <w:bCs w:val="false"/>
                <w:sz w:val="18"/>
                <w:szCs w:val="18"/>
              </w:rPr>
              <w:t xml:space="preserve">embeddingRef</w:t>
            </w:r>
          </w:p>
        </w:tc>
        <w:tc>
          <w:tcPr>
            <w:tcW w:type="dxa" w:w="2359"/>
            <w:tcMar>
              <w:top w:type="dxa" w:w="70"/>
              <w:left w:type="dxa" w:w="110"/>
              <w:bottom w:type="dxa" w:w="70"/>
              <w:right w:type="dxa" w:w="110"/>
            </w:tcMar>
          </w:tcPr>
          <w:p>
            <w:pPr>
              <w:spacing w:after="0" w:line="250"/>
            </w:pPr>
            <w:r>
              <w:rPr>
                <w:b w:val="false"/>
                <w:bCs w:val="false"/>
                <w:sz w:val="18"/>
                <w:szCs w:val="18"/>
              </w:rPr>
              <w:t xml:space="preserve">string | null</w:t>
            </w:r>
          </w:p>
        </w:tc>
        <w:tc>
          <w:tcPr>
            <w:tcW w:type="dxa" w:w="4355"/>
            <w:tcMar>
              <w:top w:type="dxa" w:w="70"/>
              <w:left w:type="dxa" w:w="110"/>
              <w:bottom w:type="dxa" w:w="70"/>
              <w:right w:type="dxa" w:w="110"/>
            </w:tcMar>
          </w:tcPr>
          <w:p>
            <w:pPr>
              <w:spacing w:after="0" w:line="250"/>
            </w:pPr>
            <w:r>
              <w:rPr>
                <w:b w:val="false"/>
                <w:bCs w:val="false"/>
                <w:sz w:val="18"/>
                <w:szCs w:val="18"/>
              </w:rPr>
              <w:t xml:space="preserve">Planned — pointer into the vector index, so embeddings stay out of the note document</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ocrConfidence</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number 0–100 | null</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Planned — length-weighted mean word confidence</w:t>
            </w:r>
          </w:p>
        </w:tc>
      </w:tr>
      <w:tr>
        <w:tc>
          <w:tcPr>
            <w:tcW w:type="dxa" w:w="2359"/>
            <w:tcMar>
              <w:top w:type="dxa" w:w="70"/>
              <w:left w:type="dxa" w:w="110"/>
              <w:bottom w:type="dxa" w:w="70"/>
              <w:right w:type="dxa" w:w="110"/>
            </w:tcMar>
          </w:tcPr>
          <w:p>
            <w:pPr>
              <w:spacing w:after="0" w:line="250"/>
            </w:pPr>
            <w:r>
              <w:rPr>
                <w:b w:val="false"/>
                <w:bCs w:val="false"/>
                <w:sz w:val="18"/>
                <w:szCs w:val="18"/>
              </w:rPr>
              <w:t xml:space="preserve">ocrEngine</w:t>
            </w:r>
          </w:p>
        </w:tc>
        <w:tc>
          <w:tcPr>
            <w:tcW w:type="dxa" w:w="2359"/>
            <w:tcMar>
              <w:top w:type="dxa" w:w="70"/>
              <w:left w:type="dxa" w:w="110"/>
              <w:bottom w:type="dxa" w:w="70"/>
              <w:right w:type="dxa" w:w="110"/>
            </w:tcMar>
          </w:tcPr>
          <w:p>
            <w:pPr>
              <w:spacing w:after="0" w:line="250"/>
            </w:pPr>
            <w:r>
              <w:rPr>
                <w:b w:val="false"/>
                <w:bCs w:val="false"/>
                <w:sz w:val="18"/>
                <w:szCs w:val="18"/>
              </w:rPr>
              <w:t xml:space="preserve">tesseract | cloud-vision | null</w:t>
            </w:r>
          </w:p>
        </w:tc>
        <w:tc>
          <w:tcPr>
            <w:tcW w:type="dxa" w:w="4355"/>
            <w:tcMar>
              <w:top w:type="dxa" w:w="70"/>
              <w:left w:type="dxa" w:w="110"/>
              <w:bottom w:type="dxa" w:w="70"/>
              <w:right w:type="dxa" w:w="110"/>
            </w:tcMar>
          </w:tcPr>
          <w:p>
            <w:pPr>
              <w:spacing w:after="0" w:line="250"/>
            </w:pPr>
            <w:r>
              <w:rPr>
                <w:b w:val="false"/>
                <w:bCs w:val="false"/>
                <w:sz w:val="18"/>
                <w:szCs w:val="18"/>
              </w:rPr>
              <w:t xml:space="preserve">Planned — which engine produced the text</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ocrFailed</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boolean</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Set when recognition could not run at all</w:t>
            </w:r>
          </w:p>
        </w:tc>
      </w:tr>
    </w:tbl>
    <w:p>
      <w:pPr>
        <w:spacing w:after="170"/>
      </w:pPr>
    </w:p>
    <w:p>
      <w:pPr>
        <w:pStyle w:val="Heading3"/>
        <w:spacing w:after="100" w:before="200"/>
      </w:pPr>
      <w:r>
        <w:rPr>
          <w:b/>
          <w:bCs/>
          <w:sz w:val="22"/>
          <w:szCs w:val="22"/>
        </w:rPr>
        <w:t xml:space="preserve">A.2 Knowledge graph to test generation — the edge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1814"/>
        <w:gridCol w:w="4536"/>
      </w:tblGrid>
      <w:tr>
        <w:trPr>
          <w:tblHeader/>
        </w:trPr>
        <w:tc>
          <w:tcPr>
            <w:tcW w:type="dxa" w:w="2722"/>
            <w:shd w:fill="D9E2F3" w:color="auto" w:val="clear"/>
            <w:tcMar>
              <w:top w:type="dxa" w:w="70"/>
              <w:left w:type="dxa" w:w="110"/>
              <w:bottom w:type="dxa" w:w="70"/>
              <w:right w:type="dxa" w:w="110"/>
            </w:tcMar>
          </w:tcPr>
          <w:p>
            <w:pPr>
              <w:spacing w:after="0" w:line="250"/>
            </w:pPr>
            <w:r>
              <w:rPr>
                <w:b/>
                <w:bCs/>
                <w:sz w:val="18"/>
                <w:szCs w:val="18"/>
              </w:rPr>
              <w:t xml:space="preserve">Field</w:t>
            </w:r>
          </w:p>
        </w:tc>
        <w:tc>
          <w:tcPr>
            <w:tcW w:type="dxa" w:w="1814"/>
            <w:shd w:fill="D9E2F3" w:color="auto" w:val="clear"/>
            <w:tcMar>
              <w:top w:type="dxa" w:w="70"/>
              <w:left w:type="dxa" w:w="110"/>
              <w:bottom w:type="dxa" w:w="70"/>
              <w:right w:type="dxa" w:w="110"/>
            </w:tcMar>
          </w:tcPr>
          <w:p>
            <w:pPr>
              <w:spacing w:after="0" w:line="250"/>
            </w:pPr>
            <w:r>
              <w:rPr>
                <w:b/>
                <w:bCs/>
                <w:sz w:val="18"/>
                <w:szCs w:val="18"/>
              </w:rPr>
              <w:t xml:space="preserve">Type</w:t>
            </w:r>
          </w:p>
        </w:tc>
        <w:tc>
          <w:tcPr>
            <w:tcW w:type="dxa" w:w="4536"/>
            <w:shd w:fill="D9E2F3" w:color="auto" w:val="clear"/>
            <w:tcMar>
              <w:top w:type="dxa" w:w="70"/>
              <w:left w:type="dxa" w:w="110"/>
              <w:bottom w:type="dxa" w:w="70"/>
              <w:right w:type="dxa" w:w="110"/>
            </w:tcMar>
          </w:tcPr>
          <w:p>
            <w:pPr>
              <w:spacing w:after="0" w:line="250"/>
            </w:pPr>
            <w:r>
              <w:rPr>
                <w:b/>
                <w:bCs/>
                <w:sz w:val="18"/>
                <w:szCs w:val="18"/>
              </w:rPr>
              <w:t xml:space="preserve">Notes</w:t>
            </w:r>
          </w:p>
        </w:tc>
      </w:tr>
      <w:tr>
        <w:tc>
          <w:tcPr>
            <w:tcW w:type="dxa" w:w="2722"/>
            <w:tcMar>
              <w:top w:type="dxa" w:w="70"/>
              <w:left w:type="dxa" w:w="110"/>
              <w:bottom w:type="dxa" w:w="70"/>
              <w:right w:type="dxa" w:w="110"/>
            </w:tcMar>
          </w:tcPr>
          <w:p>
            <w:pPr>
              <w:spacing w:after="0" w:line="250"/>
            </w:pPr>
            <w:r>
              <w:rPr>
                <w:b w:val="false"/>
                <w:bCs w:val="false"/>
                <w:sz w:val="18"/>
                <w:szCs w:val="18"/>
              </w:rPr>
              <w:t xml:space="preserve">_id, subjectId, sourceNoteId, targetNoteId</w:t>
            </w:r>
          </w:p>
        </w:tc>
        <w:tc>
          <w:tcPr>
            <w:tcW w:type="dxa" w:w="1814"/>
            <w:tcMar>
              <w:top w:type="dxa" w:w="70"/>
              <w:left w:type="dxa" w:w="110"/>
              <w:bottom w:type="dxa" w:w="70"/>
              <w:right w:type="dxa" w:w="110"/>
            </w:tcMar>
          </w:tcPr>
          <w:p>
            <w:pPr>
              <w:spacing w:after="0" w:line="250"/>
            </w:pPr>
            <w:r>
              <w:rPr>
                <w:b w:val="false"/>
                <w:bCs w:val="false"/>
                <w:sz w:val="18"/>
                <w:szCs w:val="18"/>
              </w:rPr>
              <w:t xml:space="preserve">24-hex string</w:t>
            </w:r>
          </w:p>
        </w:tc>
        <w:tc>
          <w:tcPr>
            <w:tcW w:type="dxa" w:w="4536"/>
            <w:tcMar>
              <w:top w:type="dxa" w:w="70"/>
              <w:left w:type="dxa" w:w="110"/>
              <w:bottom w:type="dxa" w:w="70"/>
              <w:right w:type="dxa" w:w="110"/>
            </w:tcMar>
          </w:tcPr>
          <w:p>
            <w:pPr>
              <w:spacing w:after="0" w:line="250"/>
            </w:pPr>
            <w:r>
              <w:rPr>
                <w:b w:val="false"/>
                <w:bCs w:val="false"/>
                <w:sz w:val="18"/>
                <w:szCs w:val="18"/>
              </w:rPr>
              <w:t xml:space="preserve">Edges are stored with endpoints in a stable order so a pair is never duplicated</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weight</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number 0–1</w:t>
            </w:r>
          </w:p>
        </w:tc>
        <w:tc>
          <w:tcPr>
            <w:tcW w:type="dxa" w:w="4536"/>
            <w:shd w:fill="F2F5FB" w:color="auto" w:val="clear"/>
            <w:tcMar>
              <w:top w:type="dxa" w:w="70"/>
              <w:left w:type="dxa" w:w="110"/>
              <w:bottom w:type="dxa" w:w="70"/>
              <w:right w:type="dxa" w:w="110"/>
            </w:tcMar>
          </w:tcPr>
          <w:p>
            <w:pPr>
              <w:spacing w:after="0" w:line="250"/>
            </w:pPr>
            <w:r>
              <w:rPr>
                <w:b w:val="false"/>
                <w:bCs w:val="false"/>
                <w:sz w:val="18"/>
                <w:szCs w:val="18"/>
              </w:rPr>
              <w:t xml:space="preserve">Similarity score</w:t>
            </w:r>
          </w:p>
        </w:tc>
      </w:tr>
      <w:tr>
        <w:tc>
          <w:tcPr>
            <w:tcW w:type="dxa" w:w="2722"/>
            <w:tcMar>
              <w:top w:type="dxa" w:w="70"/>
              <w:left w:type="dxa" w:w="110"/>
              <w:bottom w:type="dxa" w:w="70"/>
              <w:right w:type="dxa" w:w="110"/>
            </w:tcMar>
          </w:tcPr>
          <w:p>
            <w:pPr>
              <w:spacing w:after="0" w:line="250"/>
            </w:pPr>
            <w:r>
              <w:rPr>
                <w:b w:val="false"/>
                <w:bCs w:val="false"/>
                <w:sz w:val="18"/>
                <w:szCs w:val="18"/>
              </w:rPr>
              <w:t xml:space="preserve">sharedKeywords</w:t>
            </w:r>
          </w:p>
        </w:tc>
        <w:tc>
          <w:tcPr>
            <w:tcW w:type="dxa" w:w="1814"/>
            <w:tcMar>
              <w:top w:type="dxa" w:w="70"/>
              <w:left w:type="dxa" w:w="110"/>
              <w:bottom w:type="dxa" w:w="70"/>
              <w:right w:type="dxa" w:w="110"/>
            </w:tcMar>
          </w:tcPr>
          <w:p>
            <w:pPr>
              <w:spacing w:after="0" w:line="250"/>
            </w:pPr>
            <w:r>
              <w:rPr>
                <w:b w:val="false"/>
                <w:bCs w:val="false"/>
                <w:sz w:val="18"/>
                <w:szCs w:val="18"/>
              </w:rPr>
              <w:t xml:space="preserve">string[]</w:t>
            </w:r>
          </w:p>
        </w:tc>
        <w:tc>
          <w:tcPr>
            <w:tcW w:type="dxa" w:w="4536"/>
            <w:tcMar>
              <w:top w:type="dxa" w:w="70"/>
              <w:left w:type="dxa" w:w="110"/>
              <w:bottom w:type="dxa" w:w="70"/>
              <w:right w:type="dxa" w:w="110"/>
            </w:tcMar>
          </w:tcPr>
          <w:p>
            <w:pPr>
              <w:spacing w:after="0" w:line="250"/>
            </w:pPr>
            <w:r>
              <w:rPr>
                <w:b w:val="false"/>
                <w:bCs w:val="false"/>
                <w:sz w:val="18"/>
                <w:szCs w:val="18"/>
              </w:rPr>
              <w:t xml:space="preserve">Shown on the edge in the graph view</w:t>
            </w:r>
          </w:p>
        </w:tc>
      </w:tr>
      <w:tr>
        <w:tc>
          <w:tcPr>
            <w:tcW w:type="dxa" w:w="2722"/>
            <w:shd w:fill="F2F5FB" w:color="auto" w:val="clear"/>
            <w:tcMar>
              <w:top w:type="dxa" w:w="70"/>
              <w:left w:type="dxa" w:w="110"/>
              <w:bottom w:type="dxa" w:w="70"/>
              <w:right w:type="dxa" w:w="110"/>
            </w:tcMar>
          </w:tcPr>
          <w:p>
            <w:pPr>
              <w:spacing w:after="0" w:line="250"/>
            </w:pPr>
            <w:r>
              <w:rPr>
                <w:b w:val="false"/>
                <w:bCs w:val="false"/>
                <w:sz w:val="18"/>
                <w:szCs w:val="18"/>
              </w:rPr>
              <w:t xml:space="preserve">confidenceScore</w:t>
            </w:r>
          </w:p>
        </w:tc>
        <w:tc>
          <w:tcPr>
            <w:tcW w:type="dxa" w:w="1814"/>
            <w:shd w:fill="F2F5FB" w:color="auto" w:val="clear"/>
            <w:tcMar>
              <w:top w:type="dxa" w:w="70"/>
              <w:left w:type="dxa" w:w="110"/>
              <w:bottom w:type="dxa" w:w="70"/>
              <w:right w:type="dxa" w:w="110"/>
            </w:tcMar>
          </w:tcPr>
          <w:p>
            <w:pPr>
              <w:spacing w:after="0" w:line="250"/>
            </w:pPr>
            <w:r>
              <w:rPr>
                <w:b w:val="false"/>
                <w:bCs w:val="false"/>
                <w:sz w:val="18"/>
                <w:szCs w:val="18"/>
              </w:rPr>
              <w:t xml:space="preserve">number 0–1</w:t>
            </w:r>
          </w:p>
        </w:tc>
        <w:tc>
          <w:tcPr>
            <w:tcW w:type="dxa" w:w="4536"/>
            <w:shd w:fill="F2F5FB" w:color="auto" w:val="clear"/>
            <w:tcMar>
              <w:top w:type="dxa" w:w="70"/>
              <w:left w:type="dxa" w:w="110"/>
              <w:bottom w:type="dxa" w:w="70"/>
              <w:right w:type="dxa" w:w="110"/>
            </w:tcMar>
          </w:tcPr>
          <w:p>
            <w:pPr>
              <w:spacing w:after="0" w:line="250"/>
            </w:pPr>
            <w:r>
              <w:rPr>
                <w:b w:val="false"/>
                <w:bCs w:val="false"/>
                <w:sz w:val="18"/>
                <w:szCs w:val="18"/>
              </w:rPr>
              <w:t xml:space="preserve">Planned — output of the edge-confidence model</w:t>
            </w:r>
          </w:p>
        </w:tc>
      </w:tr>
      <w:tr>
        <w:tc>
          <w:tcPr>
            <w:tcW w:type="dxa" w:w="2722"/>
            <w:tcMar>
              <w:top w:type="dxa" w:w="70"/>
              <w:left w:type="dxa" w:w="110"/>
              <w:bottom w:type="dxa" w:w="70"/>
              <w:right w:type="dxa" w:w="110"/>
            </w:tcMar>
          </w:tcPr>
          <w:p>
            <w:pPr>
              <w:spacing w:after="0" w:line="250"/>
            </w:pPr>
            <w:r>
              <w:rPr>
                <w:b w:val="false"/>
                <w:bCs w:val="false"/>
                <w:sz w:val="18"/>
                <w:szCs w:val="18"/>
              </w:rPr>
              <w:t xml:space="preserve">status</w:t>
            </w:r>
          </w:p>
        </w:tc>
        <w:tc>
          <w:tcPr>
            <w:tcW w:type="dxa" w:w="1814"/>
            <w:tcMar>
              <w:top w:type="dxa" w:w="70"/>
              <w:left w:type="dxa" w:w="110"/>
              <w:bottom w:type="dxa" w:w="70"/>
              <w:right w:type="dxa" w:w="110"/>
            </w:tcMar>
          </w:tcPr>
          <w:p>
            <w:pPr>
              <w:spacing w:after="0" w:line="250"/>
            </w:pPr>
            <w:r>
              <w:rPr>
                <w:b w:val="false"/>
                <w:bCs w:val="false"/>
                <w:sz w:val="18"/>
                <w:szCs w:val="18"/>
              </w:rPr>
              <w:t xml:space="preserve">active | flagged</w:t>
            </w:r>
          </w:p>
        </w:tc>
        <w:tc>
          <w:tcPr>
            <w:tcW w:type="dxa" w:w="4536"/>
            <w:tcMar>
              <w:top w:type="dxa" w:w="70"/>
              <w:left w:type="dxa" w:w="110"/>
              <w:bottom w:type="dxa" w:w="70"/>
              <w:right w:type="dxa" w:w="110"/>
            </w:tcMar>
          </w:tcPr>
          <w:p>
            <w:pPr>
              <w:spacing w:after="0" w:line="250"/>
            </w:pPr>
            <w:r>
              <w:rPr>
                <w:b w:val="false"/>
                <w:bCs w:val="false"/>
                <w:sz w:val="18"/>
                <w:szCs w:val="18"/>
              </w:rPr>
              <w:t xml:space="preserve">Planned — flagged edges surface in the review interface and are never deleted automatically</w:t>
            </w:r>
          </w:p>
        </w:tc>
      </w:tr>
    </w:tbl>
    <w:p>
      <w:pPr>
        <w:spacing w:after="90"/>
      </w:pPr>
    </w:p>
    <w:p>
      <w:pPr>
        <w:spacing w:after="130" w:line="276"/>
      </w:pPr>
      <w:r>
        <w:rPr>
          <w:b/>
          <w:bCs/>
          <w:sz w:val="21"/>
          <w:szCs w:val="21"/>
        </w:rPr>
        <w:t xml:space="preserve">Open action. </w:t>
      </w:r>
      <w:r>
        <w:rPr>
          <w:b w:val="false"/>
          <w:bCs w:val="false"/>
          <w:sz w:val="21"/>
          <w:szCs w:val="21"/>
        </w:rPr>
        <w:t xml:space="preserve">Member 3's test builder currently addresses topics by note title. The target contract is to address them by note id, so that graph node ids become the shared topic vocabulary across the graph, the test builder and the feedback engine. This should be changed before the feedback engine begins mapping weak topics back onto graph nodes.</w:t>
      </w:r>
    </w:p>
    <w:p>
      <w:pPr>
        <w:pStyle w:val="Heading3"/>
        <w:spacing w:after="100" w:before="200"/>
      </w:pPr>
      <w:r>
        <w:rPr>
          <w:b/>
          <w:bCs/>
          <w:sz w:val="22"/>
          <w:szCs w:val="22"/>
        </w:rPr>
        <w:t xml:space="preserve">A.3 Test attempt to feedback — the response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2359"/>
        <w:gridCol w:w="4355"/>
      </w:tblGrid>
      <w:tr>
        <w:trPr>
          <w:tblHeader/>
        </w:trPr>
        <w:tc>
          <w:tcPr>
            <w:tcW w:type="dxa" w:w="2359"/>
            <w:shd w:fill="D9E2F3" w:color="auto" w:val="clear"/>
            <w:tcMar>
              <w:top w:type="dxa" w:w="70"/>
              <w:left w:type="dxa" w:w="110"/>
              <w:bottom w:type="dxa" w:w="70"/>
              <w:right w:type="dxa" w:w="110"/>
            </w:tcMar>
          </w:tcPr>
          <w:p>
            <w:pPr>
              <w:spacing w:after="0" w:line="250"/>
            </w:pPr>
            <w:r>
              <w:rPr>
                <w:b/>
                <w:bCs/>
                <w:sz w:val="18"/>
                <w:szCs w:val="18"/>
              </w:rPr>
              <w:t xml:space="preserve">Field</w:t>
            </w:r>
          </w:p>
        </w:tc>
        <w:tc>
          <w:tcPr>
            <w:tcW w:type="dxa" w:w="2359"/>
            <w:shd w:fill="D9E2F3" w:color="auto" w:val="clear"/>
            <w:tcMar>
              <w:top w:type="dxa" w:w="70"/>
              <w:left w:type="dxa" w:w="110"/>
              <w:bottom w:type="dxa" w:w="70"/>
              <w:right w:type="dxa" w:w="110"/>
            </w:tcMar>
          </w:tcPr>
          <w:p>
            <w:pPr>
              <w:spacing w:after="0" w:line="250"/>
            </w:pPr>
            <w:r>
              <w:rPr>
                <w:b/>
                <w:bCs/>
                <w:sz w:val="18"/>
                <w:szCs w:val="18"/>
              </w:rPr>
              <w:t xml:space="preserve">Type</w:t>
            </w:r>
          </w:p>
        </w:tc>
        <w:tc>
          <w:tcPr>
            <w:tcW w:type="dxa" w:w="4355"/>
            <w:shd w:fill="D9E2F3" w:color="auto" w:val="clear"/>
            <w:tcMar>
              <w:top w:type="dxa" w:w="70"/>
              <w:left w:type="dxa" w:w="110"/>
              <w:bottom w:type="dxa" w:w="70"/>
              <w:right w:type="dxa" w:w="110"/>
            </w:tcMar>
          </w:tcPr>
          <w:p>
            <w:pPr>
              <w:spacing w:after="0" w:line="250"/>
            </w:pPr>
            <w:r>
              <w:rPr>
                <w:b/>
                <w:bCs/>
                <w:sz w:val="18"/>
                <w:szCs w:val="18"/>
              </w:rPr>
              <w:t xml:space="preserve">Notes</w:t>
            </w:r>
          </w:p>
        </w:tc>
      </w:tr>
      <w:tr>
        <w:tc>
          <w:tcPr>
            <w:tcW w:type="dxa" w:w="2359"/>
            <w:tcMar>
              <w:top w:type="dxa" w:w="70"/>
              <w:left w:type="dxa" w:w="110"/>
              <w:bottom w:type="dxa" w:w="70"/>
              <w:right w:type="dxa" w:w="110"/>
            </w:tcMar>
          </w:tcPr>
          <w:p>
            <w:pPr>
              <w:spacing w:after="0" w:line="250"/>
            </w:pPr>
            <w:r>
              <w:rPr>
                <w:b w:val="false"/>
                <w:bCs w:val="false"/>
                <w:sz w:val="18"/>
                <w:szCs w:val="18"/>
              </w:rPr>
              <w:t xml:space="preserve">attemptId, questionId</w:t>
            </w:r>
          </w:p>
        </w:tc>
        <w:tc>
          <w:tcPr>
            <w:tcW w:type="dxa" w:w="2359"/>
            <w:tcMar>
              <w:top w:type="dxa" w:w="70"/>
              <w:left w:type="dxa" w:w="110"/>
              <w:bottom w:type="dxa" w:w="70"/>
              <w:right w:type="dxa" w:w="110"/>
            </w:tcMar>
          </w:tcPr>
          <w:p>
            <w:pPr>
              <w:spacing w:after="0" w:line="250"/>
            </w:pPr>
            <w:r>
              <w:rPr>
                <w:b w:val="false"/>
                <w:bCs w:val="false"/>
                <w:sz w:val="18"/>
                <w:szCs w:val="18"/>
              </w:rPr>
              <w:t xml:space="preserve">24-hex string</w:t>
            </w:r>
          </w:p>
        </w:tc>
        <w:tc>
          <w:tcPr>
            <w:tcW w:type="dxa" w:w="4355"/>
            <w:tcMar>
              <w:top w:type="dxa" w:w="70"/>
              <w:left w:type="dxa" w:w="110"/>
              <w:bottom w:type="dxa" w:w="70"/>
              <w:right w:type="dxa" w:w="110"/>
            </w:tcMar>
          </w:tcPr>
          <w:p>
            <w:pPr>
              <w:spacing w:after="0" w:line="250"/>
            </w:pPr>
            <w:r>
              <w:rPr>
                <w:b w:val="false"/>
                <w:bCs w:val="false"/>
                <w:sz w:val="18"/>
                <w:szCs w:val="18"/>
              </w:rPr>
              <w:t xml:space="preserve">A response is unique per attempt and question</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answer</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string</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The selected option, or free text for a theory item</w:t>
            </w:r>
          </w:p>
        </w:tc>
      </w:tr>
      <w:tr>
        <w:tc>
          <w:tcPr>
            <w:tcW w:type="dxa" w:w="2359"/>
            <w:tcMar>
              <w:top w:type="dxa" w:w="70"/>
              <w:left w:type="dxa" w:w="110"/>
              <w:bottom w:type="dxa" w:w="70"/>
              <w:right w:type="dxa" w:w="110"/>
            </w:tcMar>
          </w:tcPr>
          <w:p>
            <w:pPr>
              <w:spacing w:after="0" w:line="250"/>
            </w:pPr>
            <w:r>
              <w:rPr>
                <w:b w:val="false"/>
                <w:bCs w:val="false"/>
                <w:sz w:val="18"/>
                <w:szCs w:val="18"/>
              </w:rPr>
              <w:t xml:space="preserve">isCorrect</w:t>
            </w:r>
          </w:p>
        </w:tc>
        <w:tc>
          <w:tcPr>
            <w:tcW w:type="dxa" w:w="2359"/>
            <w:tcMar>
              <w:top w:type="dxa" w:w="70"/>
              <w:left w:type="dxa" w:w="110"/>
              <w:bottom w:type="dxa" w:w="70"/>
              <w:right w:type="dxa" w:w="110"/>
            </w:tcMar>
          </w:tcPr>
          <w:p>
            <w:pPr>
              <w:spacing w:after="0" w:line="250"/>
            </w:pPr>
            <w:r>
              <w:rPr>
                <w:b w:val="false"/>
                <w:bCs w:val="false"/>
                <w:sz w:val="18"/>
                <w:szCs w:val="18"/>
              </w:rPr>
              <w:t xml:space="preserve">boolean | null</w:t>
            </w:r>
          </w:p>
        </w:tc>
        <w:tc>
          <w:tcPr>
            <w:tcW w:type="dxa" w:w="4355"/>
            <w:tcMar>
              <w:top w:type="dxa" w:w="70"/>
              <w:left w:type="dxa" w:w="110"/>
              <w:bottom w:type="dxa" w:w="70"/>
              <w:right w:type="dxa" w:w="110"/>
            </w:tcMar>
          </w:tcPr>
          <w:p>
            <w:pPr>
              <w:spacing w:after="0" w:line="250"/>
            </w:pPr>
            <w:r>
              <w:rPr>
                <w:b w:val="false"/>
                <w:bCs w:val="false"/>
                <w:sz w:val="18"/>
                <w:szCs w:val="18"/>
              </w:rPr>
              <w:t xml:space="preserve">Set for multiple-choice only; null for theory</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score</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number 0–1 | null</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Set immediately for multiple-choice; null until graded for theory</w:t>
            </w:r>
          </w:p>
        </w:tc>
      </w:tr>
      <w:tr>
        <w:tc>
          <w:tcPr>
            <w:tcW w:type="dxa" w:w="2359"/>
            <w:tcMar>
              <w:top w:type="dxa" w:w="70"/>
              <w:left w:type="dxa" w:w="110"/>
              <w:bottom w:type="dxa" w:w="70"/>
              <w:right w:type="dxa" w:w="110"/>
            </w:tcMar>
          </w:tcPr>
          <w:p>
            <w:pPr>
              <w:spacing w:after="0" w:line="250"/>
            </w:pPr>
            <w:r>
              <w:rPr>
                <w:b w:val="false"/>
                <w:bCs w:val="false"/>
                <w:sz w:val="18"/>
                <w:szCs w:val="18"/>
              </w:rPr>
              <w:t xml:space="preserve">timeMs</w:t>
            </w:r>
          </w:p>
        </w:tc>
        <w:tc>
          <w:tcPr>
            <w:tcW w:type="dxa" w:w="2359"/>
            <w:tcMar>
              <w:top w:type="dxa" w:w="70"/>
              <w:left w:type="dxa" w:w="110"/>
              <w:bottom w:type="dxa" w:w="70"/>
              <w:right w:type="dxa" w:w="110"/>
            </w:tcMar>
          </w:tcPr>
          <w:p>
            <w:pPr>
              <w:spacing w:after="0" w:line="250"/>
            </w:pPr>
            <w:r>
              <w:rPr>
                <w:b w:val="false"/>
                <w:bCs w:val="false"/>
                <w:sz w:val="18"/>
                <w:szCs w:val="18"/>
              </w:rPr>
              <w:t xml:space="preserve">number</w:t>
            </w:r>
          </w:p>
        </w:tc>
        <w:tc>
          <w:tcPr>
            <w:tcW w:type="dxa" w:w="4355"/>
            <w:tcMar>
              <w:top w:type="dxa" w:w="70"/>
              <w:left w:type="dxa" w:w="110"/>
              <w:bottom w:type="dxa" w:w="70"/>
              <w:right w:type="dxa" w:w="110"/>
            </w:tcMar>
          </w:tcPr>
          <w:p>
            <w:pPr>
              <w:spacing w:after="0" w:line="250"/>
            </w:pPr>
            <w:r>
              <w:rPr>
                <w:b w:val="false"/>
                <w:bCs w:val="false"/>
                <w:sz w:val="18"/>
                <w:szCs w:val="18"/>
              </w:rPr>
              <w:t xml:space="preserve">Wall-clock time the student spent on that question</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gradedBy</w:t>
            </w:r>
          </w:p>
        </w:tc>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llm | keyword-overlap | null</w:t>
            </w:r>
          </w:p>
        </w:tc>
        <w:tc>
          <w:tcPr>
            <w:tcW w:type="dxa" w:w="4355"/>
            <w:shd w:fill="F2F5FB" w:color="auto" w:val="clear"/>
            <w:tcMar>
              <w:top w:type="dxa" w:w="70"/>
              <w:left w:type="dxa" w:w="110"/>
              <w:bottom w:type="dxa" w:w="70"/>
              <w:right w:type="dxa" w:w="110"/>
            </w:tcMar>
          </w:tcPr>
          <w:p>
            <w:pPr>
              <w:spacing w:after="0" w:line="250"/>
            </w:pPr>
            <w:r>
              <w:rPr>
                <w:b w:val="false"/>
                <w:bCs w:val="false"/>
                <w:sz w:val="18"/>
                <w:szCs w:val="18"/>
              </w:rPr>
              <w:t xml:space="preserve">Which grading path produced the score</w:t>
            </w:r>
          </w:p>
        </w:tc>
      </w:tr>
    </w:tbl>
    <w:p>
      <w:pPr>
        <w:spacing w:after="170"/>
      </w:pPr>
    </w:p>
    <w:p>
      <w:pPr>
        <w:pStyle w:val="Heading3"/>
        <w:spacing w:after="100" w:before="200"/>
      </w:pPr>
      <w:r>
        <w:rPr>
          <w:b/>
          <w:bCs/>
          <w:sz w:val="22"/>
          <w:szCs w:val="22"/>
        </w:rPr>
        <w:t xml:space="preserve">A.4 Feedback to client — the report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59"/>
        <w:gridCol w:w="1633"/>
        <w:gridCol w:w="5080"/>
      </w:tblGrid>
      <w:tr>
        <w:trPr>
          <w:tblHeader/>
        </w:trPr>
        <w:tc>
          <w:tcPr>
            <w:tcW w:type="dxa" w:w="2359"/>
            <w:shd w:fill="D9E2F3" w:color="auto" w:val="clear"/>
            <w:tcMar>
              <w:top w:type="dxa" w:w="70"/>
              <w:left w:type="dxa" w:w="110"/>
              <w:bottom w:type="dxa" w:w="70"/>
              <w:right w:type="dxa" w:w="110"/>
            </w:tcMar>
          </w:tcPr>
          <w:p>
            <w:pPr>
              <w:spacing w:after="0" w:line="250"/>
            </w:pPr>
            <w:r>
              <w:rPr>
                <w:b/>
                <w:bCs/>
                <w:sz w:val="18"/>
                <w:szCs w:val="18"/>
              </w:rPr>
              <w:t xml:space="preserve">Field</w:t>
            </w:r>
          </w:p>
        </w:tc>
        <w:tc>
          <w:tcPr>
            <w:tcW w:type="dxa" w:w="1633"/>
            <w:shd w:fill="D9E2F3" w:color="auto" w:val="clear"/>
            <w:tcMar>
              <w:top w:type="dxa" w:w="70"/>
              <w:left w:type="dxa" w:w="110"/>
              <w:bottom w:type="dxa" w:w="70"/>
              <w:right w:type="dxa" w:w="110"/>
            </w:tcMar>
          </w:tcPr>
          <w:p>
            <w:pPr>
              <w:spacing w:after="0" w:line="250"/>
            </w:pPr>
            <w:r>
              <w:rPr>
                <w:b/>
                <w:bCs/>
                <w:sz w:val="18"/>
                <w:szCs w:val="18"/>
              </w:rPr>
              <w:t xml:space="preserve">Type</w:t>
            </w:r>
          </w:p>
        </w:tc>
        <w:tc>
          <w:tcPr>
            <w:tcW w:type="dxa" w:w="5080"/>
            <w:shd w:fill="D9E2F3" w:color="auto" w:val="clear"/>
            <w:tcMar>
              <w:top w:type="dxa" w:w="70"/>
              <w:left w:type="dxa" w:w="110"/>
              <w:bottom w:type="dxa" w:w="70"/>
              <w:right w:type="dxa" w:w="110"/>
            </w:tcMar>
          </w:tcPr>
          <w:p>
            <w:pPr>
              <w:spacing w:after="0" w:line="250"/>
            </w:pPr>
            <w:r>
              <w:rPr>
                <w:b/>
                <w:bCs/>
                <w:sz w:val="18"/>
                <w:szCs w:val="18"/>
              </w:rPr>
              <w:t xml:space="preserve">Notes</w:t>
            </w:r>
          </w:p>
        </w:tc>
      </w:tr>
      <w:tr>
        <w:tc>
          <w:tcPr>
            <w:tcW w:type="dxa" w:w="2359"/>
            <w:tcMar>
              <w:top w:type="dxa" w:w="70"/>
              <w:left w:type="dxa" w:w="110"/>
              <w:bottom w:type="dxa" w:w="70"/>
              <w:right w:type="dxa" w:w="110"/>
            </w:tcMar>
          </w:tcPr>
          <w:p>
            <w:pPr>
              <w:spacing w:after="0" w:line="250"/>
            </w:pPr>
            <w:r>
              <w:rPr>
                <w:b w:val="false"/>
                <w:bCs w:val="false"/>
                <w:sz w:val="18"/>
                <w:szCs w:val="18"/>
              </w:rPr>
              <w:t xml:space="preserve">topicScores[]</w:t>
            </w:r>
          </w:p>
        </w:tc>
        <w:tc>
          <w:tcPr>
            <w:tcW w:type="dxa" w:w="1633"/>
            <w:tcMar>
              <w:top w:type="dxa" w:w="70"/>
              <w:left w:type="dxa" w:w="110"/>
              <w:bottom w:type="dxa" w:w="70"/>
              <w:right w:type="dxa" w:w="110"/>
            </w:tcMar>
          </w:tcPr>
          <w:p>
            <w:pPr>
              <w:spacing w:after="0" w:line="250"/>
            </w:pPr>
            <w:r>
              <w:rPr>
                <w:b w:val="false"/>
                <w:bCs w:val="false"/>
                <w:sz w:val="18"/>
                <w:szCs w:val="18"/>
              </w:rPr>
              <w:t xml:space="preserve">array</w:t>
            </w:r>
          </w:p>
        </w:tc>
        <w:tc>
          <w:tcPr>
            <w:tcW w:type="dxa" w:w="5080"/>
            <w:tcMar>
              <w:top w:type="dxa" w:w="70"/>
              <w:left w:type="dxa" w:w="110"/>
              <w:bottom w:type="dxa" w:w="70"/>
              <w:right w:type="dxa" w:w="110"/>
            </w:tcMar>
          </w:tcPr>
          <w:p>
            <w:pPr>
              <w:spacing w:after="0" w:line="250"/>
            </w:pPr>
            <w:r>
              <w:rPr>
                <w:b w:val="false"/>
                <w:bCs w:val="false"/>
                <w:sz w:val="18"/>
                <w:szCs w:val="18"/>
              </w:rPr>
              <w:t xml:space="preserve">Each entry carries topic, accuracy, avgTimeMs, questionsAnswered, attentionScore and rank, sorted weakest first</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feedbackText</w:t>
            </w:r>
          </w:p>
        </w:tc>
        <w:tc>
          <w:tcPr>
            <w:tcW w:type="dxa" w:w="1633"/>
            <w:shd w:fill="F2F5FB" w:color="auto" w:val="clear"/>
            <w:tcMar>
              <w:top w:type="dxa" w:w="70"/>
              <w:left w:type="dxa" w:w="110"/>
              <w:bottom w:type="dxa" w:w="70"/>
              <w:right w:type="dxa" w:w="110"/>
            </w:tcMar>
          </w:tcPr>
          <w:p>
            <w:pPr>
              <w:spacing w:after="0" w:line="250"/>
            </w:pPr>
            <w:r>
              <w:rPr>
                <w:b w:val="false"/>
                <w:bCs w:val="false"/>
                <w:sz w:val="18"/>
                <w:szCs w:val="18"/>
              </w:rPr>
              <w:t xml:space="preserve">string</w:t>
            </w:r>
          </w:p>
        </w:tc>
        <w:tc>
          <w:tcPr>
            <w:tcW w:type="dxa" w:w="5080"/>
            <w:shd w:fill="F2F5FB" w:color="auto" w:val="clear"/>
            <w:tcMar>
              <w:top w:type="dxa" w:w="70"/>
              <w:left w:type="dxa" w:w="110"/>
              <w:bottom w:type="dxa" w:w="70"/>
              <w:right w:type="dxa" w:w="110"/>
            </w:tcMar>
          </w:tcPr>
          <w:p>
            <w:pPr>
              <w:spacing w:after="0" w:line="250"/>
            </w:pPr>
            <w:r>
              <w:rPr>
                <w:b w:val="false"/>
                <w:bCs w:val="false"/>
                <w:sz w:val="18"/>
                <w:szCs w:val="18"/>
              </w:rPr>
              <w:t xml:space="preserve">Narrative phrasing of the ranking above; never determines the ranking</w:t>
            </w:r>
          </w:p>
        </w:tc>
      </w:tr>
      <w:tr>
        <w:tc>
          <w:tcPr>
            <w:tcW w:type="dxa" w:w="2359"/>
            <w:tcMar>
              <w:top w:type="dxa" w:w="70"/>
              <w:left w:type="dxa" w:w="110"/>
              <w:bottom w:type="dxa" w:w="70"/>
              <w:right w:type="dxa" w:w="110"/>
            </w:tcMar>
          </w:tcPr>
          <w:p>
            <w:pPr>
              <w:spacing w:after="0" w:line="250"/>
            </w:pPr>
            <w:r>
              <w:rPr>
                <w:b w:val="false"/>
                <w:bCs w:val="false"/>
                <w:sz w:val="18"/>
                <w:szCs w:val="18"/>
              </w:rPr>
              <w:t xml:space="preserve">generatedBy</w:t>
            </w:r>
          </w:p>
        </w:tc>
        <w:tc>
          <w:tcPr>
            <w:tcW w:type="dxa" w:w="1633"/>
            <w:tcMar>
              <w:top w:type="dxa" w:w="70"/>
              <w:left w:type="dxa" w:w="110"/>
              <w:bottom w:type="dxa" w:w="70"/>
              <w:right w:type="dxa" w:w="110"/>
            </w:tcMar>
          </w:tcPr>
          <w:p>
            <w:pPr>
              <w:spacing w:after="0" w:line="250"/>
            </w:pPr>
            <w:r>
              <w:rPr>
                <w:b w:val="false"/>
                <w:bCs w:val="false"/>
                <w:sz w:val="18"/>
                <w:szCs w:val="18"/>
              </w:rPr>
              <w:t xml:space="preserve">llm | template</w:t>
            </w:r>
          </w:p>
        </w:tc>
        <w:tc>
          <w:tcPr>
            <w:tcW w:type="dxa" w:w="5080"/>
            <w:tcMar>
              <w:top w:type="dxa" w:w="70"/>
              <w:left w:type="dxa" w:w="110"/>
              <w:bottom w:type="dxa" w:w="70"/>
              <w:right w:type="dxa" w:w="110"/>
            </w:tcMar>
          </w:tcPr>
          <w:p>
            <w:pPr>
              <w:spacing w:after="0" w:line="250"/>
            </w:pPr>
            <w:r>
              <w:rPr>
                <w:b w:val="false"/>
                <w:bCs w:val="false"/>
                <w:sz w:val="18"/>
                <w:szCs w:val="18"/>
              </w:rPr>
              <w:t xml:space="preserve">Surfaced in the interface so the reader knows which path produced the wording</w:t>
            </w:r>
          </w:p>
        </w:tc>
      </w:tr>
      <w:tr>
        <w:tc>
          <w:tcPr>
            <w:tcW w:type="dxa" w:w="2359"/>
            <w:shd w:fill="F2F5FB" w:color="auto" w:val="clear"/>
            <w:tcMar>
              <w:top w:type="dxa" w:w="70"/>
              <w:left w:type="dxa" w:w="110"/>
              <w:bottom w:type="dxa" w:w="70"/>
              <w:right w:type="dxa" w:w="110"/>
            </w:tcMar>
          </w:tcPr>
          <w:p>
            <w:pPr>
              <w:spacing w:after="0" w:line="250"/>
            </w:pPr>
            <w:r>
              <w:rPr>
                <w:b w:val="false"/>
                <w:bCs w:val="false"/>
                <w:sz w:val="18"/>
                <w:szCs w:val="18"/>
              </w:rPr>
              <w:t xml:space="preserve">marksAwarded, marksPossible</w:t>
            </w:r>
          </w:p>
        </w:tc>
        <w:tc>
          <w:tcPr>
            <w:tcW w:type="dxa" w:w="1633"/>
            <w:shd w:fill="F2F5FB" w:color="auto" w:val="clear"/>
            <w:tcMar>
              <w:top w:type="dxa" w:w="70"/>
              <w:left w:type="dxa" w:w="110"/>
              <w:bottom w:type="dxa" w:w="70"/>
              <w:right w:type="dxa" w:w="110"/>
            </w:tcMar>
          </w:tcPr>
          <w:p>
            <w:pPr>
              <w:spacing w:after="0" w:line="250"/>
            </w:pPr>
            <w:r>
              <w:rPr>
                <w:b w:val="false"/>
                <w:bCs w:val="false"/>
                <w:sz w:val="18"/>
                <w:szCs w:val="18"/>
              </w:rPr>
              <w:t xml:space="preserve">number</w:t>
            </w:r>
          </w:p>
        </w:tc>
        <w:tc>
          <w:tcPr>
            <w:tcW w:type="dxa" w:w="5080"/>
            <w:shd w:fill="F2F5FB" w:color="auto" w:val="clear"/>
            <w:tcMar>
              <w:top w:type="dxa" w:w="70"/>
              <w:left w:type="dxa" w:w="110"/>
              <w:bottom w:type="dxa" w:w="70"/>
              <w:right w:type="dxa" w:w="110"/>
            </w:tcMar>
          </w:tcPr>
          <w:p>
            <w:pPr>
              <w:spacing w:after="0" w:line="250"/>
            </w:pPr>
            <w:r>
              <w:rPr>
                <w:b w:val="false"/>
                <w:bCs w:val="false"/>
                <w:sz w:val="18"/>
                <w:szCs w:val="18"/>
              </w:rPr>
              <w:t xml:space="preserve">Test-wide summary including partial credit on theory items</w:t>
            </w:r>
          </w:p>
        </w:tc>
      </w:tr>
    </w:tbl>
    <w:p>
      <w:pPr>
        <w:spacing w:after="170"/>
      </w:pPr>
    </w:p>
    <w:p>
      <w:pPr>
        <w:pStyle w:val="Heading3"/>
        <w:spacing w:after="100" w:before="200"/>
      </w:pPr>
      <w:r>
        <w:rPr>
          <w:b/>
          <w:bCs/>
          <w:sz w:val="22"/>
          <w:szCs w:val="22"/>
        </w:rPr>
        <w:t xml:space="preserve">A.5 Node API to Python services</w:t>
      </w:r>
    </w:p>
    <w:p>
      <w:pPr>
        <w:spacing w:after="130" w:line="276"/>
      </w:pPr>
      <w:r>
        <w:rPr>
          <w:sz w:val="21"/>
          <w:szCs w:val="21"/>
        </w:rPr>
        <w:t xml:space="preserve">Each Python service exposes a health endpoint that the hosting provider polls before routing traffic, and one task endpoint per operation. The API calls them over HTTP behind an explicit timeout and, on any failure, takes the corresponding fallback path in Section 3.3 rather than propagating an error to the client. No service is ever reachable directly from the browser; the API is the only gatekeeper.</w:t>
      </w:r>
    </w:p>
    <w:p>
      <w:r>
        <w:br w:type="page"/>
      </w:r>
    </w:p>
    <w:p>
      <w:pPr>
        <w:pStyle w:val="Heading1"/>
        <w:spacing w:after="170" w:before="340"/>
      </w:pPr>
      <w:r>
        <w:rPr>
          <w:b/>
          <w:bCs/>
          <w:color w:val="1F3864"/>
          <w:sz w:val="30"/>
          <w:szCs w:val="30"/>
        </w:rPr>
        <w:t xml:space="preserve">11. References</w:t>
      </w:r>
    </w:p>
    <w:p>
      <w:pPr>
        <w:spacing w:after="130" w:line="276"/>
      </w:pPr>
      <w:r>
        <w:rPr>
          <w:sz w:val="21"/>
          <w:szCs w:val="21"/>
        </w:rPr>
        <w:t xml:space="preserve">Consolidated and de-duplicated from the four individual workstream reports. Each report's own bibliography remains the authoritative annotated source for its workstream.</w:t>
      </w:r>
    </w:p>
    <w:p>
      <w:pPr>
        <w:spacing w:after="110" w:line="260"/>
        <w:ind w:left="360" w:hanging="360"/>
      </w:pPr>
      <w:r>
        <w:rPr>
          <w:sz w:val="19"/>
          <w:szCs w:val="19"/>
        </w:rPr>
        <w:t xml:space="preserve">Bass, L., Weber, I., &amp; Zhu, L. (2015). DevOps: A Software Architect's Perspective. Addison-Wesley.</w:t>
      </w:r>
    </w:p>
    <w:p>
      <w:pPr>
        <w:spacing w:after="110" w:line="260"/>
        <w:ind w:left="360" w:hanging="360"/>
      </w:pPr>
      <w:r>
        <w:rPr>
          <w:sz w:val="19"/>
          <w:szCs w:val="19"/>
        </w:rPr>
        <w:t xml:space="preserve">Bast, H., &amp; Korzen, C. (2017). A benchmark and evaluation for text extraction from PDF. In Proceedings of JCDL 2017, pp. 99–108.</w:t>
      </w:r>
    </w:p>
    <w:p>
      <w:pPr>
        <w:spacing w:after="110" w:line="260"/>
        <w:ind w:left="360" w:hanging="360"/>
      </w:pPr>
      <w:r>
        <w:rPr>
          <w:sz w:val="19"/>
          <w:szCs w:val="19"/>
        </w:rPr>
        <w:t xml:space="preserve">Bitew, S. K., Deleu, J., Develder, C., &amp; Demeester, T. (2023). Distractor generation for multiple-choice questions with predictive prompting and large language models. In ECML PKDD 2023 Workshops, CCIS vol. 2134, pp. 48–63. Springer.</w:t>
      </w:r>
    </w:p>
    <w:p>
      <w:pPr>
        <w:spacing w:after="110" w:line="260"/>
        <w:ind w:left="360" w:hanging="360"/>
      </w:pPr>
      <w:r>
        <w:rPr>
          <w:sz w:val="19"/>
          <w:szCs w:val="19"/>
        </w:rPr>
        <w:t xml:space="preserve">Blondel, V. D., Guillaume, J.-L., Lambiotte, R., &amp; Lefebvre, E. (2008). Fast unfolding of communities in large networks. Journal of Statistical Mechanics: Theory and Experiment, 2008(10), P10008.</w:t>
      </w:r>
    </w:p>
    <w:p>
      <w:pPr>
        <w:spacing w:after="110" w:line="260"/>
        <w:ind w:left="360" w:hanging="360"/>
      </w:pPr>
      <w:r>
        <w:rPr>
          <w:sz w:val="19"/>
          <w:szCs w:val="19"/>
        </w:rPr>
        <w:t xml:space="preserve">Campos, R., Mangaravite, V., Pasquali, A., Jorge, A., Nunes, C., &amp; Jatowt, A. (2020). YAKE! Keyword extraction from single documents using multiple local features. Information Sciences, 509, 257–289.</w:t>
      </w:r>
    </w:p>
    <w:p>
      <w:pPr>
        <w:spacing w:after="110" w:line="260"/>
        <w:ind w:left="360" w:hanging="360"/>
      </w:pPr>
      <w:r>
        <w:rPr>
          <w:sz w:val="19"/>
          <w:szCs w:val="19"/>
        </w:rPr>
        <w:t xml:space="preserve">Corbett, A. T., &amp; Anderson, J. R. (1994). Knowledge tracing: Modeling the acquisition of procedural knowledge. User Modeling and User-Adapted Interaction, 4(4), 253–278.</w:t>
      </w:r>
    </w:p>
    <w:p>
      <w:pPr>
        <w:spacing w:after="110" w:line="260"/>
        <w:ind w:left="360" w:hanging="360"/>
      </w:pPr>
      <w:r>
        <w:rPr>
          <w:sz w:val="19"/>
          <w:szCs w:val="19"/>
        </w:rPr>
        <w:t xml:space="preserve">Decan, A., Mens, T., &amp; Constantinou, E. (2018). On the impact of security vulnerabilities in the npm package dependency network. In Proceedings of MSR 2018, pp. 181–191.</w:t>
      </w:r>
    </w:p>
    <w:p>
      <w:pPr>
        <w:spacing w:after="110" w:line="260"/>
        <w:ind w:left="360" w:hanging="360"/>
      </w:pPr>
      <w:r>
        <w:rPr>
          <w:sz w:val="19"/>
          <w:szCs w:val="19"/>
        </w:rPr>
        <w:t xml:space="preserve">Douze, M., Guzhva, A., Deng, C., Johnson, J., Szilvasy, G., Mazaré, P.-E., Lomeli, M., Hosseini, L., &amp; Jégou, H. (2024). The Faiss library. arXiv:2401.08281.</w:t>
      </w:r>
    </w:p>
    <w:p>
      <w:pPr>
        <w:spacing w:after="110" w:line="260"/>
        <w:ind w:left="360" w:hanging="360"/>
      </w:pPr>
      <w:r>
        <w:rPr>
          <w:sz w:val="19"/>
          <w:szCs w:val="19"/>
        </w:rPr>
        <w:t xml:space="preserve">Dragoni, N., Giallorenzo, S., Lluch Lafuente, A., Mazzara, M., Montesi, F., Mustafin, R., &amp; Safina, L. (2017). Microservices: Yesterday, today, and tomorrow. In Present and Ulterior Software Engineering, pp. 195–216. Springer.</w:t>
      </w:r>
    </w:p>
    <w:p>
      <w:pPr>
        <w:spacing w:after="110" w:line="260"/>
        <w:ind w:left="360" w:hanging="360"/>
      </w:pPr>
      <w:r>
        <w:rPr>
          <w:sz w:val="19"/>
          <w:szCs w:val="19"/>
        </w:rPr>
        <w:t xml:space="preserve">Du, X., Shao, J., &amp; Cardie, C. (2017). Learning to ask: Neural question generation for reading comprehension. In Proceedings of ACL 2017.</w:t>
      </w:r>
    </w:p>
    <w:p>
      <w:pPr>
        <w:spacing w:after="110" w:line="260"/>
        <w:ind w:left="360" w:hanging="360"/>
      </w:pPr>
      <w:r>
        <w:rPr>
          <w:sz w:val="19"/>
          <w:szCs w:val="19"/>
        </w:rPr>
        <w:t xml:space="preserve">Ferreira Mello, R., Pereira Junior, C., Rodrigues, L., Dwan Pereira, F., Cabral, L., Costa, N., Ramalho, G., &amp; Gašević, D. (2025). Automatic short answer grading in the LLM era: Does GPT-4 with prompt engineering beat traditional models? In Proceedings of LAK 2025.</w:t>
      </w:r>
    </w:p>
    <w:p>
      <w:pPr>
        <w:spacing w:after="110" w:line="260"/>
        <w:ind w:left="360" w:hanging="360"/>
      </w:pPr>
      <w:r>
        <w:rPr>
          <w:sz w:val="19"/>
          <w:szCs w:val="19"/>
        </w:rPr>
        <w:t xml:space="preserve">Fortunato, S. (2010). Community detection in graphs. Physics Reports, 486(3–5), 75–174.</w:t>
      </w:r>
    </w:p>
    <w:p>
      <w:pPr>
        <w:spacing w:after="110" w:line="260"/>
        <w:ind w:left="360" w:hanging="360"/>
      </w:pPr>
      <w:r>
        <w:rPr>
          <w:sz w:val="19"/>
          <w:szCs w:val="19"/>
        </w:rPr>
        <w:t xml:space="preserve">Franz, M., Lopes, C. T., Huck, G., Dong, Y., Sumer, O., &amp; Bader, G. D. (2016). Cytoscape.js: A graph theory library for visualisation and analysis. Bioinformatics, 32(2), 309–311.</w:t>
      </w:r>
    </w:p>
    <w:p>
      <w:pPr>
        <w:spacing w:after="110" w:line="260"/>
        <w:ind w:left="360" w:hanging="360"/>
      </w:pPr>
      <w:r>
        <w:rPr>
          <w:sz w:val="19"/>
          <w:szCs w:val="19"/>
        </w:rPr>
        <w:t xml:space="preserve">Gao, Y., Xiong, Y., Gao, X., Jia, K., Pan, J., Bi, Y., Dai, Y., Sun, J., Wang, M., &amp; Wang, H. (2023). Retrieval-augmented generation for large language models: A survey. arXiv:2312.10997.</w:t>
      </w:r>
    </w:p>
    <w:p>
      <w:pPr>
        <w:spacing w:after="110" w:line="260"/>
        <w:ind w:left="360" w:hanging="360"/>
      </w:pPr>
      <w:r>
        <w:rPr>
          <w:sz w:val="19"/>
          <w:szCs w:val="19"/>
        </w:rPr>
        <w:t xml:space="preserve">Ghosh, A., Heffernan, N., &amp; Lan, A. S. (2020). Context-aware attentive knowledge tracing. In Proceedings of KDD 2020.</w:t>
      </w:r>
    </w:p>
    <w:p>
      <w:pPr>
        <w:spacing w:after="110" w:line="260"/>
        <w:ind w:left="360" w:hanging="360"/>
      </w:pPr>
      <w:r>
        <w:rPr>
          <w:sz w:val="19"/>
          <w:szCs w:val="19"/>
        </w:rPr>
        <w:t xml:space="preserve">Hegghammer, T. (2022). OCR with Tesseract, Amazon Textract, and Google Document AI: A benchmarking experiment. Journal of Computational Social Science, 5, 861–882.</w:t>
      </w:r>
    </w:p>
    <w:p>
      <w:pPr>
        <w:spacing w:after="110" w:line="260"/>
        <w:ind w:left="360" w:hanging="360"/>
      </w:pPr>
      <w:r>
        <w:rPr>
          <w:sz w:val="19"/>
          <w:szCs w:val="19"/>
        </w:rPr>
        <w:t xml:space="preserve">Henkel, O., Boxer, A., Hills, L., &amp; Roberts, B. (2024). Can large language models make the grade? An empirical study evaluating LLMs' ability to mark short answer questions in K-12 education. arXiv:2405.02985.</w:t>
      </w:r>
    </w:p>
    <w:p>
      <w:pPr>
        <w:spacing w:after="110" w:line="260"/>
        <w:ind w:left="360" w:hanging="360"/>
      </w:pPr>
      <w:r>
        <w:rPr>
          <w:sz w:val="19"/>
          <w:szCs w:val="19"/>
        </w:rPr>
        <w:t xml:space="preserve">Hogan, A., Blomqvist, E., Cochez, M., et al. (2021). Knowledge graphs. ACM Computing Surveys, 54(4), Article 71.</w:t>
      </w:r>
    </w:p>
    <w:p>
      <w:pPr>
        <w:spacing w:after="110" w:line="260"/>
        <w:ind w:left="360" w:hanging="360"/>
      </w:pPr>
      <w:r>
        <w:rPr>
          <w:sz w:val="19"/>
          <w:szCs w:val="19"/>
        </w:rPr>
        <w:t xml:space="preserve">Huang, L., Yu, W., Ma, W., et al. (2023). A survey on hallucination in large language models: Principles, taxonomy, challenges, and open questions. ACM Transactions on Information Systems.</w:t>
      </w:r>
    </w:p>
    <w:p>
      <w:pPr>
        <w:spacing w:after="110" w:line="260"/>
        <w:ind w:left="360" w:hanging="360"/>
      </w:pPr>
      <w:r>
        <w:rPr>
          <w:sz w:val="19"/>
          <w:szCs w:val="19"/>
        </w:rPr>
        <w:t xml:space="preserve">Humble, J., &amp; Farley, D. (2010). Continuous Delivery: Reliable Software Releases through Build, Test, and Deployment Automation. Addison-Wesley.</w:t>
      </w:r>
    </w:p>
    <w:p>
      <w:pPr>
        <w:spacing w:after="110" w:line="260"/>
        <w:ind w:left="360" w:hanging="360"/>
      </w:pPr>
      <w:r>
        <w:rPr>
          <w:sz w:val="19"/>
          <w:szCs w:val="19"/>
        </w:rPr>
        <w:t xml:space="preserve">Humeau, S., Shuster, K., Lachaux, M.-A., &amp; Weston, J. (2020). Poly-encoders: Architectures and pre-training strategies for fast and accurate multi-sentence scoring. In ICLR 2020.</w:t>
      </w:r>
    </w:p>
    <w:p>
      <w:pPr>
        <w:spacing w:after="110" w:line="260"/>
        <w:ind w:left="360" w:hanging="360"/>
      </w:pPr>
      <w:r>
        <w:rPr>
          <w:sz w:val="19"/>
          <w:szCs w:val="19"/>
        </w:rPr>
        <w:t xml:space="preserve">Jiang, Z. M., &amp; Hassan, A. E. (2015). A survey on load testing of large-scale software systems. IEEE Transactions on Software Engineering, 41(11), 1091–1118.</w:t>
      </w:r>
    </w:p>
    <w:p>
      <w:pPr>
        <w:spacing w:after="110" w:line="260"/>
        <w:ind w:left="360" w:hanging="360"/>
      </w:pPr>
      <w:r>
        <w:rPr>
          <w:sz w:val="19"/>
          <w:szCs w:val="19"/>
        </w:rPr>
        <w:t xml:space="preserve">Johnson, J., Douze, M., &amp; Jégou, H. (2021). Billion-scale similarity search with GPUs. IEEE Transactions on Big Data, 7(3), 535–547.</w:t>
      </w:r>
    </w:p>
    <w:p>
      <w:pPr>
        <w:spacing w:after="110" w:line="260"/>
        <w:ind w:left="360" w:hanging="360"/>
      </w:pPr>
      <w:r>
        <w:rPr>
          <w:sz w:val="19"/>
          <w:szCs w:val="19"/>
        </w:rPr>
        <w:t xml:space="preserve">Kurdi, G., Leo, J., Parsia, B., Sattler, U., &amp; Al-Emari, S. (2020). A systematic review of automatic question generation for educational purposes. International Journal of Artificial Intelligence in Education, 30(1), 121–204.</w:t>
      </w:r>
    </w:p>
    <w:p>
      <w:pPr>
        <w:spacing w:after="110" w:line="260"/>
        <w:ind w:left="360" w:hanging="360"/>
      </w:pPr>
      <w:r>
        <w:rPr>
          <w:sz w:val="19"/>
          <w:szCs w:val="19"/>
        </w:rPr>
        <w:t xml:space="preserve">Lee, J., Smith, D., Woodhead, S., &amp; Lan, A. (2024). Math multiple choice question generation via human–large language model collaboration. In Proceedings of EDM 2024.</w:t>
      </w:r>
    </w:p>
    <w:p>
      <w:pPr>
        <w:spacing w:after="110" w:line="260"/>
        <w:ind w:left="360" w:hanging="360"/>
      </w:pPr>
      <w:r>
        <w:rPr>
          <w:sz w:val="19"/>
          <w:szCs w:val="19"/>
        </w:rPr>
        <w:t xml:space="preserve">Lesk, M. (1986). Automatic sense disambiguation using machine readable dictionaries. In Proceedings of SIGDOC 1986, pp. 24–26.</w:t>
      </w:r>
    </w:p>
    <w:p>
      <w:pPr>
        <w:spacing w:after="110" w:line="260"/>
        <w:ind w:left="360" w:hanging="360"/>
      </w:pPr>
      <w:r>
        <w:rPr>
          <w:sz w:val="19"/>
          <w:szCs w:val="19"/>
        </w:rPr>
        <w:t xml:space="preserve">Lewis, P., Perez, E., Piktus, A., et al. (2020). Retrieval-augmented generation for knowledge-intensive NLP tasks. In NeurIPS 2020.</w:t>
      </w:r>
    </w:p>
    <w:p>
      <w:pPr>
        <w:spacing w:after="110" w:line="260"/>
        <w:ind w:left="360" w:hanging="360"/>
      </w:pPr>
      <w:r>
        <w:rPr>
          <w:sz w:val="19"/>
          <w:szCs w:val="19"/>
        </w:rPr>
        <w:t xml:space="preserve">Li, M., Lv, T., Chen, J., et al. (2023). TrOCR: Transformer-based optical character recognition with pre-trained models. In Proceedings of AAAI 2023, 37, 13094–13102.</w:t>
      </w:r>
    </w:p>
    <w:p>
      <w:pPr>
        <w:spacing w:after="110" w:line="260"/>
        <w:ind w:left="360" w:hanging="360"/>
      </w:pPr>
      <w:r>
        <w:rPr>
          <w:sz w:val="19"/>
          <w:szCs w:val="19"/>
        </w:rPr>
        <w:t xml:space="preserve">Liu, N. F., Lin, K., Hewitt, J., et al. (2024). Lost in the middle: How language models use long contexts. Transactions of the ACL, 12, 157–173.</w:t>
      </w:r>
    </w:p>
    <w:p>
      <w:pPr>
        <w:spacing w:after="110" w:line="260"/>
        <w:ind w:left="360" w:hanging="360"/>
      </w:pPr>
      <w:r>
        <w:rPr>
          <w:sz w:val="19"/>
          <w:szCs w:val="19"/>
        </w:rPr>
        <w:t xml:space="preserve">Lord, F. M. (1980). Applications of Item Response Theory to Practical Testing Problems. Lawrence Erlbaum Associates.</w:t>
      </w:r>
    </w:p>
    <w:p>
      <w:pPr>
        <w:spacing w:after="110" w:line="260"/>
        <w:ind w:left="360" w:hanging="360"/>
      </w:pPr>
      <w:r>
        <w:rPr>
          <w:sz w:val="19"/>
          <w:szCs w:val="19"/>
        </w:rPr>
        <w:t xml:space="preserve">Loureiro, D., &amp; Jorge, A. (2019). Language modelling makes sense: Propagating representations through WordNet for full-coverage word sense disambiguation. In Proceedings of ACL 2019.</w:t>
      </w:r>
    </w:p>
    <w:p>
      <w:pPr>
        <w:spacing w:after="110" w:line="260"/>
        <w:ind w:left="360" w:hanging="360"/>
      </w:pPr>
      <w:r>
        <w:rPr>
          <w:sz w:val="19"/>
          <w:szCs w:val="19"/>
        </w:rPr>
        <w:t xml:space="preserve">Manakul, P., Liusie, A., &amp; Gales, M. J. F. (2023). SelfCheckGPT: Zero-resource black-box hallucination detection for generative large language models. In Proceedings of EMNLP 2023.</w:t>
      </w:r>
    </w:p>
    <w:p>
      <w:pPr>
        <w:spacing w:after="110" w:line="260"/>
        <w:ind w:left="360" w:hanging="360"/>
      </w:pPr>
      <w:r>
        <w:rPr>
          <w:sz w:val="19"/>
          <w:szCs w:val="19"/>
        </w:rPr>
        <w:t xml:space="preserve">Meli, M., McNiece, M. R., &amp; Reaves, B. (2019). How bad can it git? Characterizing secret leakage in public GitHub repositories. In NDSS 2019.</w:t>
      </w:r>
    </w:p>
    <w:p>
      <w:pPr>
        <w:spacing w:after="110" w:line="260"/>
        <w:ind w:left="360" w:hanging="360"/>
      </w:pPr>
      <w:r>
        <w:rPr>
          <w:sz w:val="19"/>
          <w:szCs w:val="19"/>
        </w:rPr>
        <w:t xml:space="preserve">Merkel, D. (2014). Docker: Lightweight Linux containers for consistent development and deployment. Linux Journal, 2014(239).</w:t>
      </w:r>
    </w:p>
    <w:p>
      <w:pPr>
        <w:spacing w:after="110" w:line="260"/>
        <w:ind w:left="360" w:hanging="360"/>
      </w:pPr>
      <w:r>
        <w:rPr>
          <w:sz w:val="19"/>
          <w:szCs w:val="19"/>
        </w:rPr>
        <w:t xml:space="preserve">Mihalcea, R., &amp; Tarau, P. (2004). TextRank: Bringing order into texts. In Proceedings of EMNLP 2004.</w:t>
      </w:r>
    </w:p>
    <w:p>
      <w:pPr>
        <w:spacing w:after="110" w:line="260"/>
        <w:ind w:left="360" w:hanging="360"/>
      </w:pPr>
      <w:r>
        <w:rPr>
          <w:sz w:val="19"/>
          <w:szCs w:val="19"/>
        </w:rPr>
        <w:t xml:space="preserve">Min, S., Krishna, K., Lyu, X., et al. (2023). FActScore: Fine-grained atomic evaluation of factual precision in long form text generation. In Proceedings of EMNLP 2023.</w:t>
      </w:r>
    </w:p>
    <w:p>
      <w:pPr>
        <w:spacing w:after="110" w:line="260"/>
        <w:ind w:left="360" w:hanging="360"/>
      </w:pPr>
      <w:r>
        <w:rPr>
          <w:sz w:val="19"/>
          <w:szCs w:val="19"/>
        </w:rPr>
        <w:t xml:space="preserve">Mohler, M., &amp; Mihalcea, R. (2009). Text-to-text semantic similarity for automatic short answer grading. In Proceedings of EACL 2009, pp. 567–575.</w:t>
      </w:r>
    </w:p>
    <w:p>
      <w:pPr>
        <w:spacing w:after="110" w:line="260"/>
        <w:ind w:left="360" w:hanging="360"/>
      </w:pPr>
      <w:r>
        <w:rPr>
          <w:sz w:val="19"/>
          <w:szCs w:val="19"/>
        </w:rPr>
        <w:t xml:space="preserve">Muennighoff, N., Tazi, N., Magne, L., &amp; Reimers, N. (2023). MTEB: Massive text embedding benchmark. In Proceedings of EACL 2023.</w:t>
      </w:r>
    </w:p>
    <w:p>
      <w:pPr>
        <w:spacing w:after="110" w:line="260"/>
        <w:ind w:left="360" w:hanging="360"/>
      </w:pPr>
      <w:r>
        <w:rPr>
          <w:sz w:val="19"/>
          <w:szCs w:val="19"/>
        </w:rPr>
        <w:t xml:space="preserve">Navigli, R. (2009). Word sense disambiguation: A survey. ACM Computing Surveys, 41(2), Article 10.</w:t>
      </w:r>
    </w:p>
    <w:p>
      <w:pPr>
        <w:spacing w:after="110" w:line="260"/>
        <w:ind w:left="360" w:hanging="360"/>
      </w:pPr>
      <w:r>
        <w:rPr>
          <w:sz w:val="19"/>
          <w:szCs w:val="19"/>
        </w:rPr>
        <w:t xml:space="preserve">Nesbit, J. C., &amp; Adesope, O. O. (2006). Learning with concept and knowledge maps: A meta-analysis. Review of Educational Research, 76(3), 413–448.</w:t>
      </w:r>
    </w:p>
    <w:p>
      <w:pPr>
        <w:spacing w:after="110" w:line="260"/>
        <w:ind w:left="360" w:hanging="360"/>
      </w:pPr>
      <w:r>
        <w:rPr>
          <w:sz w:val="19"/>
          <w:szCs w:val="19"/>
        </w:rPr>
        <w:t xml:space="preserve">Niculescu-Mizil, A., &amp; Caruana, R. (2005). Predicting good probabilities with supervised learning. In Proceedings of ICML 2005, pp. 625–632.</w:t>
      </w:r>
    </w:p>
    <w:p>
      <w:pPr>
        <w:spacing w:after="110" w:line="260"/>
        <w:ind w:left="360" w:hanging="360"/>
      </w:pPr>
      <w:r>
        <w:rPr>
          <w:sz w:val="19"/>
          <w:szCs w:val="19"/>
        </w:rPr>
        <w:t xml:space="preserve">Nogueira, R., &amp; Cho, K. (2019). Passage re-ranking with BERT. arXiv:1901.04085.</w:t>
      </w:r>
    </w:p>
    <w:p>
      <w:pPr>
        <w:spacing w:after="110" w:line="260"/>
        <w:ind w:left="360" w:hanging="360"/>
      </w:pPr>
      <w:r>
        <w:rPr>
          <w:sz w:val="19"/>
          <w:szCs w:val="19"/>
        </w:rPr>
        <w:t xml:space="preserve">Novak, J. D., &amp; Cañas, A. J. (2008). The theory underlying concept maps and how to construct and use them. IHMC Technical Report.</w:t>
      </w:r>
    </w:p>
    <w:p>
      <w:pPr>
        <w:spacing w:after="110" w:line="260"/>
        <w:ind w:left="360" w:hanging="360"/>
      </w:pPr>
      <w:r>
        <w:rPr>
          <w:sz w:val="19"/>
          <w:szCs w:val="19"/>
        </w:rPr>
        <w:t xml:space="preserve">Nwafor, C. A., &amp; Onyenwe, I. E. (2021). An automated multiple-choice question generation using natural language processing techniques. International Journal on Natural Language Computing, 10(2).</w:t>
      </w:r>
    </w:p>
    <w:p>
      <w:pPr>
        <w:spacing w:after="110" w:line="260"/>
        <w:ind w:left="360" w:hanging="360"/>
      </w:pPr>
      <w:r>
        <w:rPr>
          <w:sz w:val="19"/>
          <w:szCs w:val="19"/>
        </w:rPr>
        <w:t xml:space="preserve">Otsu, N. (1979). A threshold selection method from gray-level histograms. IEEE Transactions on Systems, Man, and Cybernetics, 9(1), 62–66.</w:t>
      </w:r>
    </w:p>
    <w:p>
      <w:pPr>
        <w:spacing w:after="110" w:line="260"/>
        <w:ind w:left="360" w:hanging="360"/>
      </w:pPr>
      <w:r>
        <w:rPr>
          <w:sz w:val="19"/>
          <w:szCs w:val="19"/>
        </w:rPr>
        <w:t xml:space="preserve">Pandey, S., &amp; Karypis, G. (2019). A self-attentive model for knowledge tracing. In Proceedings of EDM 2019.</w:t>
      </w:r>
    </w:p>
    <w:p>
      <w:pPr>
        <w:spacing w:after="110" w:line="260"/>
        <w:ind w:left="360" w:hanging="360"/>
      </w:pPr>
      <w:r>
        <w:rPr>
          <w:sz w:val="19"/>
          <w:szCs w:val="19"/>
        </w:rPr>
        <w:t xml:space="preserve">Piech, C., Bassen, J., Huang, J., et al. (2015). Deep knowledge tracing. In NeurIPS 2015.</w:t>
      </w:r>
    </w:p>
    <w:p>
      <w:pPr>
        <w:spacing w:after="110" w:line="260"/>
        <w:ind w:left="360" w:hanging="360"/>
      </w:pPr>
      <w:r>
        <w:rPr>
          <w:sz w:val="19"/>
          <w:szCs w:val="19"/>
        </w:rPr>
        <w:t xml:space="preserve">Platt, J. (1999). Probabilistic outputs for support vector machines and comparisons to regularized likelihood methods. In Advances in Large Margin Classifiers, pp. 61–74. MIT Press.</w:t>
      </w:r>
    </w:p>
    <w:p>
      <w:pPr>
        <w:spacing w:after="110" w:line="260"/>
        <w:ind w:left="360" w:hanging="360"/>
      </w:pPr>
      <w:r>
        <w:rPr>
          <w:sz w:val="19"/>
          <w:szCs w:val="19"/>
        </w:rPr>
        <w:t xml:space="preserve">Qiu, Z., Wu, X., &amp; Fan, W. (2020). Automatic distractor generation for multiple choice questions in standard tests. In Proceedings of COLING 2020, pp. 2096–2106.</w:t>
      </w:r>
    </w:p>
    <w:p>
      <w:pPr>
        <w:spacing w:after="110" w:line="260"/>
        <w:ind w:left="360" w:hanging="360"/>
      </w:pPr>
      <w:r>
        <w:rPr>
          <w:sz w:val="19"/>
          <w:szCs w:val="19"/>
        </w:rPr>
        <w:t xml:space="preserve">Reddig, J. M., Arora, A., &amp; MacLellan, C. J. (2025). Generating in-context, personalized feedback for intelligent tutors with large language models. International Journal of Artificial Intelligence in Education.</w:t>
      </w:r>
    </w:p>
    <w:p>
      <w:pPr>
        <w:spacing w:after="110" w:line="260"/>
        <w:ind w:left="360" w:hanging="360"/>
      </w:pPr>
      <w:r>
        <w:rPr>
          <w:sz w:val="19"/>
          <w:szCs w:val="19"/>
        </w:rPr>
        <w:t xml:space="preserve">Reimers, N., &amp; Gurevych, I. (2019). Sentence-BERT: Sentence embeddings using Siamese BERT-networks. In Proceedings of EMNLP-IJCNLP 2019.</w:t>
      </w:r>
    </w:p>
    <w:p>
      <w:pPr>
        <w:spacing w:after="110" w:line="260"/>
        <w:ind w:left="360" w:hanging="360"/>
      </w:pPr>
      <w:r>
        <w:rPr>
          <w:sz w:val="19"/>
          <w:szCs w:val="19"/>
        </w:rPr>
        <w:t xml:space="preserve">Rodrigues, L., Xavier, C., Costa, N., Gašević, D., &amp; Ferreira Mello, R. (2025). Is GPT-4 fair? An empirical analysis in automatic short answer grading. Computers and Education: Artificial Intelligence.</w:t>
      </w:r>
    </w:p>
    <w:p>
      <w:pPr>
        <w:spacing w:after="110" w:line="260"/>
        <w:ind w:left="360" w:hanging="360"/>
      </w:pPr>
      <w:r>
        <w:rPr>
          <w:sz w:val="19"/>
          <w:szCs w:val="19"/>
        </w:rPr>
        <w:t xml:space="preserve">Salton, G., &amp; Buckley, C. (1988). Term-weighting approaches in automatic text retrieval. Information Processing &amp; Management, 24(5), 513–523.</w:t>
      </w:r>
    </w:p>
    <w:p>
      <w:pPr>
        <w:spacing w:after="110" w:line="260"/>
        <w:ind w:left="360" w:hanging="360"/>
      </w:pPr>
      <w:r>
        <w:rPr>
          <w:sz w:val="19"/>
          <w:szCs w:val="19"/>
        </w:rPr>
        <w:t xml:space="preserve">Sauvola, J., &amp; Pietikäinen, M. (2000). Adaptive document image binarization. Pattern Recognition, 33(2), 225–236.</w:t>
      </w:r>
    </w:p>
    <w:p>
      <w:pPr>
        <w:spacing w:after="110" w:line="260"/>
        <w:ind w:left="360" w:hanging="360"/>
      </w:pPr>
      <w:r>
        <w:rPr>
          <w:sz w:val="19"/>
          <w:szCs w:val="19"/>
        </w:rPr>
        <w:t xml:space="preserve">Settles, B. (2009). Active learning literature survey (Computer Sciences Technical Report 1648). University of Wisconsin–Madison.</w:t>
      </w:r>
    </w:p>
    <w:p>
      <w:pPr>
        <w:spacing w:after="110" w:line="260"/>
        <w:ind w:left="360" w:hanging="360"/>
      </w:pPr>
      <w:r>
        <w:rPr>
          <w:sz w:val="19"/>
          <w:szCs w:val="19"/>
        </w:rPr>
        <w:t xml:space="preserve">Shahin, M., Ali Babar, M., &amp; Zhu, L. (2017). Continuous integration, delivery and deployment: A systematic review on approaches, tools, challenges and practices. IEEE Access, 5, 3909–3943.</w:t>
      </w:r>
    </w:p>
    <w:p>
      <w:pPr>
        <w:spacing w:after="110" w:line="260"/>
        <w:ind w:left="360" w:hanging="360"/>
      </w:pPr>
      <w:r>
        <w:rPr>
          <w:sz w:val="19"/>
          <w:szCs w:val="19"/>
        </w:rPr>
        <w:t xml:space="preserve">Shute, V. J. (2008). Focus on formative feedback. Review of Educational Research, 78(1), 153–189.</w:t>
      </w:r>
    </w:p>
    <w:p>
      <w:pPr>
        <w:spacing w:after="110" w:line="260"/>
        <w:ind w:left="360" w:hanging="360"/>
      </w:pPr>
      <w:r>
        <w:rPr>
          <w:sz w:val="19"/>
          <w:szCs w:val="19"/>
        </w:rPr>
        <w:t xml:space="preserve">Smith, R. (2007). An overview of the Tesseract OCR engine. In Proceedings of ICDAR 2007, pp. 629–633.</w:t>
      </w:r>
    </w:p>
    <w:p>
      <w:pPr>
        <w:spacing w:after="110" w:line="260"/>
        <w:ind w:left="360" w:hanging="360"/>
      </w:pPr>
      <w:r>
        <w:rPr>
          <w:sz w:val="19"/>
          <w:szCs w:val="19"/>
        </w:rPr>
        <w:t xml:space="preserve">Traag, V. A., Waltman, L., &amp; van Eck, N. J. (2019). From Louvain to Leiden: Guaranteeing well-connected communities. Scientific Reports, 9, 5233.</w:t>
      </w:r>
    </w:p>
    <w:p>
      <w:pPr>
        <w:spacing w:after="110" w:line="260"/>
        <w:ind w:left="360" w:hanging="360"/>
      </w:pPr>
      <w:r>
        <w:rPr>
          <w:sz w:val="19"/>
          <w:szCs w:val="19"/>
        </w:rPr>
        <w:t xml:space="preserve">van der Linden, W. J., &amp; Glas, C. A. W. (Eds.). (2000). Computerized Adaptive Testing: Theory and Practice. Springer/Kluwer.</w:t>
      </w:r>
    </w:p>
    <w:p>
      <w:pPr>
        <w:spacing w:after="110" w:line="260"/>
        <w:ind w:left="360" w:hanging="360"/>
      </w:pPr>
      <w:r>
        <w:rPr>
          <w:sz w:val="19"/>
          <w:szCs w:val="19"/>
        </w:rPr>
        <w:t xml:space="preserve">VanLehn, K. (2011). The relative effectiveness of human tutoring, intelligent tutoring systems, and other tutoring systems. Educational Psychologist, 46(4), 197–221.</w:t>
      </w:r>
    </w:p>
    <w:p>
      <w:pPr>
        <w:spacing w:after="110" w:line="260"/>
        <w:ind w:left="360" w:hanging="360"/>
      </w:pPr>
      <w:r>
        <w:rPr>
          <w:sz w:val="19"/>
          <w:szCs w:val="19"/>
        </w:rPr>
        <w:t xml:space="preserve">Wang, W., Wei, F., Dong, L., Bao, H., Yang, N., &amp; Zhou, M. (2020). MiniLM: Deep self-attention distillation for task-agnostic compression of pre-trained transformers. In NeurIPS 2020.</w:t>
      </w:r>
    </w:p>
    <w:p>
      <w:pPr>
        <w:spacing w:after="110" w:line="260"/>
        <w:ind w:left="360" w:hanging="360"/>
      </w:pPr>
      <w:r>
        <w:rPr>
          <w:sz w:val="19"/>
          <w:szCs w:val="19"/>
        </w:rPr>
        <w:t xml:space="preserve">Weiss, D. J. (1982). Improving measurement quality and efficiency with adaptive testing. Applied Psychological Measurement, 6(4), 473–492.</w:t>
      </w:r>
    </w:p>
    <w:p>
      <w:pPr>
        <w:spacing w:after="110" w:line="260"/>
        <w:ind w:left="360" w:hanging="360"/>
      </w:pPr>
      <w:r>
        <w:rPr>
          <w:sz w:val="19"/>
          <w:szCs w:val="19"/>
        </w:rPr>
        <w:t xml:space="preserve">Wiggins, A. (2011). The Twelve-Factor App. https://12factor.net</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Mind Atlas — Consolidated Feasibility Report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 Atlas — Consolidated Feasibility Report</dc:title>
  <dc:creator>Mind Atlas capstone team</dc:creator>
  <dc:description>Consolidated feasibility report across all four Mind Atlas workstreams</dc:description>
  <cp:lastModifiedBy>Un-named</cp:lastModifiedBy>
  <cp:revision>1</cp:revision>
  <dcterms:created xsi:type="dcterms:W3CDTF">2026-09-19T07:54:47.300Z</dcterms:created>
  <dcterms:modified xsi:type="dcterms:W3CDTF">2026-09-19T07:54:47.310Z</dcterms:modified>
</cp:coreProperties>
</file>

<file path=docProps/custom.xml><?xml version="1.0" encoding="utf-8"?>
<Properties xmlns="http://schemas.openxmlformats.org/officeDocument/2006/custom-properties" xmlns:vt="http://schemas.openxmlformats.org/officeDocument/2006/docPropsVTypes"/>
</file>