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56"/>
          <w:szCs w:val="56"/>
        </w:rPr>
        <w:t xml:space="preserve">MIND ATLAS</w:t>
      </w:r>
    </w:p>
    <w:p>
      <w:pPr>
        <w:spacing w:after="420" w:before="0"/>
        <w:jc w:val="center"/>
      </w:pPr>
      <w:r>
        <w:rPr>
          <w:color w:val="555555"/>
          <w:sz w:val="24"/>
          <w:szCs w:val="24"/>
        </w:rPr>
        <w:t xml:space="preserve">Notes → Knowledge Graph → Adaptive Testing</w:t>
      </w:r>
    </w:p>
    <w:p>
      <w:pPr>
        <w:spacing w:after="60" w:before="0"/>
        <w:jc w:val="center"/>
      </w:pPr>
      <w:r>
        <w:rPr>
          <w:b/>
          <w:bCs/>
          <w:sz w:val="40"/>
          <w:szCs w:val="40"/>
        </w:rPr>
        <w:t xml:space="preserve">Consolidated Feasibility Report</w:t>
      </w:r>
    </w:p>
    <w:p>
      <w:pPr>
        <w:spacing w:after="430" w:before="0"/>
        <w:jc w:val="center"/>
      </w:pPr>
      <w:r>
        <w:rPr>
          <w:color w:val="555555"/>
          <w:sz w:val="24"/>
          <w:szCs w:val="24"/>
        </w:rPr>
        <w:t xml:space="preserve">Final Revision — All Four Workstreams</w:t>
      </w:r>
    </w:p>
    <w:p>
      <w:pPr>
        <w:spacing w:after="70" w:before="0"/>
        <w:jc w:val="center"/>
      </w:pPr>
      <w:r>
        <w:rPr>
          <w:sz w:val="21"/>
          <w:szCs w:val="21"/>
        </w:rPr>
        <w:t xml:space="preserve">Compiled by: Atharva Hemade (Member 4 — Containerization &amp; Cloud Deployment)</w:t>
      </w:r>
    </w:p>
    <w:p>
      <w:pPr>
        <w:spacing w:after="70" w:before="0"/>
        <w:jc w:val="center"/>
      </w:pPr>
      <w:r>
        <w:rPr>
          <w:sz w:val="21"/>
          <w:szCs w:val="21"/>
        </w:rPr>
        <w:t xml:space="preserve">Workstream authors: Member 1 (Notes Ingestion &amp; Summarisation),</w:t>
      </w:r>
    </w:p>
    <w:p>
      <w:pPr>
        <w:spacing w:after="70" w:before="0"/>
        <w:jc w:val="center"/>
      </w:pPr>
      <w:r>
        <w:rPr>
          <w:sz w:val="21"/>
          <w:szCs w:val="21"/>
        </w:rPr>
        <w:t xml:space="preserve">Member 2 (Knowledge Graph &amp; NLP Intelligence),</w:t>
      </w:r>
    </w:p>
    <w:p>
      <w:pPr>
        <w:spacing w:after="70" w:before="0"/>
        <w:jc w:val="center"/>
      </w:pPr>
      <w:r>
        <w:rPr>
          <w:sz w:val="21"/>
          <w:szCs w:val="21"/>
        </w:rPr>
        <w:t xml:space="preserve">Siddhi Karhekar (Test Generation &amp; Feedback),</w:t>
      </w:r>
    </w:p>
    <w:p>
      <w:pPr>
        <w:spacing w:after="300" w:before="0"/>
        <w:jc w:val="center"/>
      </w:pPr>
      <w:r>
        <w:rPr>
          <w:sz w:val="21"/>
          <w:szCs w:val="21"/>
        </w:rPr>
        <w:t xml:space="preserve">Atharva Hemade (Containerization &amp; Cloud Deployment)</w:t>
      </w:r>
    </w:p>
    <w:p>
      <w:pPr>
        <w:spacing w:after="70" w:before="0"/>
        <w:jc w:val="center"/>
      </w:pPr>
      <w:r>
        <w:rPr>
          <w:sz w:val="21"/>
          <w:szCs w:val="21"/>
        </w:rPr>
        <w:t xml:space="preserve">Project: Mind Atlas — 4-member capstone team</w:t>
      </w:r>
    </w:p>
    <w:p>
      <w:pPr>
        <w:spacing w:after="70" w:before="0"/>
        <w:jc w:val="center"/>
      </w:pPr>
      <w:r>
        <w:rPr>
          <w:sz w:val="21"/>
          <w:szCs w:val="21"/>
        </w:rPr>
        <w:t xml:space="preserve">Repository: github.com/Siddhi-Karhekar/MindAtlas</w:t>
      </w:r>
    </w:p>
    <w:p>
      <w:pPr>
        <w:spacing w:after="620" w:before="0"/>
        <w:jc w:val="center"/>
      </w:pPr>
      <w:r>
        <w:rPr>
          <w:sz w:val="21"/>
          <w:szCs w:val="21"/>
        </w:rPr>
        <w:t xml:space="preserve">September 2026</w:t>
      </w:r>
    </w:p>
    <w:p>
      <w:pPr>
        <w:spacing w:after="0" w:before="0"/>
        <w:jc w:val="center"/>
      </w:pPr>
      <w:r>
        <w:rPr>
          <w:i/>
          <w:iCs/>
          <w:color w:val="666666"/>
          <w:sz w:val="19"/>
          <w:szCs w:val="19"/>
        </w:rPr>
        <w:t xml:space="preserve">This revision supersedes the earlier consolidated draft. Appendix B records every</w:t>
      </w:r>
    </w:p>
    <w:p>
      <w:pPr>
        <w:spacing w:after="70" w:before="0"/>
        <w:jc w:val="center"/>
      </w:pPr>
      <w:r>
        <w:rPr>
          <w:i/>
          <w:iCs/>
          <w:color w:val="666666"/>
          <w:sz w:val="19"/>
          <w:szCs w:val="19"/>
        </w:rPr>
        <w:t xml:space="preserve">discrepancy reconciled against the four individual workstream reports.</w:t>
      </w:r>
    </w:p>
    <w:p>
      <w:r>
        <w:br w:type="page"/>
      </w:r>
    </w:p>
    <w:p>
      <w:pPr>
        <w:pStyle w:val="Heading1"/>
        <w:spacing w:after="170" w:before="340"/>
      </w:pPr>
      <w:r>
        <w:rPr>
          <w:b/>
          <w:bCs/>
          <w:color w:val="1F3864"/>
          <w:sz w:val="30"/>
          <w:szCs w:val="30"/>
        </w:rPr>
        <w:t xml:space="preserve">Contents</w:t>
      </w:r>
    </w:p>
    <w:p>
      <w:pPr>
        <w:spacing w:after="90" w:line="264"/>
        <w:ind w:left="200"/>
      </w:pPr>
      <w:r>
        <w:rPr>
          <w:b/>
          <w:bCs/>
          <w:color w:val="000000"/>
          <w:sz w:val="21"/>
          <w:szCs w:val="21"/>
        </w:rPr>
        <w:t xml:space="preserve">1.  Introduction and How This Report Was Assembled</w:t>
      </w:r>
    </w:p>
    <w:p>
      <w:pPr>
        <w:spacing w:after="60" w:line="264"/>
        <w:ind w:left="620"/>
      </w:pPr>
      <w:r>
        <w:rPr>
          <w:b w:val="false"/>
          <w:bCs w:val="false"/>
          <w:color w:val="444444"/>
          <w:sz w:val="20"/>
          <w:szCs w:val="20"/>
        </w:rPr>
        <w:t xml:space="preserve">1.1  What this revision reconciles</w:t>
      </w:r>
    </w:p>
    <w:p>
      <w:pPr>
        <w:spacing w:after="90" w:line="264"/>
        <w:ind w:left="200"/>
      </w:pPr>
      <w:r>
        <w:rPr>
          <w:b/>
          <w:bCs/>
          <w:color w:val="000000"/>
          <w:sz w:val="21"/>
          <w:szCs w:val="21"/>
        </w:rPr>
        <w:t xml:space="preserve">2.  Workstream Ownership</w:t>
      </w:r>
    </w:p>
    <w:p>
      <w:pPr>
        <w:spacing w:after="90" w:line="264"/>
        <w:ind w:left="200"/>
      </w:pPr>
      <w:r>
        <w:rPr>
          <w:b/>
          <w:bCs/>
          <w:color w:val="000000"/>
          <w:sz w:val="21"/>
          <w:szCs w:val="21"/>
        </w:rPr>
        <w:t xml:space="preserve">3.  System Architecture and Runtime Boundary</w:t>
      </w:r>
    </w:p>
    <w:p>
      <w:pPr>
        <w:spacing w:after="60" w:line="264"/>
        <w:ind w:left="620"/>
      </w:pPr>
      <w:r>
        <w:rPr>
          <w:b w:val="false"/>
          <w:bCs w:val="false"/>
          <w:color w:val="444444"/>
          <w:sz w:val="20"/>
          <w:szCs w:val="20"/>
        </w:rPr>
        <w:t xml:space="preserve">3.1  The runtime decision</w:t>
      </w:r>
    </w:p>
    <w:p>
      <w:pPr>
        <w:spacing w:after="60" w:line="264"/>
        <w:ind w:left="620"/>
      </w:pPr>
      <w:r>
        <w:rPr>
          <w:b w:val="false"/>
          <w:bCs w:val="false"/>
          <w:color w:val="444444"/>
          <w:sz w:val="20"/>
          <w:szCs w:val="20"/>
        </w:rPr>
        <w:t xml:space="preserve">3.2  Deployable services</w:t>
      </w:r>
    </w:p>
    <w:p>
      <w:pPr>
        <w:spacing w:after="60" w:line="264"/>
        <w:ind w:left="620"/>
      </w:pPr>
      <w:r>
        <w:rPr>
          <w:b w:val="false"/>
          <w:bCs w:val="false"/>
          <w:color w:val="444444"/>
          <w:sz w:val="20"/>
          <w:szCs w:val="20"/>
        </w:rPr>
        <w:t xml:space="preserve">3.3  The degradation contract</w:t>
      </w:r>
    </w:p>
    <w:p>
      <w:pPr>
        <w:spacing w:after="90" w:line="264"/>
        <w:ind w:left="200"/>
      </w:pPr>
      <w:r>
        <w:rPr>
          <w:b/>
          <w:bCs/>
          <w:color w:val="000000"/>
          <w:sz w:val="21"/>
          <w:szCs w:val="21"/>
        </w:rPr>
        <w:t xml:space="preserve">4.  End-to-End Workflow</w:t>
      </w:r>
    </w:p>
    <w:p>
      <w:pPr>
        <w:spacing w:after="90" w:line="264"/>
        <w:ind w:left="200"/>
      </w:pPr>
      <w:r>
        <w:rPr>
          <w:b/>
          <w:bCs/>
          <w:color w:val="000000"/>
          <w:sz w:val="21"/>
          <w:szCs w:val="21"/>
        </w:rPr>
        <w:t xml:space="preserve">5.  Implementation Status</w:t>
      </w:r>
    </w:p>
    <w:p>
      <w:pPr>
        <w:spacing w:after="90" w:line="264"/>
        <w:ind w:left="200"/>
      </w:pPr>
      <w:r>
        <w:rPr>
          <w:b/>
          <w:bCs/>
          <w:color w:val="000000"/>
          <w:sz w:val="21"/>
          <w:szCs w:val="21"/>
        </w:rPr>
        <w:t xml:space="preserve">6.  Workstream Summaries</w:t>
      </w:r>
    </w:p>
    <w:p>
      <w:pPr>
        <w:spacing w:after="60" w:line="264"/>
        <w:ind w:left="620"/>
      </w:pPr>
      <w:r>
        <w:rPr>
          <w:b w:val="false"/>
          <w:bCs w:val="false"/>
          <w:color w:val="444444"/>
          <w:sz w:val="20"/>
          <w:szCs w:val="20"/>
        </w:rPr>
        <w:t xml:space="preserve">6.1  Member 1 — Notes Ingestion and Summarisation</w:t>
      </w:r>
    </w:p>
    <w:p>
      <w:pPr>
        <w:spacing w:after="60" w:line="264"/>
        <w:ind w:left="620"/>
      </w:pPr>
      <w:r>
        <w:rPr>
          <w:b w:val="false"/>
          <w:bCs w:val="false"/>
          <w:color w:val="444444"/>
          <w:sz w:val="20"/>
          <w:szCs w:val="20"/>
        </w:rPr>
        <w:t xml:space="preserve">6.2  Member 2 — Knowledge Graph and NLP Intelligence</w:t>
      </w:r>
    </w:p>
    <w:p>
      <w:pPr>
        <w:spacing w:after="60" w:line="264"/>
        <w:ind w:left="620"/>
      </w:pPr>
      <w:r>
        <w:rPr>
          <w:b w:val="false"/>
          <w:bCs w:val="false"/>
          <w:color w:val="444444"/>
          <w:sz w:val="20"/>
          <w:szCs w:val="20"/>
        </w:rPr>
        <w:t xml:space="preserve">6.3  Member 3 — Test Generation and Feedback</w:t>
      </w:r>
    </w:p>
    <w:p>
      <w:pPr>
        <w:spacing w:after="60" w:line="264"/>
        <w:ind w:left="620"/>
      </w:pPr>
      <w:r>
        <w:rPr>
          <w:b w:val="false"/>
          <w:bCs w:val="false"/>
          <w:color w:val="444444"/>
          <w:sz w:val="20"/>
          <w:szCs w:val="20"/>
        </w:rPr>
        <w:t xml:space="preserve">6.4  Member 4 — Containerization and Cloud Deployment</w:t>
      </w:r>
    </w:p>
    <w:p>
      <w:pPr>
        <w:spacing w:after="90" w:line="264"/>
        <w:ind w:left="200"/>
      </w:pPr>
      <w:r>
        <w:rPr>
          <w:b/>
          <w:bCs/>
          <w:color w:val="000000"/>
          <w:sz w:val="21"/>
          <w:szCs w:val="21"/>
        </w:rPr>
        <w:t xml:space="preserve">7.  Cross-Workstream Synthesis</w:t>
      </w:r>
    </w:p>
    <w:p>
      <w:pPr>
        <w:spacing w:after="60" w:line="264"/>
        <w:ind w:left="620"/>
      </w:pPr>
      <w:r>
        <w:rPr>
          <w:b w:val="false"/>
          <w:bCs w:val="false"/>
          <w:color w:val="444444"/>
          <w:sz w:val="20"/>
          <w:szCs w:val="20"/>
        </w:rPr>
        <w:t xml:space="preserve">7.1  Common findings</w:t>
      </w:r>
    </w:p>
    <w:p>
      <w:pPr>
        <w:spacing w:after="60" w:line="264"/>
        <w:ind w:left="620"/>
      </w:pPr>
      <w:r>
        <w:rPr>
          <w:b w:val="false"/>
          <w:bCs w:val="false"/>
          <w:color w:val="444444"/>
          <w:sz w:val="20"/>
          <w:szCs w:val="20"/>
        </w:rPr>
        <w:t xml:space="preserve">7.2  Integration risks the individual reports do not fully capture</w:t>
      </w:r>
    </w:p>
    <w:p>
      <w:pPr>
        <w:spacing w:after="60" w:line="264"/>
        <w:ind w:left="620"/>
      </w:pPr>
      <w:r>
        <w:rPr>
          <w:b w:val="false"/>
          <w:bCs w:val="false"/>
          <w:color w:val="444444"/>
          <w:sz w:val="20"/>
          <w:szCs w:val="20"/>
        </w:rPr>
        <w:t xml:space="preserve">7.3  Recommended build order</w:t>
      </w:r>
    </w:p>
    <w:p>
      <w:pPr>
        <w:spacing w:after="90" w:line="264"/>
        <w:ind w:left="200"/>
      </w:pPr>
      <w:r>
        <w:rPr>
          <w:b/>
          <w:bCs/>
          <w:color w:val="000000"/>
          <w:sz w:val="21"/>
          <w:szCs w:val="21"/>
        </w:rPr>
        <w:t xml:space="preserve">8.  Future Scope</w:t>
      </w:r>
    </w:p>
    <w:p>
      <w:pPr>
        <w:spacing w:after="60" w:line="264"/>
        <w:ind w:left="620"/>
      </w:pPr>
      <w:r>
        <w:rPr>
          <w:b w:val="false"/>
          <w:bCs w:val="false"/>
          <w:color w:val="444444"/>
          <w:sz w:val="20"/>
          <w:szCs w:val="20"/>
        </w:rPr>
        <w:t xml:space="preserve">8.1  Video proctoring and expression analysis</w:t>
      </w:r>
    </w:p>
    <w:p>
      <w:pPr>
        <w:spacing w:after="60" w:line="264"/>
        <w:ind w:left="620"/>
      </w:pPr>
      <w:r>
        <w:rPr>
          <w:b w:val="false"/>
          <w:bCs w:val="false"/>
          <w:color w:val="444444"/>
          <w:sz w:val="20"/>
          <w:szCs w:val="20"/>
        </w:rPr>
        <w:t xml:space="preserve">8.2  Other items deferred beyond this project</w:t>
      </w:r>
    </w:p>
    <w:p>
      <w:pPr>
        <w:spacing w:after="90" w:line="264"/>
        <w:ind w:left="200"/>
      </w:pPr>
      <w:r>
        <w:rPr>
          <w:b/>
          <w:bCs/>
          <w:color w:val="000000"/>
          <w:sz w:val="21"/>
          <w:szCs w:val="21"/>
        </w:rPr>
        <w:t xml:space="preserve">9.  Consolidated Risk Register</w:t>
      </w:r>
    </w:p>
    <w:p>
      <w:pPr>
        <w:spacing w:after="90" w:line="264"/>
        <w:ind w:left="200"/>
      </w:pPr>
      <w:r>
        <w:rPr>
          <w:b/>
          <w:bCs/>
          <w:color w:val="000000"/>
          <w:sz w:val="21"/>
          <w:szCs w:val="21"/>
        </w:rPr>
        <w:t xml:space="preserve">10.  Conclusion</w:t>
      </w:r>
    </w:p>
    <w:p>
      <w:pPr>
        <w:spacing w:after="90" w:line="264"/>
        <w:ind w:left="200"/>
      </w:pPr>
      <w:r>
        <w:rPr>
          <w:b/>
          <w:bCs/>
          <w:color w:val="000000"/>
          <w:sz w:val="21"/>
          <w:szCs w:val="21"/>
        </w:rPr>
        <w:t xml:space="preserve">Appendix A — Interface Contracts</w:t>
      </w:r>
    </w:p>
    <w:p>
      <w:pPr>
        <w:spacing w:after="90" w:line="264"/>
        <w:ind w:left="200"/>
      </w:pPr>
      <w:r>
        <w:rPr>
          <w:b/>
          <w:bCs/>
          <w:color w:val="000000"/>
          <w:sz w:val="21"/>
          <w:szCs w:val="21"/>
        </w:rPr>
        <w:t xml:space="preserve">Appendix B — Reconciliation Log</w:t>
      </w:r>
    </w:p>
    <w:p>
      <w:pPr>
        <w:spacing w:after="90" w:line="264"/>
        <w:ind w:left="200"/>
      </w:pPr>
      <w:r>
        <w:rPr>
          <w:b/>
          <w:bCs/>
          <w:color w:val="000000"/>
          <w:sz w:val="21"/>
          <w:szCs w:val="21"/>
        </w:rPr>
        <w:t xml:space="preserve">11.  References</w:t>
      </w:r>
    </w:p>
    <w:p>
      <w:r>
        <w:br w:type="page"/>
      </w:r>
    </w:p>
    <w:p>
      <w:pPr>
        <w:pStyle w:val="Heading1"/>
        <w:spacing w:after="170" w:before="340"/>
      </w:pPr>
      <w:r>
        <w:rPr>
          <w:b/>
          <w:bCs/>
          <w:color w:val="1F3864"/>
          <w:sz w:val="30"/>
          <w:szCs w:val="30"/>
        </w:rPr>
        <w:t xml:space="preserve">1. Introduction and How This Report Was Assembled</w:t>
      </w:r>
    </w:p>
    <w:p>
      <w:pPr>
        <w:spacing w:after="130" w:line="276"/>
      </w:pPr>
      <w:r>
        <w:rPr>
          <w:sz w:val="21"/>
          <w:szCs w:val="21"/>
        </w:rPr>
        <w:t xml:space="preserve">Mind Atlas is an adaptive assessment and personalised learning platform built as a four-person capstone project. A student adds notes — typed, scanned, or imported from a document — and the system links related notes into a per-subject knowledge graph, generates tests grounded strictly in those notes, and returns a ranked diagnosis of which topics need the most attention. A React single-page application forms the client, and a Node.js/Express REST API is the single gatekeeper for every request, with specialised processing services behind it sharing a common cloud and data layer.</w:t>
      </w:r>
    </w:p>
    <w:p>
      <w:pPr>
        <w:spacing w:after="130" w:line="276"/>
      </w:pPr>
      <w:r>
        <w:rPr>
          <w:sz w:val="21"/>
          <w:szCs w:val="21"/>
        </w:rPr>
        <w:t xml:space="preserve">Work is split across four workstreams, defined in the team's CONTRIBUTING.md and restated authoritatively in Section 2. Each member independently produced a full feasibility report for their own workstream, covering an executive summary, scope, implementation overview, technical and cost feasibility, a technology and literature survey, a prioritised recommendation roadmap, and a risk assessment. This document consolidates all four so the whole project's feasibility can be read in one sitting; the individual reports remain the authoritative source for complete literature reviews and full roadmaps.</w:t>
      </w:r>
    </w:p>
    <w:p>
      <w:pPr>
        <w:spacing w:after="130" w:line="276"/>
      </w:pPr>
      <w:r>
        <w:rPr>
          <w:sz w:val="21"/>
          <w:szCs w:val="21"/>
        </w:rPr>
        <w:t xml:space="preserve">Read together, the four reports reach the same headline conclusion by four different technical routes. Every workstream is feasible on free-tier infrastructure, no component anywhere in the system requires a GPU or a dedicated model-training pipeline, and each report is explicit about which of its design choices are supported by published work and which are the team's own engineering heuristics awaiting empirical tuning. Section 7 draws these threads together into a single cross-workstream build order and risk picture.</w:t>
      </w:r>
    </w:p>
    <w:p>
      <w:pPr>
        <w:pStyle w:val="Heading2"/>
        <w:spacing w:after="120" w:before="250"/>
      </w:pPr>
      <w:r>
        <w:rPr>
          <w:b/>
          <w:bCs/>
          <w:color w:val="1F3864"/>
          <w:sz w:val="24"/>
          <w:szCs w:val="24"/>
        </w:rPr>
        <w:t xml:space="preserve">1.1 What this revision reconciles</w:t>
      </w:r>
    </w:p>
    <w:p>
      <w:pPr>
        <w:spacing w:after="130" w:line="276"/>
      </w:pPr>
      <w:r>
        <w:rPr>
          <w:sz w:val="21"/>
          <w:szCs w:val="21"/>
        </w:rPr>
        <w:t xml:space="preserve">Because the four reports were written independently and at different points in the project's life, they diverged on several points of fact, most importantly on who owns which workstream and on the runtime the machine-learning components target. An earlier consolidated draft inherited some of those divergences. This revision resolves them, and each resolution is recorded in Appendix B so the reasoning is auditable rather than silent.</w:t>
      </w:r>
    </w:p>
    <w:p>
      <w:pPr>
        <w:pStyle w:val="ListParagraph"/>
        <w:numPr>
          <w:ilvl w:val="0"/>
          <w:numId w:val="2"/>
        </w:numPr>
        <w:spacing w:after="90" w:line="276"/>
      </w:pPr>
      <w:r>
        <w:rPr>
          <w:sz w:val="21"/>
          <w:szCs w:val="21"/>
        </w:rPr>
        <w:t xml:space="preserve">Workstream ownership is stated once, authoritatively, in Section 2 and used consistently throughout. Two of the individual reports were written against a superseded role split.</w:t>
      </w:r>
    </w:p>
    <w:p>
      <w:pPr>
        <w:pStyle w:val="ListParagraph"/>
        <w:numPr>
          <w:ilvl w:val="0"/>
          <w:numId w:val="2"/>
        </w:numPr>
        <w:spacing w:after="90" w:line="276"/>
      </w:pPr>
      <w:r>
        <w:rPr>
          <w:sz w:val="21"/>
          <w:szCs w:val="21"/>
        </w:rPr>
        <w:t xml:space="preserve">The runtime boundary between the Node.js API and the Python machine-learning services is decided and documented in Section 3, so the container topology, the dependency lists and the build targets now agree across all four workstreams.</w:t>
      </w:r>
    </w:p>
    <w:p>
      <w:pPr>
        <w:pStyle w:val="ListParagraph"/>
        <w:numPr>
          <w:ilvl w:val="0"/>
          <w:numId w:val="2"/>
        </w:numPr>
        <w:spacing w:after="90" w:line="276"/>
      </w:pPr>
      <w:r>
        <w:rPr>
          <w:sz w:val="21"/>
          <w:szCs w:val="21"/>
        </w:rPr>
        <w:t xml:space="preserve">Video proctoring is recorded as future scope in Section 8. It appears in the original system architecture but is not owned by any current workstream, and no report assesses its feasibility; carrying it as an implied deliverable would overstate what the project commits to.</w:t>
      </w:r>
    </w:p>
    <w:p>
      <w:pPr>
        <w:pStyle w:val="ListParagraph"/>
        <w:numPr>
          <w:ilvl w:val="0"/>
          <w:numId w:val="2"/>
        </w:numPr>
        <w:spacing w:after="90" w:line="276"/>
      </w:pPr>
      <w:r>
        <w:rPr>
          <w:sz w:val="21"/>
          <w:szCs w:val="21"/>
        </w:rPr>
        <w:t xml:space="preserve">Implementation status is separated from design intent in a single table in Section 5. A component is described as built and verified only where automated tests in the repository exercise it.</w:t>
      </w:r>
    </w:p>
    <w:p>
      <w:pPr>
        <w:pStyle w:val="ListParagraph"/>
        <w:numPr>
          <w:ilvl w:val="0"/>
          <w:numId w:val="2"/>
        </w:numPr>
        <w:spacing w:after="90" w:line="276"/>
      </w:pPr>
      <w:r>
        <w:rPr>
          <w:sz w:val="21"/>
          <w:szCs w:val="21"/>
        </w:rPr>
        <w:t xml:space="preserve">Appendix A adds the interface contracts between the four stages, which the individual reports each described from their own side only.</w:t>
      </w:r>
    </w:p>
    <w:p>
      <w:pPr>
        <w:pStyle w:val="Heading1"/>
        <w:spacing w:after="170" w:before="340"/>
      </w:pPr>
      <w:r>
        <w:rPr>
          <w:b/>
          <w:bCs/>
          <w:color w:val="1F3864"/>
          <w:sz w:val="30"/>
          <w:szCs w:val="30"/>
        </w:rPr>
        <w:t xml:space="preserve">2. Workstream Ownership</w:t>
      </w:r>
    </w:p>
    <w:p>
      <w:pPr>
        <w:spacing w:after="130" w:line="276"/>
      </w:pPr>
      <w:r>
        <w:rPr>
          <w:sz w:val="21"/>
          <w:szCs w:val="21"/>
        </w:rPr>
        <w:t xml:space="preserve">The allocation below is authoritative for this report. It matches the team's CONTRIBUTING.md and the repository's current structure. Where an individual workstream report states a different allocation, that report predates this consolidation and is superseded on this point only; its technical content stands.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1452"/>
        <w:gridCol w:w="5262"/>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Workstream</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Owner</w:t>
            </w:r>
          </w:p>
        </w:tc>
        <w:tc>
          <w:tcPr>
            <w:tcW w:type="dxa" w:w="5262"/>
            <w:shd w:fill="D9E2F3" w:color="auto" w:val="clear"/>
            <w:tcMar>
              <w:top w:type="dxa" w:w="70"/>
              <w:left w:type="dxa" w:w="110"/>
              <w:bottom w:type="dxa" w:w="70"/>
              <w:right w:type="dxa" w:w="110"/>
            </w:tcMar>
          </w:tcPr>
          <w:p>
            <w:pPr>
              <w:spacing w:after="0" w:line="250"/>
            </w:pPr>
            <w:r>
              <w:rPr>
                <w:b/>
                <w:bCs/>
                <w:sz w:val="18"/>
                <w:szCs w:val="18"/>
              </w:rPr>
              <w:t xml:space="preserve">Owned deliverables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Member 1 — Notes Ingestion &amp; Summarisation</w:t>
            </w:r>
          </w:p>
        </w:tc>
        <w:tc>
          <w:tcPr>
            <w:tcW w:type="dxa" w:w="1452"/>
            <w:tcMar>
              <w:top w:type="dxa" w:w="70"/>
              <w:left w:type="dxa" w:w="110"/>
              <w:bottom w:type="dxa" w:w="70"/>
              <w:right w:type="dxa" w:w="110"/>
            </w:tcMar>
          </w:tcPr>
          <w:p>
            <w:pPr>
              <w:spacing w:after="0" w:line="250"/>
            </w:pPr>
            <w:r>
              <w:rPr>
                <w:b w:val="false"/>
                <w:bCs w:val="false"/>
                <w:sz w:val="18"/>
                <w:szCs w:val="18"/>
              </w:rPr>
              <w:t xml:space="preserve">Member 1</w:t>
            </w:r>
          </w:p>
        </w:tc>
        <w:tc>
          <w:tcPr>
            <w:tcW w:type="dxa" w:w="5262"/>
            <w:tcMar>
              <w:top w:type="dxa" w:w="70"/>
              <w:left w:type="dxa" w:w="110"/>
              <w:bottom w:type="dxa" w:w="70"/>
              <w:right w:type="dxa" w:w="110"/>
            </w:tcMar>
          </w:tcPr>
          <w:p>
            <w:pPr>
              <w:spacing w:after="0" w:line="250"/>
            </w:pPr>
            <w:r>
              <w:rPr>
                <w:b w:val="false"/>
                <w:bCs w:val="false"/>
                <w:sz w:val="18"/>
                <w:szCs w:val="18"/>
              </w:rPr>
              <w:t xml:space="preserve">Multi-format ingestion (typed, DOCX, PDF, image); OCR with confidence-gated cloud fallback; grounded note summarisation; subject-folder storage; object storage; textbook chunking and vector indexing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 2 — Knowledge Graph &amp; NLP Intelligence</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Keyword extraction; sentence-embedding similarity; hybrid scoring; cross-subject word-sense disambiguation; community-detection sanity checks; edge-confidence calibration from corrections; graph visualisation; graph accuracy evaluation</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Member 3 — Test Generation &amp; Feedback</w:t>
            </w:r>
          </w:p>
        </w:tc>
        <w:tc>
          <w:tcPr>
            <w:tcW w:type="dxa" w:w="1452"/>
            <w:tcMar>
              <w:top w:type="dxa" w:w="70"/>
              <w:left w:type="dxa" w:w="110"/>
              <w:bottom w:type="dxa" w:w="70"/>
              <w:right w:type="dxa" w:w="110"/>
            </w:tcMar>
          </w:tcPr>
          <w:p>
            <w:pPr>
              <w:spacing w:after="0" w:line="250"/>
            </w:pPr>
            <w:r>
              <w:rPr>
                <w:b w:val="false"/>
                <w:bCs w:val="false"/>
                <w:sz w:val="18"/>
                <w:szCs w:val="18"/>
              </w:rPr>
              <w:t xml:space="preserve">Siddhi Karhekar</w:t>
            </w:r>
          </w:p>
        </w:tc>
        <w:tc>
          <w:tcPr>
            <w:tcW w:type="dxa" w:w="5262"/>
            <w:tcMar>
              <w:top w:type="dxa" w:w="70"/>
              <w:left w:type="dxa" w:w="110"/>
              <w:bottom w:type="dxa" w:w="70"/>
              <w:right w:type="dxa" w:w="110"/>
            </w:tcMar>
          </w:tcPr>
          <w:p>
            <w:pPr>
              <w:spacing w:after="0" w:line="250"/>
            </w:pPr>
            <w:r>
              <w:rPr>
                <w:b w:val="false"/>
                <w:bCs w:val="false"/>
                <w:sz w:val="18"/>
                <w:szCs w:val="18"/>
              </w:rPr>
              <w:t xml:space="preserve">Grounded MCQ and theory question generation; the hallucination gate; adaptive item delivery; free-text answer grading; deterministic per-topic feedback scoring and phrasing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 4 — Containerization &amp; Cloud Deployment</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Atharva Hemade</w:t>
            </w:r>
          </w:p>
        </w:tc>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Dockerfiles; local orchestration; the CI/CD pipeline; hosting topology; the environment-variable contract; secrets hygiene; health checks and observability</w:t>
            </w:r>
          </w:p>
        </w:tc>
      </w:tr>
    </w:tbl>
    <w:p>
      <w:pPr>
        <w:spacing w:after="170"/>
      </w:pPr>
    </w:p>
    <w:p>
      <w:pPr>
        <w:spacing w:after="130" w:line="276"/>
      </w:pPr>
      <w:r>
        <w:rPr>
          <w:b/>
          <w:bCs/>
          <w:sz w:val="21"/>
          <w:szCs w:val="21"/>
        </w:rPr>
        <w:t xml:space="preserve">Not owned by any workstream: </w:t>
      </w:r>
      <w:r>
        <w:rPr>
          <w:b w:val="false"/>
          <w:bCs w:val="false"/>
          <w:sz w:val="21"/>
          <w:szCs w:val="21"/>
        </w:rPr>
        <w:t xml:space="preserve">video proctoring and webcam expression analysis. These are recorded as future scope in Section 8 and are excluded from every feasibility claim in this report. Member 3's attempt flow is built so that the non-camera path is the fully supported path rather than a degraded one, so nothing in the delivered system depends on proctoring ever being added.</w:t>
      </w:r>
    </w:p>
    <w:p>
      <w:pPr>
        <w:spacing w:after="130" w:line="276"/>
      </w:pPr>
      <w:r>
        <w:rPr>
          <w:b/>
          <w:bCs/>
          <w:sz w:val="21"/>
          <w:szCs w:val="21"/>
        </w:rPr>
        <w:t xml:space="preserve">Cross-cutting, shared by all four: </w:t>
      </w:r>
      <w:r>
        <w:rPr>
          <w:b w:val="false"/>
          <w:bCs w:val="false"/>
          <w:sz w:val="21"/>
          <w:szCs w:val="21"/>
        </w:rPr>
        <w:t xml:space="preserve">integration, API contract design, testing and documentation. Deployment, CI/CD, hosting and scalability testing are owned end to end by Member 4; an earlier draft of Member 1's report claimed these as a secondary responsibility, which would have duplicated Member 4's entire workstream.</w:t>
      </w:r>
    </w:p>
    <w:p>
      <w:r>
        <w:br w:type="page"/>
      </w:r>
    </w:p>
    <w:p>
      <w:pPr>
        <w:pStyle w:val="Heading1"/>
        <w:spacing w:after="170" w:before="340"/>
      </w:pPr>
      <w:r>
        <w:rPr>
          <w:b/>
          <w:bCs/>
          <w:color w:val="1F3864"/>
          <w:sz w:val="30"/>
          <w:szCs w:val="30"/>
        </w:rPr>
        <w:t xml:space="preserve">3. System Architecture and Runtime Boundary</w:t>
      </w:r>
    </w:p>
    <w:p>
      <w:pPr>
        <w:pStyle w:val="Heading2"/>
        <w:spacing w:after="120" w:before="250"/>
      </w:pPr>
      <w:r>
        <w:rPr>
          <w:b/>
          <w:bCs/>
          <w:color w:val="1F3864"/>
          <w:sz w:val="24"/>
          <w:szCs w:val="24"/>
        </w:rPr>
        <w:t xml:space="preserve">3.1 The runtime decision</w:t>
      </w:r>
    </w:p>
    <w:p>
      <w:pPr>
        <w:spacing w:after="130" w:line="276"/>
      </w:pPr>
      <w:r>
        <w:rPr>
          <w:sz w:val="21"/>
          <w:szCs w:val="21"/>
        </w:rPr>
        <w:t xml:space="preserve">Members 1 and 2 specify a Python machine-learning stack — Tesseract bindings, sentence-transformers, FAISS, scikit-learn and graph libraries — while the repository as built is Node.js/Express and Member 4's container plan assumed Node images throughout. Left unresolved, this would have produced dependency lists that cannot coexist and a container count nobody agreed on.</w:t>
      </w:r>
    </w:p>
    <w:p>
      <w:pPr>
        <w:spacing w:after="130" w:line="276"/>
      </w:pPr>
      <w:r>
        <w:rPr>
          <w:b/>
          <w:bCs/>
          <w:sz w:val="21"/>
          <w:szCs w:val="21"/>
        </w:rPr>
        <w:t xml:space="preserve">The team's decision is a hybrid split. </w:t>
      </w:r>
      <w:r>
        <w:rPr>
          <w:b w:val="false"/>
          <w:bCs w:val="false"/>
          <w:sz w:val="21"/>
          <w:szCs w:val="21"/>
        </w:rPr>
        <w:t xml:space="preserve">Node.js/Express remains the single API gateway and owns everything already built and verified. Two Python services own the model-backed work that Python libraries serve substantially better. Each Python service is reached over HTTP from the API, behind a timeout, and each has a documented fallback described in Section 3.3.</w:t>
      </w:r>
    </w:p>
    <w:p>
      <w:pPr>
        <w:spacing w:after="130" w:line="276"/>
      </w:pPr>
      <w:r>
        <w:rPr>
          <w:sz w:val="21"/>
          <w:szCs w:val="21"/>
        </w:rPr>
        <w:t xml:space="preserve">Three considerations drove this. It preserves the built Node implementation without a rewrite, which is the largest body of verified code the team has. It lets Members 1 and 2 use the mature Python libraries their feasibility analyses are built around, rather than forcing less-proven JavaScript equivalents. And it keeps the two heaviest memory consumers, the OCR engine and the embedding models, in their own containers so they do not compete with the API for a free-tier container's memory.</w:t>
      </w:r>
    </w:p>
    <w:p>
      <w:pPr>
        <w:spacing w:after="130" w:line="276"/>
      </w:pPr>
      <w:r>
        <w:rPr>
          <w:sz w:val="21"/>
          <w:szCs w:val="21"/>
        </w:rPr>
        <w:t xml:space="preserve">The cost is honestly stated: Member 4 maintains two image families rather than one, and every cross-service call becomes a network hop that needs a timeout, a health check and a fallback path. Section 3.3 is what keeps that cost bounded.</w:t>
      </w:r>
    </w:p>
    <w:p>
      <w:pPr>
        <w:pStyle w:val="Heading2"/>
        <w:spacing w:after="120" w:before="250"/>
      </w:pPr>
      <w:r>
        <w:rPr>
          <w:b/>
          <w:bCs/>
          <w:color w:val="1F3864"/>
          <w:sz w:val="24"/>
          <w:szCs w:val="24"/>
        </w:rPr>
        <w:t xml:space="preserve">3.2 Deployable services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1452"/>
        <w:gridCol w:w="4717"/>
        <w:gridCol w:w="1452"/>
      </w:tblGrid>
      <w:tr>
        <w:trPr>
          <w:tblHeader/>
        </w:trPr>
        <w:tc>
          <w:tcPr>
            <w:tcW w:type="dxa" w:w="1452"/>
            <w:shd w:fill="D9E2F3" w:color="auto" w:val="clear"/>
            <w:tcMar>
              <w:top w:type="dxa" w:w="70"/>
              <w:left w:type="dxa" w:w="110"/>
              <w:bottom w:type="dxa" w:w="70"/>
              <w:right w:type="dxa" w:w="110"/>
            </w:tcMar>
          </w:tcPr>
          <w:p>
            <w:pPr>
              <w:spacing w:after="0" w:line="250"/>
            </w:pPr>
            <w:r>
              <w:rPr>
                <w:b/>
                <w:bCs/>
                <w:sz w:val="18"/>
                <w:szCs w:val="18"/>
              </w:rPr>
              <w:t xml:space="preserve">Service</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Runtime</w:t>
            </w:r>
          </w:p>
        </w:tc>
        <w:tc>
          <w:tcPr>
            <w:tcW w:type="dxa" w:w="4717"/>
            <w:shd w:fill="D9E2F3" w:color="auto" w:val="clear"/>
            <w:tcMar>
              <w:top w:type="dxa" w:w="70"/>
              <w:left w:type="dxa" w:w="110"/>
              <w:bottom w:type="dxa" w:w="70"/>
              <w:right w:type="dxa" w:w="110"/>
            </w:tcMar>
          </w:tcPr>
          <w:p>
            <w:pPr>
              <w:spacing w:after="0" w:line="250"/>
            </w:pPr>
            <w:r>
              <w:rPr>
                <w:b/>
                <w:bCs/>
                <w:sz w:val="18"/>
                <w:szCs w:val="18"/>
              </w:rPr>
              <w:t xml:space="preserve">Responsibility</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Status</w:t>
            </w:r>
          </w:p>
        </w:tc>
      </w:tr>
      <w:tr>
        <w:tc>
          <w:tcPr>
            <w:tcW w:type="dxa" w:w="1452"/>
            <w:tcMar>
              <w:top w:type="dxa" w:w="70"/>
              <w:left w:type="dxa" w:w="110"/>
              <w:bottom w:type="dxa" w:w="70"/>
              <w:right w:type="dxa" w:w="110"/>
            </w:tcMar>
          </w:tcPr>
          <w:p>
            <w:pPr>
              <w:spacing w:after="0" w:line="250"/>
            </w:pPr>
            <w:r>
              <w:rPr>
                <w:b w:val="false"/>
                <w:bCs w:val="false"/>
                <w:sz w:val="18"/>
                <w:szCs w:val="18"/>
              </w:rPr>
              <w:t xml:space="preserve">client</w:t>
            </w:r>
          </w:p>
        </w:tc>
        <w:tc>
          <w:tcPr>
            <w:tcW w:type="dxa" w:w="1452"/>
            <w:tcMar>
              <w:top w:type="dxa" w:w="70"/>
              <w:left w:type="dxa" w:w="110"/>
              <w:bottom w:type="dxa" w:w="70"/>
              <w:right w:type="dxa" w:w="110"/>
            </w:tcMar>
          </w:tcPr>
          <w:p>
            <w:pPr>
              <w:spacing w:after="0" w:line="250"/>
            </w:pPr>
            <w:r>
              <w:rPr>
                <w:b w:val="false"/>
                <w:bCs w:val="false"/>
                <w:sz w:val="18"/>
                <w:szCs w:val="18"/>
              </w:rPr>
              <w:t xml:space="preserve">React / Vite, static build</w:t>
            </w:r>
          </w:p>
        </w:tc>
        <w:tc>
          <w:tcPr>
            <w:tcW w:type="dxa" w:w="4717"/>
            <w:tcMar>
              <w:top w:type="dxa" w:w="70"/>
              <w:left w:type="dxa" w:w="110"/>
              <w:bottom w:type="dxa" w:w="70"/>
              <w:right w:type="dxa" w:w="110"/>
            </w:tcMar>
          </w:tcPr>
          <w:p>
            <w:pPr>
              <w:spacing w:after="0" w:line="250"/>
            </w:pPr>
            <w:r>
              <w:rPr>
                <w:b w:val="false"/>
                <w:bCs w:val="false"/>
                <w:sz w:val="18"/>
                <w:szCs w:val="18"/>
              </w:rPr>
              <w:t xml:space="preserve">Sign-in, subject and note management, graph view, test builder, focus-mode attempt screen, results view</w:t>
            </w:r>
          </w:p>
        </w:tc>
        <w:tc>
          <w:tcPr>
            <w:tcW w:type="dxa" w:w="1452"/>
            <w:tcMar>
              <w:top w:type="dxa" w:w="70"/>
              <w:left w:type="dxa" w:w="110"/>
              <w:bottom w:type="dxa" w:w="70"/>
              <w:right w:type="dxa" w:w="110"/>
            </w:tcMar>
          </w:tcPr>
          <w:p>
            <w:pPr>
              <w:spacing w:after="0" w:line="250"/>
            </w:pPr>
            <w:r>
              <w:rPr>
                <w:b w:val="false"/>
                <w:bCs w:val="false"/>
                <w:sz w:val="18"/>
                <w:szCs w:val="18"/>
              </w:rPr>
              <w:t xml:space="preserve">Partially built</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api</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Node 20 / Express</w:t>
            </w:r>
          </w:p>
        </w:tc>
        <w:tc>
          <w:tcPr>
            <w:tcW w:type="dxa" w:w="4717"/>
            <w:shd w:fill="F2F5FB" w:color="auto" w:val="clear"/>
            <w:tcMar>
              <w:top w:type="dxa" w:w="70"/>
              <w:left w:type="dxa" w:w="110"/>
              <w:bottom w:type="dxa" w:w="70"/>
              <w:right w:type="dxa" w:w="110"/>
            </w:tcMar>
          </w:tcPr>
          <w:p>
            <w:pPr>
              <w:spacing w:after="0" w:line="250"/>
            </w:pPr>
            <w:r>
              <w:rPr>
                <w:b w:val="false"/>
                <w:bCs w:val="false"/>
                <w:sz w:val="18"/>
                <w:szCs w:val="18"/>
              </w:rPr>
              <w:t xml:space="preserve">Authentication, subjects, note metadata, test generation and the hallucination gate, attempt flow, grading, feedback scoring and phrasing; the only service the client ever calls</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ocr-service</w:t>
            </w:r>
          </w:p>
        </w:tc>
        <w:tc>
          <w:tcPr>
            <w:tcW w:type="dxa" w:w="1452"/>
            <w:tcMar>
              <w:top w:type="dxa" w:w="70"/>
              <w:left w:type="dxa" w:w="110"/>
              <w:bottom w:type="dxa" w:w="70"/>
              <w:right w:type="dxa" w:w="110"/>
            </w:tcMar>
          </w:tcPr>
          <w:p>
            <w:pPr>
              <w:spacing w:after="0" w:line="250"/>
            </w:pPr>
            <w:r>
              <w:rPr>
                <w:b w:val="false"/>
                <w:bCs w:val="false"/>
                <w:sz w:val="18"/>
                <w:szCs w:val="18"/>
              </w:rPr>
              <w:t xml:space="preserve">Python 3.11</w:t>
            </w:r>
          </w:p>
        </w:tc>
        <w:tc>
          <w:tcPr>
            <w:tcW w:type="dxa" w:w="4717"/>
            <w:tcMar>
              <w:top w:type="dxa" w:w="70"/>
              <w:left w:type="dxa" w:w="110"/>
              <w:bottom w:type="dxa" w:w="70"/>
              <w:right w:type="dxa" w:w="110"/>
            </w:tcMar>
          </w:tcPr>
          <w:p>
            <w:pPr>
              <w:spacing w:after="0" w:line="250"/>
            </w:pPr>
            <w:r>
              <w:rPr>
                <w:b w:val="false"/>
                <w:bCs w:val="false"/>
                <w:sz w:val="18"/>
                <w:szCs w:val="18"/>
              </w:rPr>
              <w:t xml:space="preserve">Image preprocessing, Tesseract recognition, confidence gate, cloud Vision escalation, queue-backed so ingestion never blocks the API</w:t>
            </w:r>
          </w:p>
        </w:tc>
        <w:tc>
          <w:tcPr>
            <w:tcW w:type="dxa" w:w="1452"/>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nlp-service</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Python 3.11</w:t>
            </w:r>
          </w:p>
        </w:tc>
        <w:tc>
          <w:tcPr>
            <w:tcW w:type="dxa" w:w="4717"/>
            <w:shd w:fill="F2F5FB" w:color="auto" w:val="clear"/>
            <w:tcMar>
              <w:top w:type="dxa" w:w="70"/>
              <w:left w:type="dxa" w:w="110"/>
              <w:bottom w:type="dxa" w:w="70"/>
              <w:right w:type="dxa" w:w="110"/>
            </w:tcMar>
          </w:tcPr>
          <w:p>
            <w:pPr>
              <w:spacing w:after="0" w:line="250"/>
            </w:pPr>
            <w:r>
              <w:rPr>
                <w:b w:val="false"/>
                <w:bCs w:val="false"/>
                <w:sz w:val="18"/>
                <w:szCs w:val="18"/>
              </w:rPr>
              <w:t xml:space="preserve">Sentence embeddings, cross-encoder re-scoring, word-sense gate, community detection, edge-confidence model, textbook chunking and vector index</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Managed services</w:t>
            </w:r>
          </w:p>
        </w:tc>
        <w:tc>
          <w:tcPr>
            <w:tcW w:type="dxa" w:w="1452"/>
            <w:tcMar>
              <w:top w:type="dxa" w:w="70"/>
              <w:left w:type="dxa" w:w="110"/>
              <w:bottom w:type="dxa" w:w="70"/>
              <w:right w:type="dxa" w:w="110"/>
            </w:tcMar>
          </w:tcPr>
          <w:p>
            <w:pPr>
              <w:spacing w:after="0" w:line="250"/>
            </w:pPr>
            <w:r>
              <w:rPr>
                <w:b w:val="false"/>
                <w:bCs w:val="false"/>
                <w:sz w:val="18"/>
                <w:szCs w:val="18"/>
              </w:rPr>
              <w:t xml:space="preserve">—</w:t>
            </w:r>
          </w:p>
        </w:tc>
        <w:tc>
          <w:tcPr>
            <w:tcW w:type="dxa" w:w="4717"/>
            <w:tcMar>
              <w:top w:type="dxa" w:w="70"/>
              <w:left w:type="dxa" w:w="110"/>
              <w:bottom w:type="dxa" w:w="70"/>
              <w:right w:type="dxa" w:w="110"/>
            </w:tcMar>
          </w:tcPr>
          <w:p>
            <w:pPr>
              <w:spacing w:after="0" w:line="250"/>
            </w:pPr>
            <w:r>
              <w:rPr>
                <w:b w:val="false"/>
                <w:bCs w:val="false"/>
                <w:sz w:val="18"/>
                <w:szCs w:val="18"/>
              </w:rPr>
              <w:t xml:space="preserve">MongoDB Atlas M0, private object-storage bucket, Groq LLM API</w:t>
            </w:r>
          </w:p>
        </w:tc>
        <w:tc>
          <w:tcPr>
            <w:tcW w:type="dxa" w:w="1452"/>
            <w:tcMar>
              <w:top w:type="dxa" w:w="70"/>
              <w:left w:type="dxa" w:w="110"/>
              <w:bottom w:type="dxa" w:w="70"/>
              <w:right w:type="dxa" w:w="110"/>
            </w:tcMar>
          </w:tcPr>
          <w:p>
            <w:pPr>
              <w:spacing w:after="0" w:line="250"/>
            </w:pPr>
            <w:r>
              <w:rPr>
                <w:b w:val="false"/>
                <w:bCs w:val="false"/>
                <w:sz w:val="18"/>
                <w:szCs w:val="18"/>
              </w:rPr>
              <w:t xml:space="preserve">Partially configured</w:t>
            </w:r>
          </w:p>
        </w:tc>
      </w:tr>
    </w:tbl>
    <w:p>
      <w:pPr>
        <w:spacing w:after="170"/>
      </w:pPr>
    </w:p>
    <w:p>
      <w:pPr>
        <w:spacing w:after="130" w:line="276"/>
      </w:pPr>
      <w:r>
        <w:rPr>
          <w:sz w:val="21"/>
          <w:szCs w:val="21"/>
        </w:rPr>
        <w:t xml:space="preserve">Three deployable services plus a static client and a managed data layer. A fourth service, proctoring, would be added only if the future-scope item in Section 8 is ever taken up; it is deliberately not counted in any capacity, cost or schedule estimate in this report.</w:t>
      </w:r>
    </w:p>
    <w:p>
      <w:pPr>
        <w:pStyle w:val="Heading2"/>
        <w:spacing w:after="120" w:before="250"/>
      </w:pPr>
      <w:r>
        <w:rPr>
          <w:b/>
          <w:bCs/>
          <w:color w:val="1F3864"/>
          <w:sz w:val="24"/>
          <w:szCs w:val="24"/>
        </w:rPr>
        <w:t xml:space="preserve">3.3 The degradation contract</w:t>
      </w:r>
    </w:p>
    <w:p>
      <w:pPr>
        <w:spacing w:after="130" w:line="276"/>
      </w:pPr>
      <w:r>
        <w:rPr>
          <w:sz w:val="21"/>
          <w:szCs w:val="21"/>
        </w:rPr>
        <w:t xml:space="preserve">Every dependency in the system, internal or external, has a documented fallback that keeps the product available at reduced quality rather than failing. This is a deliberate architectural property and the single strongest resilience claim the project makes, because it means no third-party outage and no unfinished service can prevent a demonstration.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4355"/>
        <w:gridCol w:w="2359"/>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If this is unavailable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The system does this instead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Status of the fallback</w:t>
            </w:r>
          </w:p>
        </w:tc>
      </w:tr>
      <w:tr>
        <w:tc>
          <w:tcPr>
            <w:tcW w:type="dxa" w:w="2359"/>
            <w:tcMar>
              <w:top w:type="dxa" w:w="70"/>
              <w:left w:type="dxa" w:w="110"/>
              <w:bottom w:type="dxa" w:w="70"/>
              <w:right w:type="dxa" w:w="110"/>
            </w:tcMar>
          </w:tcPr>
          <w:p>
            <w:pPr>
              <w:spacing w:after="0" w:line="250"/>
            </w:pPr>
            <w:r>
              <w:rPr>
                <w:b w:val="false"/>
                <w:bCs w:val="false"/>
                <w:sz w:val="18"/>
                <w:szCs w:val="18"/>
              </w:rPr>
              <w:t xml:space="preserve">nlp-service (embeddings, cross-encoder, community detection)</w:t>
            </w:r>
          </w:p>
        </w:tc>
        <w:tc>
          <w:tcPr>
            <w:tcW w:type="dxa" w:w="4355"/>
            <w:tcMar>
              <w:top w:type="dxa" w:w="70"/>
              <w:left w:type="dxa" w:w="110"/>
              <w:bottom w:type="dxa" w:w="70"/>
              <w:right w:type="dxa" w:w="110"/>
            </w:tcMar>
          </w:tcPr>
          <w:p>
            <w:pPr>
              <w:spacing w:after="0" w:line="250"/>
            </w:pPr>
            <w:r>
              <w:rPr>
                <w:b w:val="false"/>
                <w:bCs w:val="false"/>
                <w:sz w:val="18"/>
                <w:szCs w:val="18"/>
              </w:rPr>
              <w:t xml:space="preserve">The API links notes using its own TF-IDF plus cosine-similarity path, producing a smaller but correct graph</w:t>
            </w:r>
          </w:p>
        </w:tc>
        <w:tc>
          <w:tcPr>
            <w:tcW w:type="dxa" w:w="2359"/>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ocr-service</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Typed, DOCX and PDF ingestion continue unaffected; image uploads fall back to the in-process Tesseract path that exists in the API today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Groq LLM API (missing key, rate limit, outage)</w:t>
            </w:r>
          </w:p>
        </w:tc>
        <w:tc>
          <w:tcPr>
            <w:tcW w:type="dxa" w:w="4355"/>
            <w:tcMar>
              <w:top w:type="dxa" w:w="70"/>
              <w:left w:type="dxa" w:w="110"/>
              <w:bottom w:type="dxa" w:w="70"/>
              <w:right w:type="dxa" w:w="110"/>
            </w:tcMar>
          </w:tcPr>
          <w:p>
            <w:pPr>
              <w:spacing w:after="0" w:line="250"/>
            </w:pPr>
            <w:r>
              <w:rPr>
                <w:b w:val="false"/>
                <w:bCs w:val="false"/>
                <w:sz w:val="18"/>
                <w:szCs w:val="18"/>
              </w:rPr>
              <w:t xml:space="preserve">Rule-based question generation, keyword-overlap grading of theory answers, and template-phrased feedback</w:t>
            </w:r>
          </w:p>
        </w:tc>
        <w:tc>
          <w:tcPr>
            <w:tcW w:type="dxa" w:w="2359"/>
            <w:tcMar>
              <w:top w:type="dxa" w:w="70"/>
              <w:left w:type="dxa" w:w="110"/>
              <w:bottom w:type="dxa" w:w="70"/>
              <w:right w:type="dxa" w:w="110"/>
            </w:tcMar>
          </w:tcPr>
          <w:p>
            <w:pPr>
              <w:spacing w:after="0" w:line="250"/>
            </w:pPr>
            <w:r>
              <w:rPr>
                <w:b w:val="false"/>
                <w:bCs w:val="false"/>
                <w:sz w:val="18"/>
                <w:szCs w:val="18"/>
              </w:rPr>
              <w:t xml:space="preserve">Built, verified with no API key configured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Cloud Vision API (escalation cap reached)</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The Tesseract result is stored with a low-confidence flag and the student is prompted to review it, rather than money being spent silently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MongoDB Atlas</w:t>
            </w:r>
          </w:p>
        </w:tc>
        <w:tc>
          <w:tcPr>
            <w:tcW w:type="dxa" w:w="4355"/>
            <w:tcMar>
              <w:top w:type="dxa" w:w="70"/>
              <w:left w:type="dxa" w:w="110"/>
              <w:bottom w:type="dxa" w:w="70"/>
              <w:right w:type="dxa" w:w="110"/>
            </w:tcMar>
          </w:tcPr>
          <w:p>
            <w:pPr>
              <w:spacing w:after="0" w:line="250"/>
            </w:pPr>
            <w:r>
              <w:rPr>
                <w:b w:val="false"/>
                <w:bCs w:val="false"/>
                <w:sz w:val="18"/>
                <w:szCs w:val="18"/>
              </w:rPr>
              <w:t xml:space="preserve">No fallback by design; the in-memory development store exists for local work and tests only and is never used in a deployed environment</w:t>
            </w:r>
          </w:p>
        </w:tc>
        <w:tc>
          <w:tcPr>
            <w:tcW w:type="dxa" w:w="2359"/>
            <w:tcMar>
              <w:top w:type="dxa" w:w="70"/>
              <w:left w:type="dxa" w:w="110"/>
              <w:bottom w:type="dxa" w:w="70"/>
              <w:right w:type="dxa" w:w="110"/>
            </w:tcMar>
          </w:tcPr>
          <w:p>
            <w:pPr>
              <w:spacing w:after="0" w:line="250"/>
            </w:pPr>
            <w:r>
              <w:rPr>
                <w:b w:val="false"/>
                <w:bCs w:val="false"/>
                <w:sz w:val="18"/>
                <w:szCs w:val="18"/>
              </w:rPr>
              <w:t xml:space="preserve">N/A</w:t>
            </w:r>
          </w:p>
        </w:tc>
      </w:tr>
    </w:tbl>
    <w:p>
      <w:pPr>
        <w:spacing w:after="170"/>
      </w:pPr>
    </w:p>
    <w:p>
      <w:pPr>
        <w:spacing w:after="130" w:line="276"/>
      </w:pPr>
      <w:r>
        <w:rPr>
          <w:sz w:val="21"/>
          <w:szCs w:val="21"/>
        </w:rPr>
        <w:t xml:space="preserve">One consequence is worth naming: OCR currently runs in-process inside the Node API using tesseract.js. The target architecture moves it to ocr-service, and the in-process path is then retained as the degraded fallback rather than deleted.</w:t>
      </w:r>
    </w:p>
    <w:p>
      <w:r>
        <w:br w:type="page"/>
      </w:r>
    </w:p>
    <w:p>
      <w:pPr>
        <w:pStyle w:val="Heading1"/>
        <w:spacing w:after="170" w:before="340"/>
      </w:pPr>
      <w:r>
        <w:rPr>
          <w:b/>
          <w:bCs/>
          <w:color w:val="1F3864"/>
          <w:sz w:val="30"/>
          <w:szCs w:val="30"/>
        </w:rPr>
        <w:t xml:space="preserve">4. End-to-End Workflow</w:t>
      </w:r>
    </w:p>
    <w:p>
      <w:pPr>
        <w:spacing w:after="130" w:line="276"/>
      </w:pPr>
      <w:r>
        <w:rPr>
          <w:sz w:val="21"/>
          <w:szCs w:val="21"/>
        </w:rPr>
        <w:t xml:space="preserve">The four workstreams form a single pipeline. Each stage consumes the previous stage's output and nothing else, which is what allows them to be built and tested independently. The contracts at each boundary are specified in Appendix A.</w:t>
      </w:r>
    </w:p>
    <w:p>
      <w:pPr>
        <w:pStyle w:val="Heading3"/>
        <w:spacing w:after="100" w:before="200"/>
      </w:pPr>
      <w:r>
        <w:rPr>
          <w:b/>
          <w:bCs/>
          <w:sz w:val="22"/>
          <w:szCs w:val="22"/>
        </w:rPr>
        <w:t xml:space="preserve">Stage 1 — Ingestion (Member 1)</w:t>
      </w:r>
    </w:p>
    <w:p>
      <w:pPr>
        <w:spacing w:after="130" w:line="276"/>
      </w:pPr>
      <w:r>
        <w:rPr>
          <w:sz w:val="21"/>
          <w:szCs w:val="21"/>
        </w:rPr>
        <w:t xml:space="preserve">An upload reaches a format router that inspects the verified MIME type and file signature rather than the file extension, then dispatches it down the cheapest path that yields clean text. Typed notes are sanitised and stored directly. DOCX files are parsed from their underlying XML, which recovers paragraphs and headings exactly. PDFs are checked for an embedded text layer first, and only pages with no usable layer are rasterised for OCR — sending a born-digital PDF through OCR anyway would be slower, costlier and less accurate than reading the layer it already carries.</w:t>
      </w:r>
    </w:p>
    <w:p>
      <w:pPr>
        <w:spacing w:after="130" w:line="276"/>
      </w:pPr>
      <w:r>
        <w:rPr>
          <w:sz w:val="21"/>
          <w:szCs w:val="21"/>
        </w:rPr>
        <w:t xml:space="preserve">Image content is converted to grayscale, adaptively binarised, deskewed and denoised, then recognised by Tesseract's LSTM engine, which reports a per-word confidence. When the length-weighted mean confidence falls below a threshold, initially 60, the page escalates to a cloud Vision API, bounded by a per-user and global monthly cap. Every note records both its confidence and which engine produced its text, so downstream stages can down-weight unreliable input instead of treating all notes as equally trustworthy. A linked textbook is optionally chunked on paragraph boundaries at roughly 300 to 500 tokens with about 15 per cent overlap, embedded, and added to a per-textbook vector index.</w:t>
      </w:r>
    </w:p>
    <w:p>
      <w:pPr>
        <w:pStyle w:val="Heading3"/>
        <w:spacing w:after="100" w:before="200"/>
      </w:pPr>
      <w:r>
        <w:rPr>
          <w:b/>
          <w:bCs/>
          <w:sz w:val="22"/>
          <w:szCs w:val="22"/>
        </w:rPr>
        <w:t xml:space="preserve">Stage 2 — Knowledge graph (Member 2)</w:t>
      </w:r>
    </w:p>
    <w:p>
      <w:pPr>
        <w:spacing w:after="130" w:line="276"/>
      </w:pPr>
      <w:r>
        <w:rPr>
          <w:sz w:val="21"/>
          <w:szCs w:val="21"/>
        </w:rPr>
        <w:t xml:space="preserve">Each note receives corpus-aware TF-IDF keywords and a sentence embedding. The two signals combine into a single similarity score, weighted initially at 0.7 toward the embedding, computed for every pair of notes within a subject. A pair above an upper threshold becomes an edge, a pair below a lower threshold is discarded, and the borderline band between them is re-scored by a cross-encoder that reads both notes together. When a candidate link rests on a term that also appears in another subject, a word-sense gate compares the contextual embeddings of that term's occurrences before the edge is allowed — this is what stops membrane potential in neuroscience from linking to potential outcomes in economics. Each node keeps only its strongest handful of edges so the graph stays readable, community detection flags weak edges bridging two clusters for human review, and a student's correction of a mislinked edge refits a small logistic-regression confidence model that feeds back into future scoring.</w:t>
      </w:r>
    </w:p>
    <w:p>
      <w:pPr>
        <w:pStyle w:val="Heading3"/>
        <w:spacing w:after="100" w:before="200"/>
      </w:pPr>
      <w:r>
        <w:rPr>
          <w:b/>
          <w:bCs/>
          <w:sz w:val="22"/>
          <w:szCs w:val="22"/>
        </w:rPr>
        <w:t xml:space="preserve">Stage 3 — Test generation (Member 3)</w:t>
      </w:r>
    </w:p>
    <w:p>
      <w:pPr>
        <w:spacing w:after="130" w:line="276"/>
      </w:pPr>
      <w:r>
        <w:rPr>
          <w:sz w:val="21"/>
          <w:szCs w:val="21"/>
        </w:rPr>
        <w:t xml:space="preserve">A student selects notes and requests any mix of multiple-choice and theory questions. An LLM drafts candidates using only those notes and any linked textbook passages as context, never open-domain knowledge. Every candidate then passes a hallucination gate before a student can see it: the supporting excerpt must appear as a verbatim substring of the source text; a multiple-choice item's answer key must be one of the offered options, with no duplicate options; and a theory item must carry a non-empty model answer and at least one key point, since an empty rubric would make it ungradeable later. Items that fail are discarded rather than repaired, and the API reports both the accepted and the discarded count so the failure rate stays visible. When no LLM key is configured, a rule-based generator builds cloze questions and explain-the-keyword prompts from TF-IDF keywords instead, grounded by construction.</w:t>
      </w:r>
    </w:p>
    <w:p>
      <w:pPr>
        <w:spacing w:after="130" w:line="276"/>
      </w:pPr>
      <w:r>
        <w:rPr>
          <w:sz w:val="21"/>
          <w:szCs w:val="21"/>
        </w:rPr>
        <w:t xml:space="preserve">Delivery is adaptive rather than a fixed sequence. Each test generates a pool roughly 1.5 times the number of questions it will actually serve, every item carries a difficulty tier, and a one-up-one-down staircase controller steps the student to a harder tier after a good answer and an easier one after a poor answer, falling back to the nearest tier when one is exhausted.</w:t>
      </w:r>
    </w:p>
    <w:p>
      <w:pPr>
        <w:pStyle w:val="Heading3"/>
        <w:spacing w:after="100" w:before="200"/>
      </w:pPr>
      <w:r>
        <w:rPr>
          <w:b/>
          <w:bCs/>
          <w:sz w:val="22"/>
          <w:szCs w:val="22"/>
        </w:rPr>
        <w:t xml:space="preserve">Stage 4 — Feedback (Member 3)</w:t>
      </w:r>
    </w:p>
    <w:p>
      <w:pPr>
        <w:spacing w:after="130" w:line="276"/>
      </w:pPr>
      <w:r>
        <w:rPr>
          <w:sz w:val="21"/>
          <w:szCs w:val="21"/>
        </w:rPr>
        <w:t xml:space="preserve">Multiple-choice answers are scored the moment they are submitted. Theory answers cannot be, so they are graded when the attempt closes, either by an LLM judging meaning against the model answer and key points, or by deterministic keyword overlap when no LLM is available. Both produce a single 0-to-1 score, which is what lets a mixed test collapse into one coherent report instead of two.</w:t>
      </w:r>
    </w:p>
    <w:p>
      <w:pPr>
        <w:spacing w:after="130" w:line="276"/>
      </w:pPr>
      <w:r>
        <w:rPr>
          <w:b w:val="false"/>
          <w:bCs w:val="false"/>
          <w:sz w:val="21"/>
          <w:szCs w:val="21"/>
        </w:rPr>
        <w:t xml:space="preserve">The feedback engine then computes, per topic, </w:t>
      </w:r>
      <w:r>
        <w:rPr>
          <w:b/>
          <w:bCs/>
          <w:sz w:val="21"/>
          <w:szCs w:val="21"/>
        </w:rPr>
        <w:t xml:space="preserve">attentionScore = 0.7 × (1 − accuracy) + 0.3 × normalisedResponseTime</w:t>
      </w:r>
      <w:r>
        <w:rPr>
          <w:b w:val="false"/>
          <w:bCs w:val="false"/>
          <w:sz w:val="21"/>
          <w:szCs w:val="21"/>
        </w:rPr>
        <w:t xml:space="preserve">, where accuracy is the mean 0-to-1 score across that topic's responses and normalisedResponseTime compares the topic's mean response time against the attempt's own mean, so that a topic answered at average speed contributes a neutral value and a single-topic attempt is not distorted. Topics are ranked weakest first and a marks summary is computed. No language model participates in producing that ranking. Only afterwards is an LLM called, and only to phrase the already-fixed ranking as readable text, with a template used when it is unavailable. This ordering — score first, narrate second — is what keeps the part that actually matters, namely what to study next, out of a black box.</w:t>
      </w:r>
    </w:p>
    <w:p>
      <w:pPr>
        <w:spacing w:after="17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3"/>
        <w:gridCol w:w="1270"/>
        <w:gridCol w:w="3084"/>
        <w:gridCol w:w="3084"/>
      </w:tblGrid>
      <w:tr>
        <w:trPr>
          <w:tblHeader/>
        </w:trPr>
        <w:tc>
          <w:tcPr>
            <w:tcW w:type="dxa" w:w="1633"/>
            <w:shd w:fill="D9E2F3" w:color="auto" w:val="clear"/>
            <w:tcMar>
              <w:top w:type="dxa" w:w="70"/>
              <w:left w:type="dxa" w:w="110"/>
              <w:bottom w:type="dxa" w:w="70"/>
              <w:right w:type="dxa" w:w="110"/>
            </w:tcMar>
          </w:tcPr>
          <w:p>
            <w:pPr>
              <w:spacing w:after="0" w:line="250"/>
            </w:pPr>
            <w:r>
              <w:rPr>
                <w:b/>
                <w:bCs/>
                <w:sz w:val="18"/>
                <w:szCs w:val="18"/>
              </w:rPr>
              <w:t xml:space="preserve">Stage</w:t>
            </w:r>
          </w:p>
        </w:tc>
        <w:tc>
          <w:tcPr>
            <w:tcW w:type="dxa" w:w="1270"/>
            <w:shd w:fill="D9E2F3" w:color="auto" w:val="clear"/>
            <w:tcMar>
              <w:top w:type="dxa" w:w="70"/>
              <w:left w:type="dxa" w:w="110"/>
              <w:bottom w:type="dxa" w:w="70"/>
              <w:right w:type="dxa" w:w="110"/>
            </w:tcMar>
          </w:tcPr>
          <w:p>
            <w:pPr>
              <w:spacing w:after="0" w:line="250"/>
            </w:pPr>
            <w:r>
              <w:rPr>
                <w:b/>
                <w:bCs/>
                <w:sz w:val="18"/>
                <w:szCs w:val="18"/>
              </w:rPr>
              <w:t xml:space="preserve">Owner</w:t>
            </w:r>
          </w:p>
        </w:tc>
        <w:tc>
          <w:tcPr>
            <w:tcW w:type="dxa" w:w="3084"/>
            <w:shd w:fill="D9E2F3" w:color="auto" w:val="clear"/>
            <w:tcMar>
              <w:top w:type="dxa" w:w="70"/>
              <w:left w:type="dxa" w:w="110"/>
              <w:bottom w:type="dxa" w:w="70"/>
              <w:right w:type="dxa" w:w="110"/>
            </w:tcMar>
          </w:tcPr>
          <w:p>
            <w:pPr>
              <w:spacing w:after="0" w:line="250"/>
            </w:pPr>
            <w:r>
              <w:rPr>
                <w:b/>
                <w:bCs/>
                <w:sz w:val="18"/>
                <w:szCs w:val="18"/>
              </w:rPr>
              <w:t xml:space="preserve">Consumes</w:t>
            </w:r>
          </w:p>
        </w:tc>
        <w:tc>
          <w:tcPr>
            <w:tcW w:type="dxa" w:w="3084"/>
            <w:shd w:fill="D9E2F3" w:color="auto" w:val="clear"/>
            <w:tcMar>
              <w:top w:type="dxa" w:w="70"/>
              <w:left w:type="dxa" w:w="110"/>
              <w:bottom w:type="dxa" w:w="70"/>
              <w:right w:type="dxa" w:w="110"/>
            </w:tcMar>
          </w:tcPr>
          <w:p>
            <w:pPr>
              <w:spacing w:after="0" w:line="250"/>
            </w:pPr>
            <w:r>
              <w:rPr>
                <w:b/>
                <w:bCs/>
                <w:sz w:val="18"/>
                <w:szCs w:val="18"/>
              </w:rPr>
              <w:t xml:space="preserve">Produces</w:t>
            </w:r>
          </w:p>
        </w:tc>
      </w:tr>
      <w:tr>
        <w:tc>
          <w:tcPr>
            <w:tcW w:type="dxa" w:w="1633"/>
            <w:tcMar>
              <w:top w:type="dxa" w:w="70"/>
              <w:left w:type="dxa" w:w="110"/>
              <w:bottom w:type="dxa" w:w="70"/>
              <w:right w:type="dxa" w:w="110"/>
            </w:tcMar>
          </w:tcPr>
          <w:p>
            <w:pPr>
              <w:spacing w:after="0" w:line="250"/>
            </w:pPr>
            <w:r>
              <w:rPr>
                <w:b w:val="false"/>
                <w:bCs w:val="false"/>
                <w:sz w:val="18"/>
                <w:szCs w:val="18"/>
              </w:rPr>
              <w:t xml:space="preserve">Ingestion</w:t>
            </w:r>
          </w:p>
        </w:tc>
        <w:tc>
          <w:tcPr>
            <w:tcW w:type="dxa" w:w="1270"/>
            <w:tcMar>
              <w:top w:type="dxa" w:w="70"/>
              <w:left w:type="dxa" w:w="110"/>
              <w:bottom w:type="dxa" w:w="70"/>
              <w:right w:type="dxa" w:w="110"/>
            </w:tcMar>
          </w:tcPr>
          <w:p>
            <w:pPr>
              <w:spacing w:after="0" w:line="250"/>
            </w:pPr>
            <w:r>
              <w:rPr>
                <w:b w:val="false"/>
                <w:bCs w:val="false"/>
                <w:sz w:val="18"/>
                <w:szCs w:val="18"/>
              </w:rPr>
              <w:t xml:space="preserve">Member 1</w:t>
            </w:r>
          </w:p>
        </w:tc>
        <w:tc>
          <w:tcPr>
            <w:tcW w:type="dxa" w:w="3084"/>
            <w:tcMar>
              <w:top w:type="dxa" w:w="70"/>
              <w:left w:type="dxa" w:w="110"/>
              <w:bottom w:type="dxa" w:w="70"/>
              <w:right w:type="dxa" w:w="110"/>
            </w:tcMar>
          </w:tcPr>
          <w:p>
            <w:pPr>
              <w:spacing w:after="0" w:line="250"/>
            </w:pPr>
            <w:r>
              <w:rPr>
                <w:b w:val="false"/>
                <w:bCs w:val="false"/>
                <w:sz w:val="18"/>
                <w:szCs w:val="18"/>
              </w:rPr>
              <w:t xml:space="preserve">Uploaded file or typed text</w:t>
            </w:r>
          </w:p>
        </w:tc>
        <w:tc>
          <w:tcPr>
            <w:tcW w:type="dxa" w:w="3084"/>
            <w:tcMar>
              <w:top w:type="dxa" w:w="70"/>
              <w:left w:type="dxa" w:w="110"/>
              <w:bottom w:type="dxa" w:w="70"/>
              <w:right w:type="dxa" w:w="110"/>
            </w:tcMar>
          </w:tcPr>
          <w:p>
            <w:pPr>
              <w:spacing w:after="0" w:line="250"/>
            </w:pPr>
            <w:r>
              <w:rPr>
                <w:b w:val="false"/>
                <w:bCs w:val="false"/>
                <w:sz w:val="18"/>
                <w:szCs w:val="18"/>
              </w:rPr>
              <w:t xml:space="preserve">Note record: extracted text, keywords, OCR confidence and engine</w:t>
            </w:r>
          </w:p>
        </w:tc>
      </w:tr>
      <w:tr>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Knowledge graph</w:t>
            </w:r>
          </w:p>
        </w:tc>
        <w:tc>
          <w:tcPr>
            <w:tcW w:type="dxa" w:w="1270"/>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Note records within one subject</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Scored, optionally flagged edges between notes; topic vocabulary</w:t>
            </w:r>
          </w:p>
        </w:tc>
      </w:tr>
      <w:tr>
        <w:tc>
          <w:tcPr>
            <w:tcW w:type="dxa" w:w="1633"/>
            <w:tcMar>
              <w:top w:type="dxa" w:w="70"/>
              <w:left w:type="dxa" w:w="110"/>
              <w:bottom w:type="dxa" w:w="70"/>
              <w:right w:type="dxa" w:w="110"/>
            </w:tcMar>
          </w:tcPr>
          <w:p>
            <w:pPr>
              <w:spacing w:after="0" w:line="250"/>
            </w:pPr>
            <w:r>
              <w:rPr>
                <w:b w:val="false"/>
                <w:bCs w:val="false"/>
                <w:sz w:val="18"/>
                <w:szCs w:val="18"/>
              </w:rPr>
              <w:t xml:space="preserve">Test generation</w:t>
            </w:r>
          </w:p>
        </w:tc>
        <w:tc>
          <w:tcPr>
            <w:tcW w:type="dxa" w:w="1270"/>
            <w:tcMar>
              <w:top w:type="dxa" w:w="70"/>
              <w:left w:type="dxa" w:w="110"/>
              <w:bottom w:type="dxa" w:w="70"/>
              <w:right w:type="dxa" w:w="110"/>
            </w:tcMar>
          </w:tcPr>
          <w:p>
            <w:pPr>
              <w:spacing w:after="0" w:line="250"/>
            </w:pPr>
            <w:r>
              <w:rPr>
                <w:b w:val="false"/>
                <w:bCs w:val="false"/>
                <w:sz w:val="18"/>
                <w:szCs w:val="18"/>
              </w:rPr>
              <w:t xml:space="preserve">Member 3</w:t>
            </w:r>
          </w:p>
        </w:tc>
        <w:tc>
          <w:tcPr>
            <w:tcW w:type="dxa" w:w="3084"/>
            <w:tcMar>
              <w:top w:type="dxa" w:w="70"/>
              <w:left w:type="dxa" w:w="110"/>
              <w:bottom w:type="dxa" w:w="70"/>
              <w:right w:type="dxa" w:w="110"/>
            </w:tcMar>
          </w:tcPr>
          <w:p>
            <w:pPr>
              <w:spacing w:after="0" w:line="250"/>
            </w:pPr>
            <w:r>
              <w:rPr>
                <w:b w:val="false"/>
                <w:bCs w:val="false"/>
                <w:sz w:val="18"/>
                <w:szCs w:val="18"/>
              </w:rPr>
              <w:t xml:space="preserve">Selected notes, linked textbook passages</w:t>
            </w:r>
          </w:p>
        </w:tc>
        <w:tc>
          <w:tcPr>
            <w:tcW w:type="dxa" w:w="3084"/>
            <w:tcMar>
              <w:top w:type="dxa" w:w="70"/>
              <w:left w:type="dxa" w:w="110"/>
              <w:bottom w:type="dxa" w:w="70"/>
              <w:right w:type="dxa" w:w="110"/>
            </w:tcMar>
          </w:tcPr>
          <w:p>
            <w:pPr>
              <w:spacing w:after="0" w:line="250"/>
            </w:pPr>
            <w:r>
              <w:rPr>
                <w:b w:val="false"/>
                <w:bCs w:val="false"/>
                <w:sz w:val="18"/>
                <w:szCs w:val="18"/>
              </w:rPr>
              <w:t xml:space="preserve">Gated question pool with difficulty tiers; an adaptive attempt</w:t>
            </w:r>
          </w:p>
        </w:tc>
      </w:tr>
      <w:tr>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Feedback</w:t>
            </w:r>
          </w:p>
        </w:tc>
        <w:tc>
          <w:tcPr>
            <w:tcW w:type="dxa" w:w="1270"/>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Responses with per-question scores and timings</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Ranked per-topic report, marks summary, phrased narrative</w:t>
            </w:r>
          </w:p>
        </w:tc>
      </w:tr>
    </w:tbl>
    <w:p>
      <w:r>
        <w:br w:type="page"/>
      </w:r>
    </w:p>
    <w:p>
      <w:pPr>
        <w:pStyle w:val="Heading1"/>
        <w:spacing w:after="170" w:before="340"/>
      </w:pPr>
      <w:r>
        <w:rPr>
          <w:b/>
          <w:bCs/>
          <w:color w:val="1F3864"/>
          <w:sz w:val="30"/>
          <w:szCs w:val="30"/>
        </w:rPr>
        <w:t xml:space="preserve">5. Implementation Status</w:t>
      </w:r>
    </w:p>
    <w:p>
      <w:pPr>
        <w:spacing w:after="130" w:line="276"/>
      </w:pPr>
      <w:r>
        <w:rPr>
          <w:sz w:val="21"/>
          <w:szCs w:val="21"/>
        </w:rPr>
        <w:t xml:space="preserve">This table is the single source of truth for what exists today. Three values are used and they mean exactly what they say. Built and verified means the component is in the repository and exercised by an automated test — either the Playwright end-to-end browser scripts, the database backend test, or the scripted API checks. Planned means designed and assessed in a workstream report but not yet implemented. Future scope means explicitly deferred beyond this project, as set out in Section 8.</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262"/>
        <w:gridCol w:w="1814"/>
        <w:gridCol w:w="1996"/>
      </w:tblGrid>
      <w:tr>
        <w:trPr>
          <w:tblHeader/>
        </w:trPr>
        <w:tc>
          <w:tcPr>
            <w:tcW w:type="dxa" w:w="5262"/>
            <w:shd w:fill="D9E2F3" w:color="auto" w:val="clear"/>
            <w:tcMar>
              <w:top w:type="dxa" w:w="70"/>
              <w:left w:type="dxa" w:w="110"/>
              <w:bottom w:type="dxa" w:w="70"/>
              <w:right w:type="dxa" w:w="110"/>
            </w:tcMar>
          </w:tcPr>
          <w:p>
            <w:pPr>
              <w:spacing w:after="0" w:line="250"/>
            </w:pPr>
            <w:r>
              <w:rPr>
                <w:b/>
                <w:bCs/>
                <w:sz w:val="18"/>
                <w:szCs w:val="18"/>
              </w:rPr>
              <w:t xml:space="preserve">Component</w:t>
            </w:r>
          </w:p>
        </w:tc>
        <w:tc>
          <w:tcPr>
            <w:tcW w:type="dxa" w:w="1814"/>
            <w:shd w:fill="D9E2F3" w:color="auto" w:val="clear"/>
            <w:tcMar>
              <w:top w:type="dxa" w:w="70"/>
              <w:left w:type="dxa" w:w="110"/>
              <w:bottom w:type="dxa" w:w="70"/>
              <w:right w:type="dxa" w:w="110"/>
            </w:tcMar>
          </w:tcPr>
          <w:p>
            <w:pPr>
              <w:spacing w:after="0" w:line="250"/>
            </w:pPr>
            <w:r>
              <w:rPr>
                <w:b/>
                <w:bCs/>
                <w:sz w:val="18"/>
                <w:szCs w:val="18"/>
              </w:rPr>
              <w:t xml:space="preserve">Workstream</w:t>
            </w:r>
          </w:p>
        </w:tc>
        <w:tc>
          <w:tcPr>
            <w:tcW w:type="dxa" w:w="1996"/>
            <w:shd w:fill="D9E2F3" w:color="auto" w:val="clear"/>
            <w:tcMar>
              <w:top w:type="dxa" w:w="70"/>
              <w:left w:type="dxa" w:w="110"/>
              <w:bottom w:type="dxa" w:w="70"/>
              <w:right w:type="dxa" w:w="110"/>
            </w:tcMar>
          </w:tcPr>
          <w:p>
            <w:pPr>
              <w:spacing w:after="0" w:line="250"/>
            </w:pPr>
            <w:r>
              <w:rPr>
                <w:b/>
                <w:bCs/>
                <w:sz w:val="18"/>
                <w:szCs w:val="18"/>
              </w:rPr>
              <w:t xml:space="preserve">Status</w:t>
            </w:r>
          </w:p>
        </w:tc>
      </w:tr>
      <w:tr>
        <w:tc>
          <w:tcPr>
            <w:tcW w:type="dxa" w:w="5262"/>
            <w:tcMar>
              <w:top w:type="dxa" w:w="70"/>
              <w:left w:type="dxa" w:w="110"/>
              <w:bottom w:type="dxa" w:w="70"/>
              <w:right w:type="dxa" w:w="110"/>
            </w:tcMar>
          </w:tcPr>
          <w:p>
            <w:pPr>
              <w:spacing w:after="0" w:line="250"/>
            </w:pPr>
            <w:r>
              <w:rPr>
                <w:b w:val="false"/>
                <w:bCs w:val="false"/>
                <w:sz w:val="18"/>
                <w:szCs w:val="18"/>
              </w:rPr>
              <w:t xml:space="preserve">Email and password authentication (bcrypt, JSON Web Tokens)</w:t>
            </w:r>
          </w:p>
        </w:tc>
        <w:tc>
          <w:tcPr>
            <w:tcW w:type="dxa" w:w="1814"/>
            <w:tcMar>
              <w:top w:type="dxa" w:w="70"/>
              <w:left w:type="dxa" w:w="110"/>
              <w:bottom w:type="dxa" w:w="70"/>
              <w:right w:type="dxa" w:w="110"/>
            </w:tcMar>
          </w:tcPr>
          <w:p>
            <w:pPr>
              <w:spacing w:after="0" w:line="250"/>
            </w:pPr>
            <w:r>
              <w:rPr>
                <w:b w:val="false"/>
                <w:bCs w:val="false"/>
                <w:sz w:val="18"/>
                <w:szCs w:val="18"/>
              </w:rPr>
              <w:t xml:space="preserve">Shared</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Subjects and typed note ingestion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Image note ingestion via in-process Tesseract</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DOCX and PDF ingestion, format router</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Image preprocessing, confidence gate, cloud Vision escalation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Grounded note summarisation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Object storage, signed URLs, upload validation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Textbook chunking and vector index</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TF-IDF keyword extraction and lexical similarity</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Cosine-similarity note linking and edge creation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Cytoscape.js graph rendering</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Sentence embeddings and hybrid scoring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Cross-subject word-sense gate and cross-encoder re-score</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Community detection and mislink flagging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Edge-confidence model and correction loop</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Graph accuracy gold set and evaluation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LLM-drafted MCQ and theory generation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Hallucination gate (excerpt, answer-set and rubric checks)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Rule-based generation fallback, no LLM key required</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Adaptive staircase item delivery</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Free-text theory grading, LLM and keyword-overlap paths</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Deterministic per-topic scoring and marks summary</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Feedback phrasing, LLM and template paths</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Attempt integrity: one question at a time, answers final, correctness withheld until submission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Test duration timer enforcement</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Cross-attempt mastery modelling (knowledge tracing)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Dual database backends behind one interface, single string id type</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API hardening: rate limiting, CORS allowlist, production secret guard, security headers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Dockerfiles and local compose orchestration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CI pipeline with dependency and secret scanning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Hosting configuration and staging deployment</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Video proctoring and expression analysis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Future scope</w:t>
            </w:r>
          </w:p>
        </w:tc>
      </w:tr>
    </w:tbl>
    <w:p>
      <w:pPr>
        <w:spacing w:after="170"/>
      </w:pPr>
    </w:p>
    <w:p>
      <w:pPr>
        <w:spacing w:after="130" w:line="276"/>
      </w:pPr>
      <w:r>
        <w:rPr>
          <w:sz w:val="21"/>
          <w:szCs w:val="21"/>
        </w:rPr>
        <w:t xml:space="preserve">Two points of honesty about this table. First, the TF-IDF linking rows are marked built on the strength of Member 3's end-to-end tests, which exercise them incidentally; Member 2's own accuracy evaluation does not yet exist, so built here means present and working, not measured for quality. Second, the built rows in Member 4's column are shared infrastructure that landed alongside Member 3's work; the four artifacts that define that workstream — the two Dockerfiles, the compose file and the CI workflow — remain planned.</w:t>
      </w:r>
    </w:p>
    <w:p>
      <w:r>
        <w:br w:type="page"/>
      </w:r>
    </w:p>
    <w:p>
      <w:pPr>
        <w:pStyle w:val="Heading1"/>
        <w:spacing w:after="170" w:before="340"/>
      </w:pPr>
      <w:r>
        <w:rPr>
          <w:b/>
          <w:bCs/>
          <w:color w:val="1F3864"/>
          <w:sz w:val="30"/>
          <w:szCs w:val="30"/>
        </w:rPr>
        <w:t xml:space="preserve">6. Workstream Summaries</w:t>
      </w:r>
    </w:p>
    <w:p>
      <w:pPr>
        <w:pStyle w:val="Heading2"/>
        <w:spacing w:after="120" w:before="250"/>
      </w:pPr>
      <w:r>
        <w:rPr>
          <w:b/>
          <w:bCs/>
          <w:color w:val="1F3864"/>
          <w:sz w:val="24"/>
          <w:szCs w:val="24"/>
        </w:rPr>
        <w:t xml:space="preserve">6.1 Member 1 — Notes Ingestion and Summarisation</w:t>
      </w:r>
    </w:p>
    <w:p>
      <w:pPr>
        <w:spacing w:after="130" w:line="276"/>
      </w:pPr>
      <w:r>
        <w:rPr>
          <w:sz w:val="21"/>
          <w:szCs w:val="21"/>
        </w:rPr>
        <w:t xml:space="preserve">This workstream is the entry point of the whole system: every note, scan and textbook passes through it before the knowledge graph or the test generator can use it. Its design principle is to send each input down the cheapest path that yields clean text, and to spend money only where measurement shows it is needed.</w:t>
      </w:r>
    </w:p>
    <w:p>
      <w:pPr>
        <w:spacing w:after="130" w:line="276"/>
      </w:pPr>
      <w:r>
        <w:rPr>
          <w:b/>
          <w:bCs/>
          <w:sz w:val="21"/>
          <w:szCs w:val="21"/>
        </w:rPr>
        <w:t xml:space="preserve">Feasibility. </w:t>
      </w:r>
      <w:r>
        <w:rPr>
          <w:b w:val="false"/>
          <w:bCs w:val="false"/>
          <w:sz w:val="21"/>
          <w:szCs w:val="21"/>
        </w:rPr>
        <w:t xml:space="preserve">Every processing step runs on CPU. Tesseract, the document parsers, image preprocessing, sentence-embedding inference and exact vector search are standard, well-documented components with no training step. The stack sits on free tiers throughout, with one metered exception — the cloud Vision fallback — whose expected cost is a function of a single measurable number, the fraction of pages that escalate. The one non-trivial systems concern is that OCR is slow relative to the rest of the API, which the queue-backed separate container addresses directly: ingestion can be slow without making anything else slow.</w:t>
      </w:r>
    </w:p>
    <w:p>
      <w:pPr>
        <w:spacing w:after="130" w:line="276"/>
      </w:pPr>
      <w:r>
        <w:rPr>
          <w:b/>
          <w:bCs/>
          <w:sz w:val="21"/>
          <w:szCs w:val="21"/>
        </w:rPr>
        <w:t xml:space="preserve">Summarisation. </w:t>
      </w:r>
      <w:r>
        <w:rPr>
          <w:b w:val="false"/>
          <w:bCs w:val="false"/>
          <w:sz w:val="21"/>
          <w:szCs w:val="21"/>
        </w:rPr>
        <w:t xml:space="preserve">A note's extracted text is summarised by the same LLM the test generator uses, under the same constraint: the prompt may use only that note's own text, or a linked textbook chunk, as context, never open-domain knowledge. This is what keeps a summary from introducing facts the source never contained, and it reuses a grounding pattern the team has already implemented and verified once, which is why it is assessed as low risk despite not yet being built.</w:t>
      </w:r>
    </w:p>
    <w:p>
      <w:pPr>
        <w:spacing w:after="130" w:line="276"/>
      </w:pPr>
      <w:r>
        <w:rPr>
          <w:b/>
          <w:bCs/>
          <w:sz w:val="21"/>
          <w:szCs w:val="21"/>
        </w:rPr>
        <w:t xml:space="preserve">Named heuristics. </w:t>
      </w:r>
      <w:r>
        <w:rPr>
          <w:b w:val="false"/>
          <w:bCs w:val="false"/>
          <w:sz w:val="21"/>
          <w:szCs w:val="21"/>
        </w:rPr>
        <w:t xml:space="preserve">The escalation threshold and the textbook chunk size and overlap are engineering heuristics, not published values. Tesseract's confidence is not a calibrated probability and no source prescribes a threshold for this use.</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Build a small labelled OCR evaluation set of 30 to 50 real student photos and scans, including handwriting, and measure character error rate with and without the fallback. This sets the threshold and estimates the monthly cost, turning the workstream's main assumption into a measured number.</w:t>
      </w:r>
    </w:p>
    <w:p>
      <w:pPr>
        <w:pStyle w:val="ListParagraph"/>
        <w:numPr>
          <w:ilvl w:val="0"/>
          <w:numId w:val="2"/>
        </w:numPr>
        <w:spacing w:after="90" w:line="276"/>
      </w:pPr>
      <w:r>
        <w:rPr>
          <w:b/>
          <w:bCs/>
          <w:sz w:val="21"/>
          <w:szCs w:val="21"/>
        </w:rPr>
        <w:t xml:space="preserve">P1 — </w:t>
      </w:r>
      <w:r>
        <w:rPr>
          <w:b w:val="false"/>
          <w:bCs w:val="false"/>
          <w:sz w:val="21"/>
          <w:szCs w:val="21"/>
        </w:rPr>
        <w:t xml:space="preserve">Add the escalation cap and the low-confidence review prompt before any real users arrive.</w:t>
      </w:r>
    </w:p>
    <w:p>
      <w:pPr>
        <w:pStyle w:val="ListParagraph"/>
        <w:numPr>
          <w:ilvl w:val="0"/>
          <w:numId w:val="2"/>
        </w:numPr>
        <w:spacing w:after="90" w:line="276"/>
      </w:pPr>
      <w:r>
        <w:rPr>
          <w:b/>
          <w:bCs/>
          <w:sz w:val="21"/>
          <w:szCs w:val="21"/>
        </w:rPr>
        <w:t xml:space="preserve">P2 — </w:t>
      </w:r>
      <w:r>
        <w:rPr>
          <w:b w:val="false"/>
          <w:bCs w:val="false"/>
          <w:sz w:val="21"/>
          <w:szCs w:val="21"/>
        </w:rPr>
        <w:t xml:space="preserve">Implement textbook chunking and the vector index, then measure retrieval quality jointly with Member 3: does the top-k contain the passage a question was actually drawn from?</w:t>
      </w:r>
    </w:p>
    <w:p>
      <w:pPr>
        <w:pStyle w:val="ListParagraph"/>
        <w:numPr>
          <w:ilvl w:val="0"/>
          <w:numId w:val="2"/>
        </w:numPr>
        <w:spacing w:after="90" w:line="276"/>
      </w:pPr>
      <w:r>
        <w:rPr>
          <w:b/>
          <w:bCs/>
          <w:sz w:val="21"/>
          <w:szCs w:val="21"/>
        </w:rPr>
        <w:t xml:space="preserve">P2 — </w:t>
      </w:r>
      <w:r>
        <w:rPr>
          <w:b w:val="false"/>
          <w:bCs w:val="false"/>
          <w:sz w:val="21"/>
          <w:szCs w:val="21"/>
        </w:rPr>
        <w:t xml:space="preserve">Add a garbled-text-layer check so a broken PDF text layer falls back to OCR automatically.</w:t>
      </w:r>
    </w:p>
    <w:p>
      <w:pPr>
        <w:pStyle w:val="ListParagraph"/>
        <w:numPr>
          <w:ilvl w:val="0"/>
          <w:numId w:val="2"/>
        </w:numPr>
        <w:spacing w:after="90" w:line="276"/>
      </w:pPr>
      <w:r>
        <w:rPr>
          <w:b/>
          <w:bCs/>
          <w:sz w:val="21"/>
          <w:szCs w:val="21"/>
        </w:rPr>
        <w:t xml:space="preserve">P3 — </w:t>
      </w:r>
      <w:r>
        <w:rPr>
          <w:b w:val="false"/>
          <w:bCs w:val="false"/>
          <w:sz w:val="21"/>
          <w:szCs w:val="21"/>
        </w:rPr>
        <w:t xml:space="preserve">Evaluate a CPU-exported transformer OCR model as a middle tier between Tesseract and the paid API for pages detected as handwriting.</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OCR accuracy falls sharply on noisy or handwritten input; published benchmarks show Tesseract trailing server-based processors, with the gap widest on noisy images</w:t>
            </w:r>
          </w:p>
        </w:tc>
        <w:tc>
          <w:tcPr>
            <w:tcW w:type="dxa" w:w="5443"/>
            <w:tcMar>
              <w:top w:type="dxa" w:w="70"/>
              <w:left w:type="dxa" w:w="110"/>
              <w:bottom w:type="dxa" w:w="70"/>
              <w:right w:type="dxa" w:w="110"/>
            </w:tcMar>
          </w:tcPr>
          <w:p>
            <w:pPr>
              <w:spacing w:after="0" w:line="250"/>
            </w:pPr>
            <w:r>
              <w:rPr>
                <w:b w:val="false"/>
                <w:bCs w:val="false"/>
                <w:sz w:val="18"/>
                <w:szCs w:val="18"/>
              </w:rPr>
              <w:t xml:space="preserve">Confidence-gated cloud fallback, a review prompt for low-confidence pages, and the P1 labelled evaluation set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The metered cloud fallback could exceed its free allowance if far more pages escalate than expected</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Per-user and global monthly caps, escalation-rate logging, and a graceful low-confidence mode once the cap is reached</w:t>
            </w:r>
          </w:p>
        </w:tc>
      </w:tr>
      <w:tr>
        <w:tc>
          <w:tcPr>
            <w:tcW w:type="dxa" w:w="3629"/>
            <w:tcMar>
              <w:top w:type="dxa" w:w="70"/>
              <w:left w:type="dxa" w:w="110"/>
              <w:bottom w:type="dxa" w:w="70"/>
              <w:right w:type="dxa" w:w="110"/>
            </w:tcMar>
          </w:tcPr>
          <w:p>
            <w:pPr>
              <w:spacing w:after="0" w:line="250"/>
            </w:pPr>
            <w:r>
              <w:rPr>
                <w:b w:val="false"/>
                <w:bCs w:val="false"/>
                <w:sz w:val="18"/>
                <w:szCs w:val="18"/>
              </w:rPr>
              <w:t xml:space="preserve">Free-tier limits: container memory, Atlas storage cap, cold starts</w:t>
            </w:r>
          </w:p>
        </w:tc>
        <w:tc>
          <w:tcPr>
            <w:tcW w:type="dxa" w:w="5443"/>
            <w:tcMar>
              <w:top w:type="dxa" w:w="70"/>
              <w:left w:type="dxa" w:w="110"/>
              <w:bottom w:type="dxa" w:w="70"/>
              <w:right w:type="dxa" w:w="110"/>
            </w:tcMar>
          </w:tcPr>
          <w:p>
            <w:pPr>
              <w:spacing w:after="0" w:line="250"/>
            </w:pPr>
            <w:r>
              <w:rPr>
                <w:b w:val="false"/>
                <w:bCs w:val="false"/>
                <w:sz w:val="18"/>
                <w:szCs w:val="18"/>
              </w:rPr>
              <w:t xml:space="preserve">Load OCR and embedding models once per container, keep embeddings out of note documents, document cold-start behaviour</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File upload is a classic attack surface</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Magic-byte and size validation, quarantine before processing, private bucket, random keys, short-lived signed URLs</w:t>
            </w:r>
          </w:p>
        </w:tc>
      </w:tr>
      <w:tr>
        <w:tc>
          <w:tcPr>
            <w:tcW w:type="dxa" w:w="3629"/>
            <w:tcMar>
              <w:top w:type="dxa" w:w="70"/>
              <w:left w:type="dxa" w:w="110"/>
              <w:bottom w:type="dxa" w:w="70"/>
              <w:right w:type="dxa" w:w="110"/>
            </w:tcMar>
          </w:tcPr>
          <w:p>
            <w:pPr>
              <w:spacing w:after="0" w:line="250"/>
            </w:pPr>
            <w:r>
              <w:rPr>
                <w:b w:val="false"/>
                <w:bCs w:val="false"/>
                <w:sz w:val="18"/>
                <w:szCs w:val="18"/>
              </w:rPr>
              <w:t xml:space="preserve">Every downstream workstream depends on this one landing text early</w:t>
            </w:r>
          </w:p>
        </w:tc>
        <w:tc>
          <w:tcPr>
            <w:tcW w:type="dxa" w:w="5443"/>
            <w:tcMar>
              <w:top w:type="dxa" w:w="70"/>
              <w:left w:type="dxa" w:w="110"/>
              <w:bottom w:type="dxa" w:w="70"/>
              <w:right w:type="dxa" w:w="110"/>
            </w:tcMar>
          </w:tcPr>
          <w:p>
            <w:pPr>
              <w:spacing w:after="0" w:line="250"/>
            </w:pPr>
            <w:r>
              <w:rPr>
                <w:b w:val="false"/>
                <w:bCs w:val="false"/>
                <w:sz w:val="18"/>
                <w:szCs w:val="18"/>
              </w:rPr>
              <w:t xml:space="preserve">Typed, DOCX and PDF ingestion are prioritised ahead of OCR polish</w:t>
            </w:r>
          </w:p>
        </w:tc>
      </w:tr>
    </w:tbl>
    <w:p>
      <w:r>
        <w:br w:type="page"/>
      </w:r>
    </w:p>
    <w:p>
      <w:pPr>
        <w:pStyle w:val="Heading2"/>
        <w:spacing w:after="120" w:before="250"/>
      </w:pPr>
      <w:r>
        <w:rPr>
          <w:b/>
          <w:bCs/>
          <w:color w:val="1F3864"/>
          <w:sz w:val="24"/>
          <w:szCs w:val="24"/>
        </w:rPr>
        <w:t xml:space="preserve">6.2 Member 2 — Knowledge Graph and NLP Intelligence</w:t>
      </w:r>
    </w:p>
    <w:p>
      <w:pPr>
        <w:spacing w:after="130" w:line="276"/>
      </w:pPr>
      <w:r>
        <w:rPr>
          <w:sz w:val="21"/>
          <w:szCs w:val="21"/>
        </w:rPr>
        <w:t xml:space="preserve">This workstream turns ingested notes into a per-subject graph in which each note is a node and each edge is a scored claim that two notes concern related ideas. That graph is what the student explores visually, what Member 3's test builder draws topics from, and what Member 3's feedback engine maps weak topics back onto.</w:t>
      </w:r>
    </w:p>
    <w:p>
      <w:pPr>
        <w:spacing w:after="130" w:line="276"/>
      </w:pPr>
      <w:r>
        <w:rPr>
          <w:b/>
          <w:bCs/>
          <w:sz w:val="21"/>
          <w:szCs w:val="21"/>
        </w:rPr>
        <w:t xml:space="preserve">Feasibility. </w:t>
      </w:r>
      <w:r>
        <w:rPr>
          <w:b w:val="false"/>
          <w:bCs w:val="false"/>
          <w:sz w:val="21"/>
          <w:szCs w:val="21"/>
        </w:rPr>
        <w:t xml:space="preserve">The entire pipeline runs on CPU with no GPU and no training pipeline beyond a logistic regression that fits in seconds. Every other model is used inference-only or is a classical algorithm. Pairwise scoring is quadratic in the number of notes, which is trivial at personal scale — two hundred notes is about twenty thousand pairs, a single matrix multiplication — and incremental updates need only one new row plus a millisecond re-run of community detection. The expensive step, the cross-encoder, is bounded by running only on the borderline band, so its cost scales with ambiguous pairs rather than all pairs.</w:t>
      </w:r>
    </w:p>
    <w:p>
      <w:pPr>
        <w:spacing w:after="130" w:line="276"/>
      </w:pPr>
      <w:r>
        <w:rPr>
          <w:b/>
          <w:bCs/>
          <w:sz w:val="21"/>
          <w:szCs w:val="21"/>
        </w:rPr>
        <w:t xml:space="preserve">Scope honesty. </w:t>
      </w:r>
      <w:r>
        <w:rPr>
          <w:b w:val="false"/>
          <w:bCs w:val="false"/>
          <w:sz w:val="21"/>
          <w:szCs w:val="21"/>
        </w:rPr>
        <w:t xml:space="preserve">This graph links notes by relatedness; it does not encode typed facts between entities. That is appropriate for study navigation, and the documentation describes it accurately rather than over-claiming it as a formal knowledge graph.</w:t>
      </w:r>
    </w:p>
    <w:p>
      <w:pPr>
        <w:spacing w:after="130" w:line="276"/>
      </w:pPr>
      <w:r>
        <w:rPr>
          <w:b/>
          <w:bCs/>
          <w:sz w:val="21"/>
          <w:szCs w:val="21"/>
        </w:rPr>
        <w:t xml:space="preserve">Named heuristics. </w:t>
      </w:r>
      <w:r>
        <w:rPr>
          <w:b w:val="false"/>
          <w:bCs w:val="false"/>
          <w:sz w:val="21"/>
          <w:szCs w:val="21"/>
        </w:rPr>
        <w:t xml:space="preserve">The hybrid weighting that blends lexical and embedding similarity, and the rule by which a weak edge bridging two communities is flagged for review, are the team's own. Blending the two signals is common practice, but no source prescribes these values for student notes.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Build the gold set: roughly 150 to 300 labelled note pairs across two or three subjects, deliberately oversampling cross-subject pairs that share vocabulary. Without it, graph quality is an impression rather than a measurement, and every later addition is unfalsifiable.</w:t>
      </w:r>
    </w:p>
    <w:p>
      <w:pPr>
        <w:pStyle w:val="ListParagraph"/>
        <w:numPr>
          <w:ilvl w:val="0"/>
          <w:numId w:val="2"/>
        </w:numPr>
        <w:spacing w:after="90" w:line="276"/>
      </w:pPr>
      <w:r>
        <w:rPr>
          <w:b/>
          <w:bCs/>
          <w:sz w:val="21"/>
          <w:szCs w:val="21"/>
        </w:rPr>
        <w:t xml:space="preserve">P1 — </w:t>
      </w:r>
      <w:r>
        <w:rPr>
          <w:b w:val="false"/>
          <w:bCs w:val="false"/>
          <w:sz w:val="21"/>
          <w:szCs w:val="21"/>
        </w:rPr>
        <w:t xml:space="preserve">Add sentence embeddings and hybrid scoring on top of the built TF-IDF baseline, and report the precision and recall change against the gold set.</w:t>
      </w:r>
    </w:p>
    <w:p>
      <w:pPr>
        <w:pStyle w:val="ListParagraph"/>
        <w:numPr>
          <w:ilvl w:val="0"/>
          <w:numId w:val="2"/>
        </w:numPr>
        <w:spacing w:after="90" w:line="276"/>
      </w:pPr>
      <w:r>
        <w:rPr>
          <w:b/>
          <w:bCs/>
          <w:sz w:val="21"/>
          <w:szCs w:val="21"/>
        </w:rPr>
        <w:t xml:space="preserve">P1 — </w:t>
      </w:r>
      <w:r>
        <w:rPr>
          <w:b w:val="false"/>
          <w:bCs w:val="false"/>
          <w:sz w:val="21"/>
          <w:szCs w:val="21"/>
        </w:rPr>
        <w:t xml:space="preserve">Use Leiden rather than Louvain for community detection: a drop-in change that removes a documented failure mode at no cost.</w:t>
      </w:r>
    </w:p>
    <w:p>
      <w:pPr>
        <w:pStyle w:val="ListParagraph"/>
        <w:numPr>
          <w:ilvl w:val="0"/>
          <w:numId w:val="2"/>
        </w:numPr>
        <w:spacing w:after="90" w:line="276"/>
      </w:pPr>
      <w:r>
        <w:rPr>
          <w:b/>
          <w:bCs/>
          <w:sz w:val="21"/>
          <w:szCs w:val="21"/>
        </w:rPr>
        <w:t xml:space="preserve">P2 — </w:t>
      </w:r>
      <w:r>
        <w:rPr>
          <w:b w:val="false"/>
          <w:bCs w:val="false"/>
          <w:sz w:val="21"/>
          <w:szCs w:val="21"/>
        </w:rPr>
        <w:t xml:space="preserve">Ship the correction interface and the logistic-regression confidence model, prioritising review by uncertainty; add the word-sense gate and cross-encoder re-score.</w:t>
      </w:r>
    </w:p>
    <w:p>
      <w:pPr>
        <w:pStyle w:val="ListParagraph"/>
        <w:numPr>
          <w:ilvl w:val="0"/>
          <w:numId w:val="2"/>
        </w:numPr>
        <w:spacing w:after="90" w:line="276"/>
      </w:pPr>
      <w:r>
        <w:rPr>
          <w:b/>
          <w:bCs/>
          <w:sz w:val="21"/>
          <w:szCs w:val="21"/>
        </w:rPr>
        <w:t xml:space="preserve">P3 — </w:t>
      </w:r>
      <w:r>
        <w:rPr>
          <w:b w:val="false"/>
          <w:bCs w:val="false"/>
          <w:sz w:val="21"/>
          <w:szCs w:val="21"/>
        </w:rPr>
        <w:t xml:space="preserve">Per-subject sense centroids for frequently shared terms, and a separate opt-in layer for genuine cross-subject links.</w:t>
      </w:r>
    </w:p>
    <w:p>
      <w:pPr>
        <w:pStyle w:val="ListParagraph"/>
        <w:numPr>
          <w:ilvl w:val="0"/>
          <w:numId w:val="2"/>
        </w:numPr>
        <w:spacing w:after="90" w:line="276"/>
      </w:pPr>
      <w:r>
        <w:rPr>
          <w:b/>
          <w:bCs/>
          <w:sz w:val="21"/>
          <w:szCs w:val="21"/>
        </w:rPr>
        <w:t xml:space="preserve">P4 — </w:t>
      </w:r>
      <w:r>
        <w:rPr>
          <w:b w:val="false"/>
          <w:bCs w:val="false"/>
          <w:sz w:val="21"/>
          <w:szCs w:val="21"/>
        </w:rPr>
        <w:t xml:space="preserve">Concept-level nodes with typed relations, moving toward a true concept map, once enough correction data has accumulated to support it.</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No ground truth yet, so graph quality cannot be measured</w:t>
            </w:r>
          </w:p>
        </w:tc>
        <w:tc>
          <w:tcPr>
            <w:tcW w:type="dxa" w:w="5443"/>
            <w:tcMar>
              <w:top w:type="dxa" w:w="70"/>
              <w:left w:type="dxa" w:w="110"/>
              <w:bottom w:type="dxa" w:w="70"/>
              <w:right w:type="dxa" w:w="110"/>
            </w:tcMar>
          </w:tcPr>
          <w:p>
            <w:pPr>
              <w:spacing w:after="0" w:line="250"/>
            </w:pPr>
            <w:r>
              <w:rPr>
                <w:b w:val="false"/>
                <w:bCs w:val="false"/>
                <w:sz w:val="18"/>
                <w:szCs w:val="18"/>
              </w:rPr>
              <w:t xml:space="preserve">Addressed directly by the P1 gold set; this is the most important gap in the workstream</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Upstream OCR noise becomes spurious keywords and weaker embeddings</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Down-weight notes carrying low OCR confidence when scoring edges — the field Member 1 already records for this purpose</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Small-corpus instability: both TF-IDF and community detection behave poorly with very few notes</w:t>
            </w:r>
          </w:p>
        </w:tc>
        <w:tc>
          <w:tcPr>
            <w:tcW w:type="dxa" w:w="5443"/>
            <w:tcMar>
              <w:top w:type="dxa" w:w="70"/>
              <w:left w:type="dxa" w:w="110"/>
              <w:bottom w:type="dxa" w:w="70"/>
              <w:right w:type="dxa" w:w="110"/>
            </w:tcMar>
          </w:tcPr>
          <w:p>
            <w:pPr>
              <w:spacing w:after="0" w:line="250"/>
            </w:pPr>
            <w:r>
              <w:rPr>
                <w:b w:val="false"/>
                <w:bCs w:val="false"/>
                <w:sz w:val="18"/>
                <w:szCs w:val="18"/>
              </w:rPr>
              <w:t xml:space="preserve">Single-document keyword extraction as a fallback; skip community detection below a minimum node count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Cold start for the confidence model: few corrections means overfitting</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Hand-set initial coefficients equivalent to the hybrid score, with regularisation, until enough labels exist</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Students may correct edges wrongly</w:t>
            </w:r>
          </w:p>
        </w:tc>
        <w:tc>
          <w:tcPr>
            <w:tcW w:type="dxa" w:w="5443"/>
            <w:tcMar>
              <w:top w:type="dxa" w:w="70"/>
              <w:left w:type="dxa" w:w="110"/>
              <w:bottom w:type="dxa" w:w="70"/>
              <w:right w:type="dxa" w:w="110"/>
            </w:tcMar>
          </w:tcPr>
          <w:p>
            <w:pPr>
              <w:spacing w:after="0" w:line="250"/>
            </w:pPr>
            <w:r>
              <w:rPr>
                <w:b w:val="false"/>
                <w:bCs w:val="false"/>
                <w:sz w:val="18"/>
                <w:szCs w:val="18"/>
              </w:rPr>
              <w:t xml:space="preserve">Weight instructor corrections more heavily; keep an audit log so corrections can be reviewed</w:t>
            </w:r>
          </w:p>
        </w:tc>
      </w:tr>
    </w:tbl>
    <w:p>
      <w:r>
        <w:br w:type="page"/>
      </w:r>
    </w:p>
    <w:p>
      <w:pPr>
        <w:pStyle w:val="Heading2"/>
        <w:spacing w:after="120" w:before="250"/>
      </w:pPr>
      <w:r>
        <w:rPr>
          <w:b/>
          <w:bCs/>
          <w:color w:val="1F3864"/>
          <w:sz w:val="24"/>
          <w:szCs w:val="24"/>
        </w:rPr>
        <w:t xml:space="preserve">6.3 Member 3 — Test Generation and Feedback</w:t>
      </w:r>
    </w:p>
    <w:p>
      <w:pPr>
        <w:spacing w:after="130" w:line="276"/>
      </w:pPr>
      <w:r>
        <w:rPr>
          <w:sz w:val="21"/>
          <w:szCs w:val="21"/>
        </w:rPr>
        <w:t xml:space="preserve">This module takes notes collected by Member 1 and linked by Member 2 and produces grounded multiple-choice and theory tests, plus a deterministic ranked feedback report. Unlike the other three workstreams it is not a proposal: it is implemented and verified end to end by automated API and browser tests, for all-MCQ, all-theory and mixed tests alike.</w:t>
      </w:r>
    </w:p>
    <w:p>
      <w:pPr>
        <w:spacing w:after="130" w:line="276"/>
      </w:pPr>
      <w:r>
        <w:rPr>
          <w:b/>
          <w:bCs/>
          <w:sz w:val="21"/>
          <w:szCs w:val="21"/>
        </w:rPr>
        <w:t xml:space="preserve">Feasibility. </w:t>
      </w:r>
      <w:r>
        <w:rPr>
          <w:b w:val="false"/>
          <w:bCs w:val="false"/>
          <w:sz w:val="21"/>
          <w:szCs w:val="21"/>
        </w:rPr>
        <w:t xml:space="preserve">The module runs on the existing Node.js server with no GPU, no training step and no vector database. Its only metered dependency is the LLM, and that dependency is bounded by design — every call path has a deterministic or template fallback, verified by running the entire flow with no API key configured at all. Availability therefore does not depend on the LLM provider's uptime, which matters for a system four members and eventually real students rely on.</w:t>
      </w:r>
    </w:p>
    <w:p>
      <w:pPr>
        <w:spacing w:after="130" w:line="276"/>
      </w:pPr>
      <w:r>
        <w:rPr>
          <w:b/>
          <w:bCs/>
          <w:sz w:val="21"/>
          <w:szCs w:val="21"/>
        </w:rPr>
        <w:t xml:space="preserve">Named heuristics. </w:t>
      </w:r>
      <w:r>
        <w:rPr>
          <w:b w:val="false"/>
          <w:bCs w:val="false"/>
          <w:sz w:val="21"/>
          <w:szCs w:val="21"/>
        </w:rPr>
        <w:t xml:space="preserve">Two choices are original rather than reproductions of a published method, and the individual report states this plainly rather than forcing a citation that does not exist. The hallucination gate's verbatim-substring test is a deliberately strict, purely lexical special case of the broader grounding and verification family — cheaper and fully deterministic, but brittle to paraphrase in a way a semantic checker would not be. The 0.7 and 0.3 weights in the attention score are hand-tuned; response time is known from the psychometrics literature to carry diagnostic signal, but no published source uses this specific linear weighting.</w:t>
      </w:r>
    </w:p>
    <w:p>
      <w:pPr>
        <w:spacing w:after="130" w:line="276"/>
      </w:pPr>
      <w:r>
        <w:rPr>
          <w:b/>
          <w:bCs/>
          <w:sz w:val="21"/>
          <w:szCs w:val="21"/>
        </w:rPr>
        <w:t xml:space="preserve">Adaptive delivery is deliberately the simple end. </w:t>
      </w:r>
      <w:r>
        <w:rPr>
          <w:b w:val="false"/>
          <w:bCs w:val="false"/>
          <w:sz w:val="21"/>
          <w:szCs w:val="21"/>
        </w:rPr>
        <w:t xml:space="preserve">A one-up-one-down staircase over three heuristically assigned tiers is not calibrated Item Response Theory. Real adaptive testing needs item difficulty and discrimination parameters estimated from logged response data the project does not yet have, and estimated parameters would be no more trustworthy than the heuristic tiers already in place. The stepping logic does not change when calibrated difficulties eventually replace the tiers.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Extend the hallucination gate to distractors, rejecting any distractor that is itself a verbatim excerpt found elsewhere in the notes and would therefore be arguably correct.</w:t>
      </w:r>
    </w:p>
    <w:p>
      <w:pPr>
        <w:pStyle w:val="ListParagraph"/>
        <w:numPr>
          <w:ilvl w:val="0"/>
          <w:numId w:val="2"/>
        </w:numPr>
        <w:spacing w:after="90" w:line="276"/>
      </w:pPr>
      <w:r>
        <w:rPr>
          <w:b/>
          <w:bCs/>
          <w:sz w:val="21"/>
          <w:szCs w:val="21"/>
        </w:rPr>
        <w:t xml:space="preserve">P1 — </w:t>
      </w:r>
      <w:r>
        <w:rPr>
          <w:b w:val="false"/>
          <w:bCs w:val="false"/>
          <w:sz w:val="21"/>
          <w:szCs w:val="21"/>
        </w:rPr>
        <w:t xml:space="preserve">Tighten the theory-grading prompt to penalise missing key points explicitly, targeting the leniency bias documented in LLM graders.</w:t>
      </w:r>
    </w:p>
    <w:p>
      <w:pPr>
        <w:pStyle w:val="ListParagraph"/>
        <w:numPr>
          <w:ilvl w:val="0"/>
          <w:numId w:val="2"/>
        </w:numPr>
        <w:spacing w:after="90" w:line="276"/>
      </w:pPr>
      <w:r>
        <w:rPr>
          <w:b/>
          <w:bCs/>
          <w:sz w:val="21"/>
          <w:szCs w:val="21"/>
        </w:rPr>
        <w:t xml:space="preserve">P1 — </w:t>
      </w:r>
      <w:r>
        <w:rPr>
          <w:b w:val="false"/>
          <w:bCs w:val="false"/>
          <w:sz w:val="21"/>
          <w:szCs w:val="21"/>
        </w:rPr>
        <w:t xml:space="preserve">Replace the fallback generator's keyword step with a graph-based extractor that captures co-occurrence structure bag-of-words weighting misses — a pure-JavaScript change with no new infrastructure.</w:t>
      </w:r>
    </w:p>
    <w:p>
      <w:pPr>
        <w:pStyle w:val="ListParagraph"/>
        <w:numPr>
          <w:ilvl w:val="0"/>
          <w:numId w:val="2"/>
        </w:numPr>
        <w:spacing w:after="90" w:line="276"/>
      </w:pPr>
      <w:r>
        <w:rPr>
          <w:b/>
          <w:bCs/>
          <w:sz w:val="21"/>
          <w:szCs w:val="21"/>
        </w:rPr>
        <w:t xml:space="preserve">P1 — </w:t>
      </w:r>
      <w:r>
        <w:rPr>
          <w:b w:val="false"/>
          <w:bCs w:val="false"/>
          <w:sz w:val="21"/>
          <w:szCs w:val="21"/>
        </w:rPr>
        <w:t xml:space="preserve">Enforce the test duration with a countdown in the attempt screen; the field is stored and displayed but not currently enforced.</w:t>
      </w:r>
    </w:p>
    <w:p>
      <w:pPr>
        <w:pStyle w:val="ListParagraph"/>
        <w:numPr>
          <w:ilvl w:val="0"/>
          <w:numId w:val="2"/>
        </w:numPr>
        <w:spacing w:after="90" w:line="276"/>
      </w:pPr>
      <w:r>
        <w:rPr>
          <w:b/>
          <w:bCs/>
          <w:sz w:val="21"/>
          <w:szCs w:val="21"/>
        </w:rPr>
        <w:t xml:space="preserve">P2 — </w:t>
      </w:r>
      <w:r>
        <w:rPr>
          <w:b w:val="false"/>
          <w:bCs w:val="false"/>
          <w:sz w:val="21"/>
          <w:szCs w:val="21"/>
        </w:rPr>
        <w:t xml:space="preserve">Implement Bayesian Knowledge Tracing per topic. This is the single highest-value recommendation in the whole project: it needs no GPU and no training pipeline, it directly extends the per-topic scoring that already exists, and it turns the feedback engine from a one-shot snapshot into a model of learning across attempts.</w:t>
      </w:r>
    </w:p>
    <w:p>
      <w:pPr>
        <w:pStyle w:val="ListParagraph"/>
        <w:numPr>
          <w:ilvl w:val="0"/>
          <w:numId w:val="2"/>
        </w:numPr>
        <w:spacing w:after="90" w:line="276"/>
      </w:pPr>
      <w:r>
        <w:rPr>
          <w:b/>
          <w:bCs/>
          <w:sz w:val="21"/>
          <w:szCs w:val="21"/>
        </w:rPr>
        <w:t xml:space="preserve">P2 — </w:t>
      </w:r>
      <w:r>
        <w:rPr>
          <w:b w:val="false"/>
          <w:bCs w:val="false"/>
          <w:sz w:val="21"/>
          <w:szCs w:val="21"/>
        </w:rPr>
        <w:t xml:space="preserve">Relax the hallucination gate's exact-substring match to a fuzzy or embedding-similarity threshold, trading some strictness for tolerance of faithful paraphrase.</w:t>
      </w:r>
    </w:p>
    <w:p>
      <w:pPr>
        <w:pStyle w:val="ListParagraph"/>
        <w:numPr>
          <w:ilvl w:val="0"/>
          <w:numId w:val="2"/>
        </w:numPr>
        <w:spacing w:after="90" w:line="276"/>
      </w:pPr>
      <w:r>
        <w:rPr>
          <w:b/>
          <w:bCs/>
          <w:sz w:val="21"/>
          <w:szCs w:val="21"/>
        </w:rPr>
        <w:t xml:space="preserve">P3 — </w:t>
      </w:r>
      <w:r>
        <w:rPr>
          <w:b w:val="false"/>
          <w:bCs w:val="false"/>
          <w:sz w:val="21"/>
          <w:szCs w:val="21"/>
        </w:rPr>
        <w:t xml:space="preserve">Move from heuristic difficulty tiers to calibrated one-parameter item difficulties once enough real response data exists to fit them.</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The gate's exact-substring check rejects a faithful paraphrase as readily as a fabrication</w:t>
            </w:r>
          </w:p>
        </w:tc>
        <w:tc>
          <w:tcPr>
            <w:tcW w:type="dxa" w:w="5443"/>
            <w:tcMar>
              <w:top w:type="dxa" w:w="70"/>
              <w:left w:type="dxa" w:w="110"/>
              <w:bottom w:type="dxa" w:w="70"/>
              <w:right w:type="dxa" w:w="110"/>
            </w:tcMar>
          </w:tcPr>
          <w:p>
            <w:pPr>
              <w:spacing w:after="0" w:line="250"/>
            </w:pPr>
            <w:r>
              <w:rPr>
                <w:b w:val="false"/>
                <w:bCs w:val="false"/>
                <w:sz w:val="18"/>
                <w:szCs w:val="18"/>
              </w:rPr>
              <w:t xml:space="preserve">An explicit trade-off of recall for auditability and determinism; the P2 item relaxes it toward semantic matching</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LLM graders are documented as lenient, and neither grading path has been validated against real student answers</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P1 prompt tightening; validation against human-graded answers planned before any summative use</w:t>
            </w:r>
          </w:p>
        </w:tc>
      </w:tr>
      <w:tr>
        <w:tc>
          <w:tcPr>
            <w:tcW w:type="dxa" w:w="3629"/>
            <w:tcMar>
              <w:top w:type="dxa" w:w="70"/>
              <w:left w:type="dxa" w:w="110"/>
              <w:bottom w:type="dxa" w:w="70"/>
              <w:right w:type="dxa" w:w="110"/>
            </w:tcMar>
          </w:tcPr>
          <w:p>
            <w:pPr>
              <w:spacing w:after="0" w:line="250"/>
            </w:pPr>
            <w:r>
              <w:rPr>
                <w:b w:val="false"/>
                <w:bCs w:val="false"/>
                <w:sz w:val="18"/>
                <w:szCs w:val="18"/>
              </w:rPr>
              <w:t xml:space="preserve">The gate design and the attention-score weights are internally consistent heuristics, not empirically validated</w:t>
            </w:r>
          </w:p>
        </w:tc>
        <w:tc>
          <w:tcPr>
            <w:tcW w:type="dxa" w:w="5443"/>
            <w:tcMar>
              <w:top w:type="dxa" w:w="70"/>
              <w:left w:type="dxa" w:w="110"/>
              <w:bottom w:type="dxa" w:w="70"/>
              <w:right w:type="dxa" w:w="110"/>
            </w:tcMar>
          </w:tcPr>
          <w:p>
            <w:pPr>
              <w:spacing w:after="0" w:line="250"/>
            </w:pPr>
            <w:r>
              <w:rPr>
                <w:b w:val="false"/>
                <w:bCs w:val="false"/>
                <w:sz w:val="18"/>
                <w:szCs w:val="18"/>
              </w:rPr>
              <w:t xml:space="preserve">Named explicitly as original rather than presented as settled; both are candidates for tuning against outcome data</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The staircase does not guarantee topic or question-type balance while it adapts, and a small note corpus can leave a tier thin</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Documented limitation; the nearest-tier fallback prevents repeats or early termination; P3 moves toward calibration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Generation, grading and phrasing all depend on one hosted LLM API</w:t>
            </w:r>
          </w:p>
        </w:tc>
        <w:tc>
          <w:tcPr>
            <w:tcW w:type="dxa" w:w="5443"/>
            <w:tcMar>
              <w:top w:type="dxa" w:w="70"/>
              <w:left w:type="dxa" w:w="110"/>
              <w:bottom w:type="dxa" w:w="70"/>
              <w:right w:type="dxa" w:w="110"/>
            </w:tcMar>
          </w:tcPr>
          <w:p>
            <w:pPr>
              <w:spacing w:after="0" w:line="250"/>
            </w:pPr>
            <w:r>
              <w:rPr>
                <w:b w:val="false"/>
                <w:bCs w:val="false"/>
                <w:sz w:val="18"/>
                <w:szCs w:val="18"/>
              </w:rPr>
              <w:t xml:space="preserve">Every path has a deterministic or template fallback, verified by running the full flow, mixed tests included, with no key configured</w:t>
            </w:r>
          </w:p>
        </w:tc>
      </w:tr>
    </w:tbl>
    <w:p>
      <w:r>
        <w:br w:type="page"/>
      </w:r>
    </w:p>
    <w:p>
      <w:pPr>
        <w:pStyle w:val="Heading2"/>
        <w:spacing w:after="120" w:before="250"/>
      </w:pPr>
      <w:r>
        <w:rPr>
          <w:b/>
          <w:bCs/>
          <w:color w:val="1F3864"/>
          <w:sz w:val="24"/>
          <w:szCs w:val="24"/>
        </w:rPr>
        <w:t xml:space="preserve">6.4 Member 4 — Containerization and Cloud Deployment</w:t>
      </w:r>
    </w:p>
    <w:p>
      <w:pPr>
        <w:spacing w:after="130" w:line="276"/>
      </w:pPr>
      <w:r>
        <w:rPr>
          <w:sz w:val="21"/>
          <w:szCs w:val="21"/>
        </w:rPr>
        <w:t xml:space="preserve">Where the other three workstreams turn notes into a graph, a test and a feedback report, this one turns that code into something that actually runs: a reproducible local environment, a tested and scanned build for every push, and a live deployment a panel can open in a browser on demo day. It owns four repository artifacts — a multi-stage Dockerfile for the API, a static-build Dockerfile for the client, a compose file giving every member a real local MongoDB in place of the in-memory development store, and a CI workflow — plus the hosting configuration and the environment-variable contract every other service depends on.</w:t>
      </w:r>
    </w:p>
    <w:p>
      <w:pPr>
        <w:spacing w:after="130" w:line="276"/>
      </w:pPr>
      <w:r>
        <w:rPr>
          <w:b/>
          <w:bCs/>
          <w:sz w:val="21"/>
          <w:szCs w:val="21"/>
        </w:rPr>
        <w:t xml:space="preserve">Feasibility. </w:t>
      </w:r>
      <w:r>
        <w:rPr>
          <w:b w:val="false"/>
          <w:bCs w:val="false"/>
          <w:sz w:val="21"/>
          <w:szCs w:val="21"/>
        </w:rPr>
        <w:t xml:space="preserve">No component here carries meaningful implementation risk. Every tool involved is mature and industry-standard, and the work is integration and configuration discipline rather than research. The entire workstream runs on free tiers with nothing metered per request; the only spending risk is outgrowing a capacity cap. The real risk is not a tool failing but drift between four members' local environments and the one that ships, which the compose stack and CI close by making the containerised environment the one everyone runs.</w:t>
      </w:r>
    </w:p>
    <w:p>
      <w:pPr>
        <w:spacing w:after="130" w:line="276"/>
      </w:pPr>
      <w:r>
        <w:rPr>
          <w:b/>
          <w:bCs/>
          <w:sz w:val="21"/>
          <w:szCs w:val="21"/>
        </w:rPr>
        <w:t xml:space="preserve">It is also the most parallelisable workstream. </w:t>
      </w:r>
      <w:r>
        <w:rPr>
          <w:b w:val="false"/>
          <w:bCs w:val="false"/>
          <w:sz w:val="21"/>
          <w:szCs w:val="21"/>
        </w:rPr>
        <w:t xml:space="preserve">A Dockerfile and CI pipeline can be built against stub services on day one rather than waiting for any feature to finish, which is what makes it the highest-leverage work to start immediately: every other member benefits from a working stack and a green pipeline from the start instead of improvising a local setup and discovering integration problems late.</w:t>
      </w:r>
    </w:p>
    <w:p>
      <w:pPr>
        <w:spacing w:after="130" w:line="276"/>
      </w:pPr>
      <w:r>
        <w:rPr>
          <w:b/>
          <w:bCs/>
          <w:sz w:val="21"/>
          <w:szCs w:val="21"/>
        </w:rPr>
        <w:t xml:space="preserve">Named judgement calls. </w:t>
      </w:r>
      <w:r>
        <w:rPr>
          <w:b w:val="false"/>
          <w:bCs w:val="false"/>
          <w:sz w:val="21"/>
          <w:szCs w:val="21"/>
        </w:rPr>
        <w:t xml:space="preserve">The Docker layer ordering used to maximise build-cache hits, and the severity threshold at which CI fails a build on a dependency or secret finding, are engineering judgement rather than settled fact. Both are configuration choices, not algorithmic ones, and both are cheap to tune once the pipeline runs.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Stand up the compose stack and a minimal CI workflow before any service is feature-complete, since every other workstream builds against it.</w:t>
      </w:r>
    </w:p>
    <w:p>
      <w:pPr>
        <w:pStyle w:val="ListParagraph"/>
        <w:numPr>
          <w:ilvl w:val="0"/>
          <w:numId w:val="2"/>
        </w:numPr>
        <w:spacing w:after="90" w:line="276"/>
      </w:pPr>
      <w:r>
        <w:rPr>
          <w:b/>
          <w:bCs/>
          <w:sz w:val="21"/>
          <w:szCs w:val="21"/>
        </w:rPr>
        <w:t xml:space="preserve">P1 — </w:t>
      </w:r>
      <w:r>
        <w:rPr>
          <w:b w:val="false"/>
          <w:bCs w:val="false"/>
          <w:sz w:val="21"/>
          <w:szCs w:val="21"/>
        </w:rPr>
        <w:t xml:space="preserve">Keep the environment-variable example file current and add "did this change add a variable, and is the example updated" to the pull-request checklist, before variables accumulate across three members' code.</w:t>
      </w:r>
    </w:p>
    <w:p>
      <w:pPr>
        <w:pStyle w:val="ListParagraph"/>
        <w:numPr>
          <w:ilvl w:val="0"/>
          <w:numId w:val="2"/>
        </w:numPr>
        <w:spacing w:after="90" w:line="276"/>
      </w:pPr>
      <w:r>
        <w:rPr>
          <w:b/>
          <w:bCs/>
          <w:sz w:val="21"/>
          <w:szCs w:val="21"/>
        </w:rPr>
        <w:t xml:space="preserve">P1 — </w:t>
      </w:r>
      <w:r>
        <w:rPr>
          <w:b w:val="false"/>
          <w:bCs w:val="false"/>
          <w:sz w:val="21"/>
          <w:szCs w:val="21"/>
        </w:rPr>
        <w:t xml:space="preserve">Turn on dependency auditing and secret scanning as required checks as soon as the pipeline exists, not retroactively.</w:t>
      </w:r>
    </w:p>
    <w:p>
      <w:pPr>
        <w:pStyle w:val="ListParagraph"/>
        <w:numPr>
          <w:ilvl w:val="0"/>
          <w:numId w:val="2"/>
        </w:numPr>
        <w:spacing w:after="90" w:line="276"/>
      </w:pPr>
      <w:r>
        <w:rPr>
          <w:b/>
          <w:bCs/>
          <w:sz w:val="21"/>
          <w:szCs w:val="21"/>
        </w:rPr>
        <w:t xml:space="preserve">P2 — </w:t>
      </w:r>
      <w:r>
        <w:rPr>
          <w:b w:val="false"/>
          <w:bCs w:val="false"/>
          <w:sz w:val="21"/>
          <w:szCs w:val="21"/>
        </w:rPr>
        <w:t xml:space="preserve">Finish both Dockerfiles as multi-stage builds once layer-caching decisions stop changing week to week, and add the Python service images defined in Section 3.2.</w:t>
      </w:r>
    </w:p>
    <w:p>
      <w:pPr>
        <w:pStyle w:val="ListParagraph"/>
        <w:numPr>
          <w:ilvl w:val="0"/>
          <w:numId w:val="2"/>
        </w:numPr>
        <w:spacing w:after="90" w:line="276"/>
      </w:pPr>
      <w:r>
        <w:rPr>
          <w:b/>
          <w:bCs/>
          <w:sz w:val="21"/>
          <w:szCs w:val="21"/>
        </w:rPr>
        <w:t xml:space="preserve">P2 — </w:t>
      </w:r>
      <w:r>
        <w:rPr>
          <w:b w:val="false"/>
          <w:bCs w:val="false"/>
          <w:sz w:val="21"/>
          <w:szCs w:val="21"/>
        </w:rPr>
        <w:t xml:space="preserve">Stand up staging on the chosen hosts and confirm an end-to-end deploy from a merge, including secrets pulled correctly from the host's secret manager.</w:t>
      </w:r>
    </w:p>
    <w:p>
      <w:pPr>
        <w:pStyle w:val="ListParagraph"/>
        <w:numPr>
          <w:ilvl w:val="0"/>
          <w:numId w:val="2"/>
        </w:numPr>
        <w:spacing w:after="90" w:line="276"/>
      </w:pPr>
      <w:r>
        <w:rPr>
          <w:b/>
          <w:bCs/>
          <w:sz w:val="21"/>
          <w:szCs w:val="21"/>
        </w:rPr>
        <w:t xml:space="preserve">P3 — </w:t>
      </w:r>
      <w:r>
        <w:rPr>
          <w:b w:val="false"/>
          <w:bCs w:val="false"/>
          <w:sz w:val="21"/>
          <w:szCs w:val="21"/>
        </w:rPr>
        <w:t xml:space="preserve">Add container image scanning to close the operating-system package blind spot that dependency auditing cannot see, and a CI check that fails when code references an undocumented variable.</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Free-tier cold starts: an idle container can take up to a minute to wake, which reads as broken rather than asleep during a live demonstration</w:t>
            </w:r>
          </w:p>
        </w:tc>
        <w:tc>
          <w:tcPr>
            <w:tcW w:type="dxa" w:w="5443"/>
            <w:tcMar>
              <w:top w:type="dxa" w:w="70"/>
              <w:left w:type="dxa" w:w="110"/>
              <w:bottom w:type="dxa" w:w="70"/>
              <w:right w:type="dxa" w:w="110"/>
            </w:tcMar>
          </w:tcPr>
          <w:p>
            <w:pPr>
              <w:spacing w:after="0" w:line="250"/>
            </w:pPr>
            <w:r>
              <w:rPr>
                <w:b w:val="false"/>
                <w:bCs w:val="false"/>
                <w:sz w:val="18"/>
                <w:szCs w:val="18"/>
              </w:rPr>
              <w:t xml:space="preserve">A scheduled health-check ping keeps the environment warm around the evaluation window; budget for one paid month around the demonstration if the risk is unacceptable</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Environment-variable drift across four contributors working in parallel</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Pull-request checklist item now, and a CI check that fails on an undocumented variable later</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Secret scanning is a backstop, not a guarantee</w:t>
            </w:r>
          </w:p>
        </w:tc>
        <w:tc>
          <w:tcPr>
            <w:tcW w:type="dxa" w:w="5443"/>
            <w:tcMar>
              <w:top w:type="dxa" w:w="70"/>
              <w:left w:type="dxa" w:w="110"/>
              <w:bottom w:type="dxa" w:w="70"/>
              <w:right w:type="dxa" w:w="110"/>
            </w:tcMar>
          </w:tcPr>
          <w:p>
            <w:pPr>
              <w:spacing w:after="0" w:line="250"/>
            </w:pPr>
            <w:r>
              <w:rPr>
                <w:b w:val="false"/>
                <w:bCs w:val="false"/>
                <w:sz w:val="18"/>
                <w:szCs w:val="18"/>
              </w:rPr>
              <w:t xml:space="preserve">Ignoring environment files remains the first line of defence; any leaked credential is rotated immediately and purged from history, not merely deleted in a later commit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Single point of failure: every member's ability to demonstrate depends on this pipeline</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All configuration lives in the repository and is documented, so any teammate can redeploy from a cold start; hosting accounts are held under a shared project account rather than one member's personal login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CI as a bottleneck: a slow or flaky required check invites being bypassed under deadline pressure</w:t>
            </w:r>
          </w:p>
        </w:tc>
        <w:tc>
          <w:tcPr>
            <w:tcW w:type="dxa" w:w="5443"/>
            <w:tcMar>
              <w:top w:type="dxa" w:w="70"/>
              <w:left w:type="dxa" w:w="110"/>
              <w:bottom w:type="dxa" w:w="70"/>
              <w:right w:type="dxa" w:w="110"/>
            </w:tcMar>
          </w:tcPr>
          <w:p>
            <w:pPr>
              <w:spacing w:after="0" w:line="250"/>
            </w:pPr>
            <w:r>
              <w:rPr>
                <w:b w:val="false"/>
                <w:bCs w:val="false"/>
                <w:sz w:val="18"/>
                <w:szCs w:val="18"/>
              </w:rPr>
              <w:t xml:space="preserve">Keep the pipeline fast with cached installs and scoped test runs; treat a flaky check as a bug to fix, never one to skip</w:t>
            </w:r>
          </w:p>
        </w:tc>
      </w:tr>
    </w:tbl>
    <w:p>
      <w:r>
        <w:br w:type="page"/>
      </w:r>
    </w:p>
    <w:p>
      <w:pPr>
        <w:pStyle w:val="Heading1"/>
        <w:spacing w:after="170" w:before="340"/>
      </w:pPr>
      <w:r>
        <w:rPr>
          <w:b/>
          <w:bCs/>
          <w:color w:val="1F3864"/>
          <w:sz w:val="30"/>
          <w:szCs w:val="30"/>
        </w:rPr>
        <w:t xml:space="preserve">7. Cross-Workstream Synthesis</w:t>
      </w:r>
    </w:p>
    <w:p>
      <w:pPr>
        <w:pStyle w:val="Heading2"/>
        <w:spacing w:after="120" w:before="250"/>
      </w:pPr>
      <w:r>
        <w:rPr>
          <w:b/>
          <w:bCs/>
          <w:color w:val="1F3864"/>
          <w:sz w:val="24"/>
          <w:szCs w:val="24"/>
        </w:rPr>
        <w:t xml:space="preserve">7.1 Common findings</w:t>
      </w:r>
    </w:p>
    <w:p>
      <w:pPr>
        <w:spacing w:after="130" w:line="276"/>
      </w:pPr>
      <w:r>
        <w:rPr>
          <w:sz w:val="21"/>
          <w:szCs w:val="21"/>
        </w:rPr>
        <w:t xml:space="preserve">Independently, and by four different technical routes, all four workstreams reach the same conclusion: every component of Mind Atlas runs on free-tier infrastructure with no GPU and no dedicated training pipeline anywhere in the system. The closest anything comes to a training step is a logistic regression that refits in seconds on CPU. Every report also follows the same discipline of naming which design choices are supported by published work and which are the team's own heuristics — the OCR escalation threshold and chunking parameters, the hybrid similarity weighting and outlier-flagging rule, the hallucination gate and the feedback fusion weights, and the Docker layer ordering and CI failure threshold — and each names a concrete, low-effort route to validating its heuristic empirically rather than leaving it as an assumption.</w:t>
      </w:r>
    </w:p>
    <w:p>
      <w:pPr>
        <w:pStyle w:val="Heading2"/>
        <w:spacing w:after="120" w:before="250"/>
      </w:pPr>
      <w:r>
        <w:rPr>
          <w:b/>
          <w:bCs/>
          <w:color w:val="1F3864"/>
          <w:sz w:val="24"/>
          <w:szCs w:val="24"/>
        </w:rPr>
        <w:t xml:space="preserve">7.2 Integration risks the individual reports do not fully capture</w:t>
      </w:r>
    </w:p>
    <w:p>
      <w:pPr>
        <w:spacing w:after="130" w:line="276"/>
      </w:pPr>
      <w:r>
        <w:rPr>
          <w:sz w:val="21"/>
          <w:szCs w:val="21"/>
        </w:rPr>
        <w:t xml:space="preserve">Because the four workstreams form a pipeline rather than four independent features, a quality problem upstream compounds downstream. OCR errors become spurious keywords, which become weaker and sometimes wrong graph edges, which become noisier topics for the test generator to draw from and for the feedback engine to rank. A student then receives a confident-looking ranking computed over topics that were mis-derived three stages earlier. This is precisely why Member 1's labelled OCR set and Member 2's graph gold set are, implicitly, the highest-leverage work for Member 3's output quality as well as their own.</w:t>
      </w:r>
    </w:p>
    <w:p>
      <w:pPr>
        <w:spacing w:after="130" w:line="276"/>
      </w:pPr>
      <w:r>
        <w:rPr>
          <w:sz w:val="21"/>
          <w:szCs w:val="21"/>
        </w:rPr>
        <w:t xml:space="preserve">Two further couplings deserve naming. All four workstreams share one free-tier resource ceiling — Atlas storage, container memory and build minutes — so capacity planning is a whole-team concern rather than any one member's. And the environment-variable contract Member 4 owns is the only thing keeping four people's configurations from silently diverging as each adds features in parallel; it is the most easily neglected artifact in the project and among the most consequential.</w:t>
      </w:r>
    </w:p>
    <w:p>
      <w:pPr>
        <w:spacing w:after="130" w:line="276"/>
      </w:pPr>
      <w:r>
        <w:rPr>
          <w:sz w:val="21"/>
          <w:szCs w:val="21"/>
        </w:rPr>
        <w:t xml:space="preserve">One coupling is currently unresolved and is flagged here as an action rather than a finding. Member 2's report specifies that the test builder should address topics by graph node id, so the graph's ids become a shared vocabulary across workstreams, while the built implementation addresses topics by note title. Appendix A.2 records the target contract; the change is small but should be made before the feedback engine starts mapping weak topics back onto graph nodes.</w:t>
      </w:r>
    </w:p>
    <w:p>
      <w:pPr>
        <w:pStyle w:val="Heading2"/>
        <w:spacing w:after="120" w:before="250"/>
      </w:pPr>
      <w:r>
        <w:rPr>
          <w:b/>
          <w:bCs/>
          <w:color w:val="1F3864"/>
          <w:sz w:val="24"/>
          <w:szCs w:val="24"/>
        </w:rPr>
        <w:t xml:space="preserve">7.3 Recommended build order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3629"/>
        <w:gridCol w:w="3992"/>
      </w:tblGrid>
      <w:tr>
        <w:trPr>
          <w:tblHeader/>
        </w:trPr>
        <w:tc>
          <w:tcPr>
            <w:tcW w:type="dxa" w:w="1452"/>
            <w:shd w:fill="D9E2F3" w:color="auto" w:val="clear"/>
            <w:tcMar>
              <w:top w:type="dxa" w:w="70"/>
              <w:left w:type="dxa" w:w="110"/>
              <w:bottom w:type="dxa" w:w="70"/>
              <w:right w:type="dxa" w:w="110"/>
            </w:tcMar>
          </w:tcPr>
          <w:p>
            <w:pPr>
              <w:spacing w:after="0" w:line="250"/>
            </w:pPr>
            <w:r>
              <w:rPr>
                <w:b/>
                <w:bCs/>
                <w:sz w:val="18"/>
                <w:szCs w:val="18"/>
              </w:rPr>
              <w:t xml:space="preserve">When</w:t>
            </w:r>
          </w:p>
        </w:tc>
        <w:tc>
          <w:tcPr>
            <w:tcW w:type="dxa" w:w="3629"/>
            <w:shd w:fill="D9E2F3" w:color="auto" w:val="clear"/>
            <w:tcMar>
              <w:top w:type="dxa" w:w="70"/>
              <w:left w:type="dxa" w:w="110"/>
              <w:bottom w:type="dxa" w:w="70"/>
              <w:right w:type="dxa" w:w="110"/>
            </w:tcMar>
          </w:tcPr>
          <w:p>
            <w:pPr>
              <w:spacing w:after="0" w:line="250"/>
            </w:pPr>
            <w:r>
              <w:rPr>
                <w:b/>
                <w:bCs/>
                <w:sz w:val="18"/>
                <w:szCs w:val="18"/>
              </w:rPr>
              <w:t xml:space="preserve">What</w:t>
            </w:r>
          </w:p>
        </w:tc>
        <w:tc>
          <w:tcPr>
            <w:tcW w:type="dxa" w:w="3992"/>
            <w:shd w:fill="D9E2F3" w:color="auto" w:val="clear"/>
            <w:tcMar>
              <w:top w:type="dxa" w:w="70"/>
              <w:left w:type="dxa" w:w="110"/>
              <w:bottom w:type="dxa" w:w="70"/>
              <w:right w:type="dxa" w:w="110"/>
            </w:tcMar>
          </w:tcPr>
          <w:p>
            <w:pPr>
              <w:spacing w:after="0" w:line="250"/>
            </w:pPr>
            <w:r>
              <w:rPr>
                <w:b/>
                <w:bCs/>
                <w:sz w:val="18"/>
                <w:szCs w:val="18"/>
              </w:rPr>
              <w:t xml:space="preserve">Why now</w:t>
            </w:r>
          </w:p>
        </w:tc>
      </w:tr>
      <w:tr>
        <w:tc>
          <w:tcPr>
            <w:tcW w:type="dxa" w:w="1452"/>
            <w:tcMar>
              <w:top w:type="dxa" w:w="70"/>
              <w:left w:type="dxa" w:w="110"/>
              <w:bottom w:type="dxa" w:w="70"/>
              <w:right w:type="dxa" w:w="110"/>
            </w:tcMar>
          </w:tcPr>
          <w:p>
            <w:pPr>
              <w:spacing w:after="0" w:line="250"/>
            </w:pPr>
            <w:r>
              <w:rPr>
                <w:b w:val="false"/>
                <w:bCs w:val="false"/>
                <w:sz w:val="18"/>
                <w:szCs w:val="18"/>
              </w:rPr>
              <w:t xml:space="preserve">Week 1</w:t>
            </w:r>
          </w:p>
        </w:tc>
        <w:tc>
          <w:tcPr>
            <w:tcW w:type="dxa" w:w="3629"/>
            <w:tcMar>
              <w:top w:type="dxa" w:w="70"/>
              <w:left w:type="dxa" w:w="110"/>
              <w:bottom w:type="dxa" w:w="70"/>
              <w:right w:type="dxa" w:w="110"/>
            </w:tcMar>
          </w:tcPr>
          <w:p>
            <w:pPr>
              <w:spacing w:after="0" w:line="250"/>
            </w:pPr>
            <w:r>
              <w:rPr>
                <w:b w:val="false"/>
                <w:bCs w:val="false"/>
                <w:sz w:val="18"/>
                <w:szCs w:val="18"/>
              </w:rPr>
              <w:t xml:space="preserve">Member 4's compose stack and CI skeleton</w:t>
            </w:r>
          </w:p>
        </w:tc>
        <w:tc>
          <w:tcPr>
            <w:tcW w:type="dxa" w:w="3992"/>
            <w:tcMar>
              <w:top w:type="dxa" w:w="70"/>
              <w:left w:type="dxa" w:w="110"/>
              <w:bottom w:type="dxa" w:w="70"/>
              <w:right w:type="dxa" w:w="110"/>
            </w:tcMar>
          </w:tcPr>
          <w:p>
            <w:pPr>
              <w:spacing w:after="0" w:line="250"/>
            </w:pPr>
            <w:r>
              <w:rPr>
                <w:b w:val="false"/>
                <w:bCs w:val="false"/>
                <w:sz w:val="18"/>
                <w:szCs w:val="18"/>
              </w:rPr>
              <w:t xml:space="preserve">Every other member develops and tests inside the same environment from the start instead of improvising a local setup</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Early</w:t>
            </w:r>
          </w:p>
        </w:tc>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Member 1's typed, DOCX and PDF ingestion, without OCR</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The cheapest path to realistic note text for Members 2 and 3 to build and test against</w:t>
            </w:r>
          </w:p>
        </w:tc>
      </w:tr>
      <w:tr>
        <w:tc>
          <w:tcPr>
            <w:tcW w:type="dxa" w:w="1452"/>
            <w:tcMar>
              <w:top w:type="dxa" w:w="70"/>
              <w:left w:type="dxa" w:w="110"/>
              <w:bottom w:type="dxa" w:w="70"/>
              <w:right w:type="dxa" w:w="110"/>
            </w:tcMar>
          </w:tcPr>
          <w:p>
            <w:pPr>
              <w:spacing w:after="0" w:line="250"/>
            </w:pPr>
            <w:r>
              <w:rPr>
                <w:b w:val="false"/>
                <w:bCs w:val="false"/>
                <w:sz w:val="18"/>
                <w:szCs w:val="18"/>
              </w:rPr>
              <w:t xml:space="preserve">In parallel</w:t>
            </w:r>
          </w:p>
        </w:tc>
        <w:tc>
          <w:tcPr>
            <w:tcW w:type="dxa" w:w="3629"/>
            <w:tcMar>
              <w:top w:type="dxa" w:w="70"/>
              <w:left w:type="dxa" w:w="110"/>
              <w:bottom w:type="dxa" w:w="70"/>
              <w:right w:type="dxa" w:w="110"/>
            </w:tcMar>
          </w:tcPr>
          <w:p>
            <w:pPr>
              <w:spacing w:after="0" w:line="250"/>
            </w:pPr>
            <w:r>
              <w:rPr>
                <w:b w:val="false"/>
                <w:bCs w:val="false"/>
                <w:sz w:val="18"/>
                <w:szCs w:val="18"/>
              </w:rPr>
              <w:t xml:space="preserve">Member 2's gold set and Member 3's knowledge-tracing groundwork</w:t>
            </w:r>
          </w:p>
        </w:tc>
        <w:tc>
          <w:tcPr>
            <w:tcW w:type="dxa" w:w="3992"/>
            <w:tcMar>
              <w:top w:type="dxa" w:w="70"/>
              <w:left w:type="dxa" w:w="110"/>
              <w:bottom w:type="dxa" w:w="70"/>
              <w:right w:type="dxa" w:w="110"/>
            </w:tcMar>
          </w:tcPr>
          <w:p>
            <w:pPr>
              <w:spacing w:after="0" w:line="250"/>
            </w:pPr>
            <w:r>
              <w:rPr>
                <w:b w:val="false"/>
                <w:bCs w:val="false"/>
                <w:sz w:val="18"/>
                <w:szCs w:val="18"/>
              </w:rPr>
              <w:t xml:space="preserve">Both are measurement infrastructure, and measurement infrastructure pays off earlier the sooner it exists</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Mid-semester</w:t>
            </w:r>
          </w:p>
        </w:tc>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OCR fallback tuning, hybrid graph scoring, the extended hallucination gate</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Each is validated against the measurement infrastructure built above, so improvements are demonstrated rather than asserted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Late</w:t>
            </w:r>
          </w:p>
        </w:tc>
        <w:tc>
          <w:tcPr>
            <w:tcW w:type="dxa" w:w="3629"/>
            <w:tcMar>
              <w:top w:type="dxa" w:w="70"/>
              <w:left w:type="dxa" w:w="110"/>
              <w:bottom w:type="dxa" w:w="70"/>
              <w:right w:type="dxa" w:w="110"/>
            </w:tcMar>
          </w:tcPr>
          <w:p>
            <w:pPr>
              <w:spacing w:after="0" w:line="250"/>
            </w:pPr>
            <w:r>
              <w:rPr>
                <w:b w:val="false"/>
                <w:bCs w:val="false"/>
                <w:sz w:val="18"/>
                <w:szCs w:val="18"/>
              </w:rPr>
              <w:t xml:space="preserve">Staging deployment and scripted scalability testing</w:t>
            </w:r>
          </w:p>
        </w:tc>
        <w:tc>
          <w:tcPr>
            <w:tcW w:type="dxa" w:w="3992"/>
            <w:tcMar>
              <w:top w:type="dxa" w:w="70"/>
              <w:left w:type="dxa" w:w="110"/>
              <w:bottom w:type="dxa" w:w="70"/>
              <w:right w:type="dxa" w:w="110"/>
            </w:tcMar>
          </w:tcPr>
          <w:p>
            <w:pPr>
              <w:spacing w:after="0" w:line="250"/>
            </w:pPr>
            <w:r>
              <w:rPr>
                <w:b w:val="false"/>
                <w:bCs w:val="false"/>
                <w:sz w:val="18"/>
                <w:szCs w:val="18"/>
              </w:rPr>
              <w:t xml:space="preserve">Meaningful only once there is a realistic system to load and real free-tier behaviour to observe</w:t>
            </w:r>
          </w:p>
        </w:tc>
      </w:tr>
    </w:tbl>
    <w:p>
      <w:r>
        <w:br w:type="page"/>
      </w:r>
    </w:p>
    <w:p>
      <w:pPr>
        <w:pStyle w:val="Heading1"/>
        <w:spacing w:after="170" w:before="340"/>
      </w:pPr>
      <w:r>
        <w:rPr>
          <w:b/>
          <w:bCs/>
          <w:color w:val="1F3864"/>
          <w:sz w:val="30"/>
          <w:szCs w:val="30"/>
        </w:rPr>
        <w:t xml:space="preserve">8. Future Scope</w:t>
      </w:r>
    </w:p>
    <w:p>
      <w:pPr>
        <w:pStyle w:val="Heading2"/>
        <w:spacing w:after="120" w:before="250"/>
      </w:pPr>
      <w:r>
        <w:rPr>
          <w:b/>
          <w:bCs/>
          <w:color w:val="1F3864"/>
          <w:sz w:val="24"/>
          <w:szCs w:val="24"/>
        </w:rPr>
        <w:t xml:space="preserve">8.1 Video proctoring and expression analysis</w:t>
      </w:r>
    </w:p>
    <w:p>
      <w:pPr>
        <w:spacing w:after="130" w:line="276"/>
      </w:pPr>
      <w:r>
        <w:rPr>
          <w:b/>
          <w:bCs/>
          <w:sz w:val="21"/>
          <w:szCs w:val="21"/>
        </w:rPr>
        <w:t xml:space="preserve">Video proctoring is future scope and is not a deliverable of this project. </w:t>
      </w:r>
      <w:r>
        <w:rPr>
          <w:b w:val="false"/>
          <w:bCs w:val="false"/>
          <w:sz w:val="21"/>
          <w:szCs w:val="21"/>
        </w:rPr>
        <w:t xml:space="preserve">It appeared in the original system architecture as one of the processing services, and an earlier allocation of workstreams assigned it to a member alongside personalised feedback. Under the ownership defined in Section 2 it belongs to no workstream, no feasibility report assesses it, and it is therefore excluded from every technical, cost and schedule claim in this report. Recording it as future scope rather than quietly carrying it forward is a deliberate choice: an unassessed component in an architecture diagram reads as a commitment, and the team does not wish to commit to one it has not evaluated.</w:t>
      </w:r>
    </w:p>
    <w:p>
      <w:pPr>
        <w:spacing w:after="130" w:line="276"/>
      </w:pPr>
      <w:r>
        <w:rPr>
          <w:sz w:val="21"/>
          <w:szCs w:val="21"/>
        </w:rPr>
        <w:t xml:space="preserve">Three substantive reasons support deferring it rather than attempting it. It is the only component in the entire system that would plausibly require GPU inference or a paid vision service for real-time expression analysis, which would break the project's central finding that everything runs on free-tier CPU infrastructure. It carries privacy, consent and data-retention obligations around biometric data that materially exceed anything else in the system and would need their own assessment. And its educational value is the least established of any component proposed: using inferred emotional state to adjust a difficulty ranking is an active research question, not settled practice, whereas every other signal the feedback engine uses is directly observed.</w:t>
      </w:r>
    </w:p>
    <w:p>
      <w:pPr>
        <w:spacing w:after="130" w:line="276"/>
      </w:pPr>
      <w:r>
        <w:rPr>
          <w:b/>
          <w:bCs/>
          <w:sz w:val="21"/>
          <w:szCs w:val="21"/>
        </w:rPr>
        <w:t xml:space="preserve">Nothing in the built system depends on it. </w:t>
      </w:r>
      <w:r>
        <w:rPr>
          <w:b w:val="false"/>
          <w:bCs w:val="false"/>
          <w:sz w:val="21"/>
          <w:szCs w:val="21"/>
        </w:rPr>
        <w:t xml:space="preserve">Member 3's attempt flow was designed from the start so that the non-camera path is the fully supported path rather than a degraded one. The feedback engine's attention score is computed from correctness and response time only, both directly measured. If proctoring were added later it would enter as an additional term in that formula and an additional deployable service, which is why Section 3.2 counts three services today and notes that a fourth would be required.</w:t>
      </w:r>
    </w:p>
    <w:p>
      <w:pPr>
        <w:spacing w:after="130" w:line="276"/>
      </w:pPr>
      <w:r>
        <w:rPr>
          <w:sz w:val="21"/>
          <w:szCs w:val="21"/>
        </w:rPr>
        <w:t xml:space="preserve">Should a future team take it up, the prerequisites are clear: an explicit consent flow with a fully supported decline path, a data-retention and deletion policy for video and any derived signal, a validation study showing the inferred signal actually improves the feedback ranking rather than merely adding a number to it, and a hosting budget that accommodates either GPU inference or a paid vision API.</w:t>
      </w:r>
    </w:p>
    <w:p>
      <w:pPr>
        <w:pStyle w:val="Heading2"/>
        <w:spacing w:after="120" w:before="250"/>
      </w:pPr>
      <w:r>
        <w:rPr>
          <w:b/>
          <w:bCs/>
          <w:color w:val="1F3864"/>
          <w:sz w:val="24"/>
          <w:szCs w:val="24"/>
        </w:rPr>
        <w:t xml:space="preserve">8.2 Other items deferred beyond this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5988"/>
      </w:tblGrid>
      <w:tr>
        <w:trPr>
          <w:tblHeader/>
        </w:trPr>
        <w:tc>
          <w:tcPr>
            <w:tcW w:type="dxa" w:w="3084"/>
            <w:shd w:fill="D9E2F3" w:color="auto" w:val="clear"/>
            <w:tcMar>
              <w:top w:type="dxa" w:w="70"/>
              <w:left w:type="dxa" w:w="110"/>
              <w:bottom w:type="dxa" w:w="70"/>
              <w:right w:type="dxa" w:w="110"/>
            </w:tcMar>
          </w:tcPr>
          <w:p>
            <w:pPr>
              <w:spacing w:after="0" w:line="250"/>
            </w:pPr>
            <w:r>
              <w:rPr>
                <w:b/>
                <w:bCs/>
                <w:sz w:val="18"/>
                <w:szCs w:val="18"/>
              </w:rPr>
              <w:t xml:space="preserve">Item</w:t>
            </w:r>
          </w:p>
        </w:tc>
        <w:tc>
          <w:tcPr>
            <w:tcW w:type="dxa" w:w="5988"/>
            <w:shd w:fill="D9E2F3" w:color="auto" w:val="clear"/>
            <w:tcMar>
              <w:top w:type="dxa" w:w="70"/>
              <w:left w:type="dxa" w:w="110"/>
              <w:bottom w:type="dxa" w:w="70"/>
              <w:right w:type="dxa" w:w="110"/>
            </w:tcMar>
          </w:tcPr>
          <w:p>
            <w:pPr>
              <w:spacing w:after="0" w:line="250"/>
            </w:pPr>
            <w:r>
              <w:rPr>
                <w:b/>
                <w:bCs/>
                <w:sz w:val="18"/>
                <w:szCs w:val="18"/>
              </w:rPr>
              <w:t xml:space="preserve">Why deferred</w:t>
            </w:r>
          </w:p>
        </w:tc>
      </w:tr>
      <w:tr>
        <w:tc>
          <w:tcPr>
            <w:tcW w:type="dxa" w:w="3084"/>
            <w:tcMar>
              <w:top w:type="dxa" w:w="70"/>
              <w:left w:type="dxa" w:w="110"/>
              <w:bottom w:type="dxa" w:w="70"/>
              <w:right w:type="dxa" w:w="110"/>
            </w:tcMar>
          </w:tcPr>
          <w:p>
            <w:pPr>
              <w:spacing w:after="0" w:line="250"/>
            </w:pPr>
            <w:r>
              <w:rPr>
                <w:b w:val="false"/>
                <w:bCs w:val="false"/>
                <w:sz w:val="18"/>
                <w:szCs w:val="18"/>
              </w:rPr>
              <w:t xml:space="preserve">Neural knowledge tracing using recurrent or attention-based models</w:t>
            </w:r>
          </w:p>
        </w:tc>
        <w:tc>
          <w:tcPr>
            <w:tcW w:type="dxa" w:w="5988"/>
            <w:tcMar>
              <w:top w:type="dxa" w:w="70"/>
              <w:left w:type="dxa" w:w="110"/>
              <w:bottom w:type="dxa" w:w="70"/>
              <w:right w:type="dxa" w:w="110"/>
            </w:tcMar>
          </w:tcPr>
          <w:p>
            <w:pPr>
              <w:spacing w:after="0" w:line="250"/>
            </w:pPr>
            <w:r>
              <w:rPr>
                <w:b w:val="false"/>
                <w:bCs w:val="false"/>
                <w:sz w:val="18"/>
                <w:szCs w:val="18"/>
              </w:rPr>
              <w:t xml:space="preserve">Requires a training pipeline, GPU access and a substantially larger logged-response dataset than a capstone accumulates in one semester; Bayesian Knowledge Tracing delivers most of the value with none of that</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Neural distractor generation</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Worthwhile only if prompting plus a distractor gate proves insufficient, which has not yet been measured</w:t>
            </w:r>
          </w:p>
        </w:tc>
      </w:tr>
      <w:tr>
        <w:tc>
          <w:tcPr>
            <w:tcW w:type="dxa" w:w="3084"/>
            <w:tcMar>
              <w:top w:type="dxa" w:w="70"/>
              <w:left w:type="dxa" w:w="110"/>
              <w:bottom w:type="dxa" w:w="70"/>
              <w:right w:type="dxa" w:w="110"/>
            </w:tcMar>
          </w:tcPr>
          <w:p>
            <w:pPr>
              <w:spacing w:after="0" w:line="250"/>
            </w:pPr>
            <w:r>
              <w:rPr>
                <w:b w:val="false"/>
                <w:bCs w:val="false"/>
                <w:sz w:val="18"/>
                <w:szCs w:val="18"/>
              </w:rPr>
              <w:t xml:space="preserve">Concept-level graph nodes with typed relations</w:t>
            </w:r>
          </w:p>
        </w:tc>
        <w:tc>
          <w:tcPr>
            <w:tcW w:type="dxa" w:w="5988"/>
            <w:tcMar>
              <w:top w:type="dxa" w:w="70"/>
              <w:left w:type="dxa" w:w="110"/>
              <w:bottom w:type="dxa" w:w="70"/>
              <w:right w:type="dxa" w:w="110"/>
            </w:tcMar>
          </w:tcPr>
          <w:p>
            <w:pPr>
              <w:spacing w:after="0" w:line="250"/>
            </w:pPr>
            <w:r>
              <w:rPr>
                <w:b w:val="false"/>
                <w:bCs w:val="false"/>
                <w:sz w:val="18"/>
                <w:szCs w:val="18"/>
              </w:rPr>
              <w:t xml:space="preserve">Depends on accumulated correction data that does not exist yet; the note-level relatedness graph is the appropriate scope for study navigation</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Approximate vector indexes and a dedicated vector database</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Exact search is both faster to build and exactly correct at the few thousand vectors a personal corpus produces; approximate indexing would add tuning cost with no benefit</w:t>
            </w:r>
          </w:p>
        </w:tc>
      </w:tr>
      <w:tr>
        <w:tc>
          <w:tcPr>
            <w:tcW w:type="dxa" w:w="3084"/>
            <w:tcMar>
              <w:top w:type="dxa" w:w="70"/>
              <w:left w:type="dxa" w:w="110"/>
              <w:bottom w:type="dxa" w:w="70"/>
              <w:right w:type="dxa" w:w="110"/>
            </w:tcMar>
          </w:tcPr>
          <w:p>
            <w:pPr>
              <w:spacing w:after="0" w:line="250"/>
            </w:pPr>
            <w:r>
              <w:rPr>
                <w:b w:val="false"/>
                <w:bCs w:val="false"/>
                <w:sz w:val="18"/>
                <w:szCs w:val="18"/>
              </w:rPr>
              <w:t xml:space="preserve">Fine-tuning an embedding model on accumulated corrections</w:t>
            </w:r>
          </w:p>
        </w:tc>
        <w:tc>
          <w:tcPr>
            <w:tcW w:type="dxa" w:w="5988"/>
            <w:tcMar>
              <w:top w:type="dxa" w:w="70"/>
              <w:left w:type="dxa" w:w="110"/>
              <w:bottom w:type="dxa" w:w="70"/>
              <w:right w:type="dxa" w:w="110"/>
            </w:tcMar>
          </w:tcPr>
          <w:p>
            <w:pPr>
              <w:spacing w:after="0" w:line="250"/>
            </w:pPr>
            <w:r>
              <w:rPr>
                <w:b w:val="false"/>
                <w:bCs w:val="false"/>
                <w:sz w:val="18"/>
                <w:szCs w:val="18"/>
              </w:rPr>
              <w:t xml:space="preserve">Needs both a volume of labels and a training setup the project does not have</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Blue-green and canary deployment</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Requires more than one production-like environment than free tiers allow</w:t>
            </w:r>
          </w:p>
        </w:tc>
      </w:tr>
    </w:tbl>
    <w:p>
      <w:r>
        <w:br w:type="page"/>
      </w:r>
    </w:p>
    <w:p>
      <w:pPr>
        <w:pStyle w:val="Heading1"/>
        <w:spacing w:after="170" w:before="340"/>
      </w:pPr>
      <w:r>
        <w:rPr>
          <w:b/>
          <w:bCs/>
          <w:color w:val="1F3864"/>
          <w:sz w:val="30"/>
          <w:szCs w:val="30"/>
        </w:rPr>
        <w:t xml:space="preserve">9. Consolidated Risk Register</w:t>
      </w:r>
    </w:p>
    <w:p>
      <w:pPr>
        <w:spacing w:after="130" w:line="276"/>
      </w:pPr>
      <w:r>
        <w:rPr>
          <w:sz w:val="21"/>
          <w:szCs w:val="21"/>
        </w:rPr>
        <w:t xml:space="preserve">The risks below are those that cross workstream boundaries or threaten the project as a whole. Workstream-specific risks are listed in each subsection of Section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2903"/>
        <w:gridCol w:w="3447"/>
      </w:tblGrid>
      <w:tr>
        <w:trPr>
          <w:tblHeader/>
        </w:trPr>
        <w:tc>
          <w:tcPr>
            <w:tcW w:type="dxa" w:w="2722"/>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2903"/>
            <w:shd w:fill="D9E2F3" w:color="auto" w:val="clear"/>
            <w:tcMar>
              <w:top w:type="dxa" w:w="70"/>
              <w:left w:type="dxa" w:w="110"/>
              <w:bottom w:type="dxa" w:w="70"/>
              <w:right w:type="dxa" w:w="110"/>
            </w:tcMar>
          </w:tcPr>
          <w:p>
            <w:pPr>
              <w:spacing w:after="0" w:line="250"/>
            </w:pPr>
            <w:r>
              <w:rPr>
                <w:b/>
                <w:bCs/>
                <w:sz w:val="18"/>
                <w:szCs w:val="18"/>
              </w:rPr>
              <w:t xml:space="preserve">Impact</w:t>
            </w:r>
          </w:p>
        </w:tc>
        <w:tc>
          <w:tcPr>
            <w:tcW w:type="dxa" w:w="3447"/>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2722"/>
            <w:tcMar>
              <w:top w:type="dxa" w:w="70"/>
              <w:left w:type="dxa" w:w="110"/>
              <w:bottom w:type="dxa" w:w="70"/>
              <w:right w:type="dxa" w:w="110"/>
            </w:tcMar>
          </w:tcPr>
          <w:p>
            <w:pPr>
              <w:spacing w:after="0" w:line="250"/>
            </w:pPr>
            <w:r>
              <w:rPr>
                <w:b w:val="false"/>
                <w:bCs w:val="false"/>
                <w:sz w:val="18"/>
                <w:szCs w:val="18"/>
              </w:rPr>
              <w:t xml:space="preserve">A measurement gap, not technical infeasibility, dominates every workstream's risk profile: no OCR evaluation set, no graph gold set, no validation of the grading or gate heuristics against real student data</w:t>
            </w:r>
          </w:p>
        </w:tc>
        <w:tc>
          <w:tcPr>
            <w:tcW w:type="dxa" w:w="2903"/>
            <w:tcMar>
              <w:top w:type="dxa" w:w="70"/>
              <w:left w:type="dxa" w:w="110"/>
              <w:bottom w:type="dxa" w:w="70"/>
              <w:right w:type="dxa" w:w="110"/>
            </w:tcMar>
          </w:tcPr>
          <w:p>
            <w:pPr>
              <w:spacing w:after="0" w:line="250"/>
            </w:pPr>
            <w:r>
              <w:rPr>
                <w:b w:val="false"/>
                <w:bCs w:val="false"/>
                <w:sz w:val="18"/>
                <w:szCs w:val="18"/>
              </w:rPr>
              <w:t xml:space="preserve">Quality claims across the project remain assertions rather than measurements, which is the weakest point of the work under examination</w:t>
            </w:r>
          </w:p>
        </w:tc>
        <w:tc>
          <w:tcPr>
            <w:tcW w:type="dxa" w:w="3447"/>
            <w:tcMar>
              <w:top w:type="dxa" w:w="70"/>
              <w:left w:type="dxa" w:w="110"/>
              <w:bottom w:type="dxa" w:w="70"/>
              <w:right w:type="dxa" w:w="110"/>
            </w:tcMar>
          </w:tcPr>
          <w:p>
            <w:pPr>
              <w:spacing w:after="0" w:line="250"/>
            </w:pPr>
            <w:r>
              <w:rPr>
                <w:b w:val="false"/>
                <w:bCs w:val="false"/>
                <w:sz w:val="18"/>
                <w:szCs w:val="18"/>
              </w:rPr>
              <w:t xml:space="preserve">Each report proposes the specific low-effort step that closes its own gap; Section 7.3 sequences them early, before the features they would measure</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Upstream quality compounds downstream through the pipeline</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A confident feedback ranking computed over topics mis-derived at ingestion</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Record OCR confidence per note and down-weight low-confidence notes in edge scoring; the field already exists in the note contract for this purpose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Shared free-tier ceiling across all four workstreams</w:t>
            </w:r>
          </w:p>
        </w:tc>
        <w:tc>
          <w:tcPr>
            <w:tcW w:type="dxa" w:w="2903"/>
            <w:tcMar>
              <w:top w:type="dxa" w:w="70"/>
              <w:left w:type="dxa" w:w="110"/>
              <w:bottom w:type="dxa" w:w="70"/>
              <w:right w:type="dxa" w:w="110"/>
            </w:tcMar>
          </w:tcPr>
          <w:p>
            <w:pPr>
              <w:spacing w:after="0" w:line="250"/>
            </w:pPr>
            <w:r>
              <w:rPr>
                <w:b w:val="false"/>
                <w:bCs w:val="false"/>
                <w:sz w:val="18"/>
                <w:szCs w:val="18"/>
              </w:rPr>
              <w:t xml:space="preserve">Storage, memory or build minutes exhausted by whichever workstream grows fastest, affecting everyone</w:t>
            </w:r>
          </w:p>
        </w:tc>
        <w:tc>
          <w:tcPr>
            <w:tcW w:type="dxa" w:w="3447"/>
            <w:tcMar>
              <w:top w:type="dxa" w:w="70"/>
              <w:left w:type="dxa" w:w="110"/>
              <w:bottom w:type="dxa" w:w="70"/>
              <w:right w:type="dxa" w:w="110"/>
            </w:tcMar>
          </w:tcPr>
          <w:p>
            <w:pPr>
              <w:spacing w:after="0" w:line="250"/>
            </w:pPr>
            <w:r>
              <w:rPr>
                <w:b w:val="false"/>
                <w:bCs w:val="false"/>
                <w:sz w:val="18"/>
                <w:szCs w:val="18"/>
              </w:rPr>
              <w:t xml:space="preserve">Whole-team capacity planning; monitor Atlas storage as data accumulates; keep embeddings out of note documents</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Free-tier cold starts during the evaluation window</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A minute-long wait reads as a broken system to an examiner</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Scheduled warming ping around the demonstration; one paid month budgeted if the risk is judged unacceptable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Configuration drift across four parallel contributors</w:t>
            </w:r>
          </w:p>
        </w:tc>
        <w:tc>
          <w:tcPr>
            <w:tcW w:type="dxa" w:w="2903"/>
            <w:tcMar>
              <w:top w:type="dxa" w:w="70"/>
              <w:left w:type="dxa" w:w="110"/>
              <w:bottom w:type="dxa" w:w="70"/>
              <w:right w:type="dxa" w:w="110"/>
            </w:tcMar>
          </w:tcPr>
          <w:p>
            <w:pPr>
              <w:spacing w:after="0" w:line="250"/>
            </w:pPr>
            <w:r>
              <w:rPr>
                <w:b w:val="false"/>
                <w:bCs w:val="false"/>
                <w:sz w:val="18"/>
                <w:szCs w:val="18"/>
              </w:rPr>
              <w:t xml:space="preserve">A teammate's local setup or a fresh deploy breaks for reasons unrelated to their own work</w:t>
            </w:r>
          </w:p>
        </w:tc>
        <w:tc>
          <w:tcPr>
            <w:tcW w:type="dxa" w:w="3447"/>
            <w:tcMar>
              <w:top w:type="dxa" w:w="70"/>
              <w:left w:type="dxa" w:w="110"/>
              <w:bottom w:type="dxa" w:w="70"/>
              <w:right w:type="dxa" w:w="110"/>
            </w:tcMar>
          </w:tcPr>
          <w:p>
            <w:pPr>
              <w:spacing w:after="0" w:line="250"/>
            </w:pPr>
            <w:r>
              <w:rPr>
                <w:b w:val="false"/>
                <w:bCs w:val="false"/>
                <w:sz w:val="18"/>
                <w:szCs w:val="18"/>
              </w:rPr>
              <w:t xml:space="preserve">The environment-variable example file as a contract, enforced by a pull-request checklist item and later a CI check</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Concentration of deployment knowledge and credentials in one member</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The team cannot deploy or diagnose production if that member is unavailable</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Hosting accounts under a shared project account with read access for all four; all configuration in the repository; the deploy process documented so any member can redeploy</w:t>
            </w:r>
          </w:p>
        </w:tc>
      </w:tr>
      <w:tr>
        <w:tc>
          <w:tcPr>
            <w:tcW w:type="dxa" w:w="2722"/>
            <w:tcMar>
              <w:top w:type="dxa" w:w="70"/>
              <w:left w:type="dxa" w:w="110"/>
              <w:bottom w:type="dxa" w:w="70"/>
              <w:right w:type="dxa" w:w="110"/>
            </w:tcMar>
          </w:tcPr>
          <w:p>
            <w:pPr>
              <w:spacing w:after="0" w:line="250"/>
            </w:pPr>
            <w:r>
              <w:rPr>
                <w:b w:val="false"/>
                <w:bCs w:val="false"/>
                <w:sz w:val="18"/>
                <w:szCs w:val="18"/>
              </w:rPr>
              <w:t xml:space="preserve">Dependence on one hosted LLM API for generation, grading and phrasing</w:t>
            </w:r>
          </w:p>
        </w:tc>
        <w:tc>
          <w:tcPr>
            <w:tcW w:type="dxa" w:w="2903"/>
            <w:tcMar>
              <w:top w:type="dxa" w:w="70"/>
              <w:left w:type="dxa" w:w="110"/>
              <w:bottom w:type="dxa" w:w="70"/>
              <w:right w:type="dxa" w:w="110"/>
            </w:tcMar>
          </w:tcPr>
          <w:p>
            <w:pPr>
              <w:spacing w:after="0" w:line="250"/>
            </w:pPr>
            <w:r>
              <w:rPr>
                <w:b w:val="false"/>
                <w:bCs w:val="false"/>
                <w:sz w:val="18"/>
                <w:szCs w:val="18"/>
              </w:rPr>
              <w:t xml:space="preserve">A rate limit or outage during a demonstration</w:t>
            </w:r>
          </w:p>
        </w:tc>
        <w:tc>
          <w:tcPr>
            <w:tcW w:type="dxa" w:w="3447"/>
            <w:tcMar>
              <w:top w:type="dxa" w:w="70"/>
              <w:left w:type="dxa" w:w="110"/>
              <w:bottom w:type="dxa" w:w="70"/>
              <w:right w:type="dxa" w:w="110"/>
            </w:tcMar>
          </w:tcPr>
          <w:p>
            <w:pPr>
              <w:spacing w:after="0" w:line="250"/>
            </w:pPr>
            <w:r>
              <w:rPr>
                <w:b w:val="false"/>
                <w:bCs w:val="false"/>
                <w:sz w:val="18"/>
                <w:szCs w:val="18"/>
              </w:rPr>
              <w:t xml:space="preserve">Every path already falls back to a deterministic or template equivalent, verified by running the full flow with no key configured</w:t>
            </w:r>
          </w:p>
        </w:tc>
      </w:tr>
    </w:tbl>
    <w:p>
      <w:r>
        <w:br w:type="page"/>
      </w:r>
    </w:p>
    <w:p>
      <w:pPr>
        <w:pStyle w:val="Heading1"/>
        <w:spacing w:after="170" w:before="340"/>
      </w:pPr>
      <w:r>
        <w:rPr>
          <w:b/>
          <w:bCs/>
          <w:color w:val="1F3864"/>
          <w:sz w:val="30"/>
          <w:szCs w:val="30"/>
        </w:rPr>
        <w:t xml:space="preserve">10. Conclusion</w:t>
      </w:r>
    </w:p>
    <w:p>
      <w:pPr>
        <w:spacing w:after="130" w:line="276"/>
      </w:pPr>
      <w:r>
        <w:rPr>
          <w:sz w:val="21"/>
          <w:szCs w:val="21"/>
        </w:rPr>
        <w:t xml:space="preserve">Taken together, the four workstream reports support one overall conclusion: Mind Atlas is feasible within the team's stated constraints of a single semester, no GPU, free-tier cloud infrastructure throughout, and a single external LLM API that every dependent feature degrades gracefully without. One workstream, test generation and feedback, is already implemented and verified end to end rather than proposed, which gives the project a working core to build the remaining three around rather than four parallel unknowns.</w:t>
      </w:r>
    </w:p>
    <w:p>
      <w:pPr>
        <w:spacing w:after="130" w:line="276"/>
      </w:pPr>
      <w:r>
        <w:rPr>
          <w:sz w:val="21"/>
          <w:szCs w:val="21"/>
        </w:rPr>
        <w:t xml:space="preserve">Each workstream's risk profile is dominated not by technical infeasibility but by a measurement gap. There is no gold set for graph accuracy, no labelled evaluation set for OCR, and no validation of the grading or hallucination-gate heuristics against real student data. Each report proposes the specific, low-effort step that closes its own gap, and Section 7.3 deliberately sequences those steps early, because a measurement built after the feature it measures tends never to be built at all.</w:t>
      </w:r>
    </w:p>
    <w:p>
      <w:pPr>
        <w:spacing w:after="130" w:line="276"/>
      </w:pPr>
      <w:r>
        <w:rPr>
          <w:sz w:val="21"/>
          <w:szCs w:val="21"/>
        </w:rPr>
        <w:t xml:space="preserve">Two structural decisions distinguish this revision. The runtime boundary between the Node API and the Python services is now settled, so three workstreams' dependency lists and one workstream's container plan finally describe the same system. And video proctoring is recorded as future scope rather than carried as an unassessed commitment, which makes the project's claims narrower and considerably more defensible. Member 4's containerization and deployment workstream is what turns four independently feasible pieces into one reviewable system, and is positioned first in the build order so the other three never have to work around infrastructure that does not yet exist.</w:t>
      </w:r>
    </w:p>
    <w:p>
      <w:r>
        <w:br w:type="page"/>
      </w:r>
    </w:p>
    <w:p>
      <w:pPr>
        <w:pStyle w:val="Heading1"/>
        <w:spacing w:after="170" w:before="340"/>
      </w:pPr>
      <w:r>
        <w:rPr>
          <w:b/>
          <w:bCs/>
          <w:color w:val="1F3864"/>
          <w:sz w:val="30"/>
          <w:szCs w:val="30"/>
        </w:rPr>
        <w:t xml:space="preserve">Appendix A — Interface Contracts</w:t>
      </w:r>
    </w:p>
    <w:p>
      <w:pPr>
        <w:spacing w:after="130" w:line="276"/>
      </w:pPr>
      <w:r>
        <w:rPr>
          <w:sz w:val="21"/>
          <w:szCs w:val="21"/>
        </w:rPr>
        <w:t xml:space="preserve">Each stage of the pipeline consumes the previous stage's output and nothing else. The individual reports each described their own side of these boundaries; this appendix states them once so both sides agree. One rule applies everywhere: every identifier in the system is a plain 24-character hexadecimal string, on both database backends, and no code should assume a driver-native object identifier.</w:t>
      </w:r>
    </w:p>
    <w:p>
      <w:pPr>
        <w:pStyle w:val="Heading3"/>
        <w:spacing w:after="100" w:before="200"/>
      </w:pPr>
      <w:r>
        <w:rPr>
          <w:b/>
          <w:bCs/>
          <w:sz w:val="22"/>
          <w:szCs w:val="22"/>
        </w:rPr>
        <w:t xml:space="preserve">A.1 Ingestion to knowledge graph — the note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2359"/>
        <w:gridCol w:w="4355"/>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_id, ownerId, subjectId</w:t>
            </w:r>
          </w:p>
        </w:tc>
        <w:tc>
          <w:tcPr>
            <w:tcW w:type="dxa" w:w="2359"/>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355"/>
            <w:tcMar>
              <w:top w:type="dxa" w:w="70"/>
              <w:left w:type="dxa" w:w="110"/>
              <w:bottom w:type="dxa" w:w="70"/>
              <w:right w:type="dxa" w:w="110"/>
            </w:tcMar>
          </w:tcPr>
          <w:p>
            <w:pPr>
              <w:spacing w:after="0" w:line="250"/>
            </w:pPr>
            <w:r>
              <w:rPr>
                <w:b w:val="false"/>
                <w:bCs w:val="false"/>
                <w:sz w:val="18"/>
                <w:szCs w:val="18"/>
              </w:rPr>
              <w:t xml:space="preserve">Ownership scoping is enforced on every read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title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Also the human-readable topic label used today</w:t>
            </w:r>
          </w:p>
        </w:tc>
      </w:tr>
      <w:tr>
        <w:tc>
          <w:tcPr>
            <w:tcW w:type="dxa" w:w="2359"/>
            <w:tcMar>
              <w:top w:type="dxa" w:w="70"/>
              <w:left w:type="dxa" w:w="110"/>
              <w:bottom w:type="dxa" w:w="70"/>
              <w:right w:type="dxa" w:w="110"/>
            </w:tcMar>
          </w:tcPr>
          <w:p>
            <w:pPr>
              <w:spacing w:after="0" w:line="250"/>
            </w:pPr>
            <w:r>
              <w:rPr>
                <w:b w:val="false"/>
                <w:bCs w:val="false"/>
                <w:sz w:val="18"/>
                <w:szCs w:val="18"/>
              </w:rPr>
              <w:t xml:space="preserve">sourceType</w:t>
            </w:r>
          </w:p>
        </w:tc>
        <w:tc>
          <w:tcPr>
            <w:tcW w:type="dxa" w:w="2359"/>
            <w:tcMar>
              <w:top w:type="dxa" w:w="70"/>
              <w:left w:type="dxa" w:w="110"/>
              <w:bottom w:type="dxa" w:w="70"/>
              <w:right w:type="dxa" w:w="110"/>
            </w:tcMar>
          </w:tcPr>
          <w:p>
            <w:pPr>
              <w:spacing w:after="0" w:line="250"/>
            </w:pPr>
            <w:r>
              <w:rPr>
                <w:b w:val="false"/>
                <w:bCs w:val="false"/>
                <w:sz w:val="18"/>
                <w:szCs w:val="18"/>
              </w:rPr>
              <w:t xml:space="preserve">typed | image | pdf | docx</w:t>
            </w:r>
          </w:p>
        </w:tc>
        <w:tc>
          <w:tcPr>
            <w:tcW w:type="dxa" w:w="4355"/>
            <w:tcMar>
              <w:top w:type="dxa" w:w="70"/>
              <w:left w:type="dxa" w:w="110"/>
              <w:bottom w:type="dxa" w:w="70"/>
              <w:right w:type="dxa" w:w="110"/>
            </w:tcMar>
          </w:tcPr>
          <w:p>
            <w:pPr>
              <w:spacing w:after="0" w:line="250"/>
            </w:pPr>
            <w:r>
              <w:rPr>
                <w:b w:val="false"/>
                <w:bCs w:val="false"/>
                <w:sz w:val="18"/>
                <w:szCs w:val="18"/>
              </w:rPr>
              <w:t xml:space="preserve">The pdf and docx values are reserved and not yet produced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rawText</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Extracted text, sanitised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keywords</w:t>
            </w:r>
          </w:p>
        </w:tc>
        <w:tc>
          <w:tcPr>
            <w:tcW w:type="dxa" w:w="2359"/>
            <w:tcMar>
              <w:top w:type="dxa" w:w="70"/>
              <w:left w:type="dxa" w:w="110"/>
              <w:bottom w:type="dxa" w:w="70"/>
              <w:right w:type="dxa" w:w="110"/>
            </w:tcMar>
          </w:tcPr>
          <w:p>
            <w:pPr>
              <w:spacing w:after="0" w:line="250"/>
            </w:pPr>
            <w:r>
              <w:rPr>
                <w:b w:val="false"/>
                <w:bCs w:val="false"/>
                <w:sz w:val="18"/>
                <w:szCs w:val="18"/>
              </w:rPr>
              <w:t xml:space="preserve">string[]</w:t>
            </w:r>
          </w:p>
        </w:tc>
        <w:tc>
          <w:tcPr>
            <w:tcW w:type="dxa" w:w="4355"/>
            <w:tcMar>
              <w:top w:type="dxa" w:w="70"/>
              <w:left w:type="dxa" w:w="110"/>
              <w:bottom w:type="dxa" w:w="70"/>
              <w:right w:type="dxa" w:w="110"/>
            </w:tcMar>
          </w:tcPr>
          <w:p>
            <w:pPr>
              <w:spacing w:after="0" w:line="250"/>
            </w:pPr>
            <w:r>
              <w:rPr>
                <w:b w:val="false"/>
                <w:bCs w:val="false"/>
                <w:sz w:val="18"/>
                <w:szCs w:val="18"/>
              </w:rPr>
              <w:t xml:space="preserve">Ranked, corpus-aware</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vector</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object</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Term-weight map; replaced by embeddingRef once embeddings land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embeddingRef</w:t>
            </w:r>
          </w:p>
        </w:tc>
        <w:tc>
          <w:tcPr>
            <w:tcW w:type="dxa" w:w="2359"/>
            <w:tcMar>
              <w:top w:type="dxa" w:w="70"/>
              <w:left w:type="dxa" w:w="110"/>
              <w:bottom w:type="dxa" w:w="70"/>
              <w:right w:type="dxa" w:w="110"/>
            </w:tcMar>
          </w:tcPr>
          <w:p>
            <w:pPr>
              <w:spacing w:after="0" w:line="250"/>
            </w:pPr>
            <w:r>
              <w:rPr>
                <w:b w:val="false"/>
                <w:bCs w:val="false"/>
                <w:sz w:val="18"/>
                <w:szCs w:val="18"/>
              </w:rPr>
              <w:t xml:space="preserve">string | null</w:t>
            </w:r>
          </w:p>
        </w:tc>
        <w:tc>
          <w:tcPr>
            <w:tcW w:type="dxa" w:w="4355"/>
            <w:tcMar>
              <w:top w:type="dxa" w:w="70"/>
              <w:left w:type="dxa" w:w="110"/>
              <w:bottom w:type="dxa" w:w="70"/>
              <w:right w:type="dxa" w:w="110"/>
            </w:tcMar>
          </w:tcPr>
          <w:p>
            <w:pPr>
              <w:spacing w:after="0" w:line="250"/>
            </w:pPr>
            <w:r>
              <w:rPr>
                <w:b w:val="false"/>
                <w:bCs w:val="false"/>
                <w:sz w:val="18"/>
                <w:szCs w:val="18"/>
              </w:rPr>
              <w:t xml:space="preserve">Planned — pointer into the vector index, so embeddings stay out of the note document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ocrConfidence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number 0–100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Planned — length-weighted mean word confidence</w:t>
            </w:r>
          </w:p>
        </w:tc>
      </w:tr>
      <w:tr>
        <w:tc>
          <w:tcPr>
            <w:tcW w:type="dxa" w:w="2359"/>
            <w:tcMar>
              <w:top w:type="dxa" w:w="70"/>
              <w:left w:type="dxa" w:w="110"/>
              <w:bottom w:type="dxa" w:w="70"/>
              <w:right w:type="dxa" w:w="110"/>
            </w:tcMar>
          </w:tcPr>
          <w:p>
            <w:pPr>
              <w:spacing w:after="0" w:line="250"/>
            </w:pPr>
            <w:r>
              <w:rPr>
                <w:b w:val="false"/>
                <w:bCs w:val="false"/>
                <w:sz w:val="18"/>
                <w:szCs w:val="18"/>
              </w:rPr>
              <w:t xml:space="preserve">ocrEngine</w:t>
            </w:r>
          </w:p>
        </w:tc>
        <w:tc>
          <w:tcPr>
            <w:tcW w:type="dxa" w:w="2359"/>
            <w:tcMar>
              <w:top w:type="dxa" w:w="70"/>
              <w:left w:type="dxa" w:w="110"/>
              <w:bottom w:type="dxa" w:w="70"/>
              <w:right w:type="dxa" w:w="110"/>
            </w:tcMar>
          </w:tcPr>
          <w:p>
            <w:pPr>
              <w:spacing w:after="0" w:line="250"/>
            </w:pPr>
            <w:r>
              <w:rPr>
                <w:b w:val="false"/>
                <w:bCs w:val="false"/>
                <w:sz w:val="18"/>
                <w:szCs w:val="18"/>
              </w:rPr>
              <w:t xml:space="preserve">tesseract | cloud-vision | null</w:t>
            </w:r>
          </w:p>
        </w:tc>
        <w:tc>
          <w:tcPr>
            <w:tcW w:type="dxa" w:w="4355"/>
            <w:tcMar>
              <w:top w:type="dxa" w:w="70"/>
              <w:left w:type="dxa" w:w="110"/>
              <w:bottom w:type="dxa" w:w="70"/>
              <w:right w:type="dxa" w:w="110"/>
            </w:tcMar>
          </w:tcPr>
          <w:p>
            <w:pPr>
              <w:spacing w:after="0" w:line="250"/>
            </w:pPr>
            <w:r>
              <w:rPr>
                <w:b w:val="false"/>
                <w:bCs w:val="false"/>
                <w:sz w:val="18"/>
                <w:szCs w:val="18"/>
              </w:rPr>
              <w:t xml:space="preserve">Planned — which engine produced the text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ocrFailed</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boolean</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Set when recognition could not run at all</w:t>
            </w:r>
          </w:p>
        </w:tc>
      </w:tr>
    </w:tbl>
    <w:p>
      <w:pPr>
        <w:spacing w:after="170"/>
      </w:pPr>
    </w:p>
    <w:p>
      <w:pPr>
        <w:pStyle w:val="Heading3"/>
        <w:spacing w:after="100" w:before="200"/>
      </w:pPr>
      <w:r>
        <w:rPr>
          <w:b/>
          <w:bCs/>
          <w:sz w:val="22"/>
          <w:szCs w:val="22"/>
        </w:rPr>
        <w:t xml:space="preserve">A.2 Knowledge graph to test generation — the edge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814"/>
        <w:gridCol w:w="4536"/>
      </w:tblGrid>
      <w:tr>
        <w:trPr>
          <w:tblHeader/>
        </w:trPr>
        <w:tc>
          <w:tcPr>
            <w:tcW w:type="dxa" w:w="2722"/>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1814"/>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536"/>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722"/>
            <w:tcMar>
              <w:top w:type="dxa" w:w="70"/>
              <w:left w:type="dxa" w:w="110"/>
              <w:bottom w:type="dxa" w:w="70"/>
              <w:right w:type="dxa" w:w="110"/>
            </w:tcMar>
          </w:tcPr>
          <w:p>
            <w:pPr>
              <w:spacing w:after="0" w:line="250"/>
            </w:pPr>
            <w:r>
              <w:rPr>
                <w:b w:val="false"/>
                <w:bCs w:val="false"/>
                <w:sz w:val="18"/>
                <w:szCs w:val="18"/>
              </w:rPr>
              <w:t xml:space="preserve">_id, subjectId, sourceNoteId, targetNoteId</w:t>
            </w:r>
          </w:p>
        </w:tc>
        <w:tc>
          <w:tcPr>
            <w:tcW w:type="dxa" w:w="1814"/>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536"/>
            <w:tcMar>
              <w:top w:type="dxa" w:w="70"/>
              <w:left w:type="dxa" w:w="110"/>
              <w:bottom w:type="dxa" w:w="70"/>
              <w:right w:type="dxa" w:w="110"/>
            </w:tcMar>
          </w:tcPr>
          <w:p>
            <w:pPr>
              <w:spacing w:after="0" w:line="250"/>
            </w:pPr>
            <w:r>
              <w:rPr>
                <w:b w:val="false"/>
                <w:bCs w:val="false"/>
                <w:sz w:val="18"/>
                <w:szCs w:val="18"/>
              </w:rPr>
              <w:t xml:space="preserve">Edges are stored with endpoints in a stable order so a pair is never duplicated</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weight</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number 0–1</w:t>
            </w:r>
          </w:p>
        </w:tc>
        <w:tc>
          <w:tcPr>
            <w:tcW w:type="dxa" w:w="4536"/>
            <w:shd w:fill="F2F5FB" w:color="auto" w:val="clear"/>
            <w:tcMar>
              <w:top w:type="dxa" w:w="70"/>
              <w:left w:type="dxa" w:w="110"/>
              <w:bottom w:type="dxa" w:w="70"/>
              <w:right w:type="dxa" w:w="110"/>
            </w:tcMar>
          </w:tcPr>
          <w:p>
            <w:pPr>
              <w:spacing w:after="0" w:line="250"/>
            </w:pPr>
            <w:r>
              <w:rPr>
                <w:b w:val="false"/>
                <w:bCs w:val="false"/>
                <w:sz w:val="18"/>
                <w:szCs w:val="18"/>
              </w:rPr>
              <w:t xml:space="preserve">Similarity score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sharedKeywords</w:t>
            </w:r>
          </w:p>
        </w:tc>
        <w:tc>
          <w:tcPr>
            <w:tcW w:type="dxa" w:w="1814"/>
            <w:tcMar>
              <w:top w:type="dxa" w:w="70"/>
              <w:left w:type="dxa" w:w="110"/>
              <w:bottom w:type="dxa" w:w="70"/>
              <w:right w:type="dxa" w:w="110"/>
            </w:tcMar>
          </w:tcPr>
          <w:p>
            <w:pPr>
              <w:spacing w:after="0" w:line="250"/>
            </w:pPr>
            <w:r>
              <w:rPr>
                <w:b w:val="false"/>
                <w:bCs w:val="false"/>
                <w:sz w:val="18"/>
                <w:szCs w:val="18"/>
              </w:rPr>
              <w:t xml:space="preserve">string[]</w:t>
            </w:r>
          </w:p>
        </w:tc>
        <w:tc>
          <w:tcPr>
            <w:tcW w:type="dxa" w:w="4536"/>
            <w:tcMar>
              <w:top w:type="dxa" w:w="70"/>
              <w:left w:type="dxa" w:w="110"/>
              <w:bottom w:type="dxa" w:w="70"/>
              <w:right w:type="dxa" w:w="110"/>
            </w:tcMar>
          </w:tcPr>
          <w:p>
            <w:pPr>
              <w:spacing w:after="0" w:line="250"/>
            </w:pPr>
            <w:r>
              <w:rPr>
                <w:b w:val="false"/>
                <w:bCs w:val="false"/>
                <w:sz w:val="18"/>
                <w:szCs w:val="18"/>
              </w:rPr>
              <w:t xml:space="preserve">Shown on the edge in the graph view</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confidenceScore</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number 0–1</w:t>
            </w:r>
          </w:p>
        </w:tc>
        <w:tc>
          <w:tcPr>
            <w:tcW w:type="dxa" w:w="4536"/>
            <w:shd w:fill="F2F5FB" w:color="auto" w:val="clear"/>
            <w:tcMar>
              <w:top w:type="dxa" w:w="70"/>
              <w:left w:type="dxa" w:w="110"/>
              <w:bottom w:type="dxa" w:w="70"/>
              <w:right w:type="dxa" w:w="110"/>
            </w:tcMar>
          </w:tcPr>
          <w:p>
            <w:pPr>
              <w:spacing w:after="0" w:line="250"/>
            </w:pPr>
            <w:r>
              <w:rPr>
                <w:b w:val="false"/>
                <w:bCs w:val="false"/>
                <w:sz w:val="18"/>
                <w:szCs w:val="18"/>
              </w:rPr>
              <w:t xml:space="preserve">Planned — output of the edge-confidence model</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status</w:t>
            </w:r>
          </w:p>
        </w:tc>
        <w:tc>
          <w:tcPr>
            <w:tcW w:type="dxa" w:w="1814"/>
            <w:tcMar>
              <w:top w:type="dxa" w:w="70"/>
              <w:left w:type="dxa" w:w="110"/>
              <w:bottom w:type="dxa" w:w="70"/>
              <w:right w:type="dxa" w:w="110"/>
            </w:tcMar>
          </w:tcPr>
          <w:p>
            <w:pPr>
              <w:spacing w:after="0" w:line="250"/>
            </w:pPr>
            <w:r>
              <w:rPr>
                <w:b w:val="false"/>
                <w:bCs w:val="false"/>
                <w:sz w:val="18"/>
                <w:szCs w:val="18"/>
              </w:rPr>
              <w:t xml:space="preserve">active | flagged</w:t>
            </w:r>
          </w:p>
        </w:tc>
        <w:tc>
          <w:tcPr>
            <w:tcW w:type="dxa" w:w="4536"/>
            <w:tcMar>
              <w:top w:type="dxa" w:w="70"/>
              <w:left w:type="dxa" w:w="110"/>
              <w:bottom w:type="dxa" w:w="70"/>
              <w:right w:type="dxa" w:w="110"/>
            </w:tcMar>
          </w:tcPr>
          <w:p>
            <w:pPr>
              <w:spacing w:after="0" w:line="250"/>
            </w:pPr>
            <w:r>
              <w:rPr>
                <w:b w:val="false"/>
                <w:bCs w:val="false"/>
                <w:sz w:val="18"/>
                <w:szCs w:val="18"/>
              </w:rPr>
              <w:t xml:space="preserve">Planned — flagged edges surface in the review interface and are never deleted automatically</w:t>
            </w:r>
          </w:p>
        </w:tc>
      </w:tr>
    </w:tbl>
    <w:p>
      <w:pPr>
        <w:spacing w:after="90"/>
      </w:pPr>
    </w:p>
    <w:p>
      <w:pPr>
        <w:spacing w:after="130" w:line="276"/>
      </w:pPr>
      <w:r>
        <w:rPr>
          <w:b/>
          <w:bCs/>
          <w:sz w:val="21"/>
          <w:szCs w:val="21"/>
        </w:rPr>
        <w:t xml:space="preserve">Open action. </w:t>
      </w:r>
      <w:r>
        <w:rPr>
          <w:b w:val="false"/>
          <w:bCs w:val="false"/>
          <w:sz w:val="21"/>
          <w:szCs w:val="21"/>
        </w:rPr>
        <w:t xml:space="preserve">Member 3's test builder currently addresses topics by note title. The target contract is to address them by note id, so that graph node ids become the shared topic vocabulary across the graph, the test builder and the feedback engine. This should be changed before the feedback engine begins mapping weak topics back onto graph nodes.</w:t>
      </w:r>
    </w:p>
    <w:p>
      <w:pPr>
        <w:pStyle w:val="Heading3"/>
        <w:spacing w:after="100" w:before="200"/>
      </w:pPr>
      <w:r>
        <w:rPr>
          <w:b/>
          <w:bCs/>
          <w:sz w:val="22"/>
          <w:szCs w:val="22"/>
        </w:rPr>
        <w:t xml:space="preserve">A.3 Test attempt to feedback — the response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2359"/>
        <w:gridCol w:w="4355"/>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attemptId, questionId</w:t>
            </w:r>
          </w:p>
        </w:tc>
        <w:tc>
          <w:tcPr>
            <w:tcW w:type="dxa" w:w="2359"/>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355"/>
            <w:tcMar>
              <w:top w:type="dxa" w:w="70"/>
              <w:left w:type="dxa" w:w="110"/>
              <w:bottom w:type="dxa" w:w="70"/>
              <w:right w:type="dxa" w:w="110"/>
            </w:tcMar>
          </w:tcPr>
          <w:p>
            <w:pPr>
              <w:spacing w:after="0" w:line="250"/>
            </w:pPr>
            <w:r>
              <w:rPr>
                <w:b w:val="false"/>
                <w:bCs w:val="false"/>
                <w:sz w:val="18"/>
                <w:szCs w:val="18"/>
              </w:rPr>
              <w:t xml:space="preserve">A response is unique per attempt and question</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answer</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The selected option, or free text for a theory item</w:t>
            </w:r>
          </w:p>
        </w:tc>
      </w:tr>
      <w:tr>
        <w:tc>
          <w:tcPr>
            <w:tcW w:type="dxa" w:w="2359"/>
            <w:tcMar>
              <w:top w:type="dxa" w:w="70"/>
              <w:left w:type="dxa" w:w="110"/>
              <w:bottom w:type="dxa" w:w="70"/>
              <w:right w:type="dxa" w:w="110"/>
            </w:tcMar>
          </w:tcPr>
          <w:p>
            <w:pPr>
              <w:spacing w:after="0" w:line="250"/>
            </w:pPr>
            <w:r>
              <w:rPr>
                <w:b w:val="false"/>
                <w:bCs w:val="false"/>
                <w:sz w:val="18"/>
                <w:szCs w:val="18"/>
              </w:rPr>
              <w:t xml:space="preserve">isCorrect</w:t>
            </w:r>
          </w:p>
        </w:tc>
        <w:tc>
          <w:tcPr>
            <w:tcW w:type="dxa" w:w="2359"/>
            <w:tcMar>
              <w:top w:type="dxa" w:w="70"/>
              <w:left w:type="dxa" w:w="110"/>
              <w:bottom w:type="dxa" w:w="70"/>
              <w:right w:type="dxa" w:w="110"/>
            </w:tcMar>
          </w:tcPr>
          <w:p>
            <w:pPr>
              <w:spacing w:after="0" w:line="250"/>
            </w:pPr>
            <w:r>
              <w:rPr>
                <w:b w:val="false"/>
                <w:bCs w:val="false"/>
                <w:sz w:val="18"/>
                <w:szCs w:val="18"/>
              </w:rPr>
              <w:t xml:space="preserve">boolean | null</w:t>
            </w:r>
          </w:p>
        </w:tc>
        <w:tc>
          <w:tcPr>
            <w:tcW w:type="dxa" w:w="4355"/>
            <w:tcMar>
              <w:top w:type="dxa" w:w="70"/>
              <w:left w:type="dxa" w:w="110"/>
              <w:bottom w:type="dxa" w:w="70"/>
              <w:right w:type="dxa" w:w="110"/>
            </w:tcMar>
          </w:tcPr>
          <w:p>
            <w:pPr>
              <w:spacing w:after="0" w:line="250"/>
            </w:pPr>
            <w:r>
              <w:rPr>
                <w:b w:val="false"/>
                <w:bCs w:val="false"/>
                <w:sz w:val="18"/>
                <w:szCs w:val="18"/>
              </w:rPr>
              <w:t xml:space="preserve">Set for multiple-choice only; null for theory</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score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number 0–1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Set immediately for multiple-choice; null until graded for theory</w:t>
            </w:r>
          </w:p>
        </w:tc>
      </w:tr>
      <w:tr>
        <w:tc>
          <w:tcPr>
            <w:tcW w:type="dxa" w:w="2359"/>
            <w:tcMar>
              <w:top w:type="dxa" w:w="70"/>
              <w:left w:type="dxa" w:w="110"/>
              <w:bottom w:type="dxa" w:w="70"/>
              <w:right w:type="dxa" w:w="110"/>
            </w:tcMar>
          </w:tcPr>
          <w:p>
            <w:pPr>
              <w:spacing w:after="0" w:line="250"/>
            </w:pPr>
            <w:r>
              <w:rPr>
                <w:b w:val="false"/>
                <w:bCs w:val="false"/>
                <w:sz w:val="18"/>
                <w:szCs w:val="18"/>
              </w:rPr>
              <w:t xml:space="preserve">timeMs</w:t>
            </w:r>
          </w:p>
        </w:tc>
        <w:tc>
          <w:tcPr>
            <w:tcW w:type="dxa" w:w="2359"/>
            <w:tcMar>
              <w:top w:type="dxa" w:w="70"/>
              <w:left w:type="dxa" w:w="110"/>
              <w:bottom w:type="dxa" w:w="70"/>
              <w:right w:type="dxa" w:w="110"/>
            </w:tcMar>
          </w:tcPr>
          <w:p>
            <w:pPr>
              <w:spacing w:after="0" w:line="250"/>
            </w:pPr>
            <w:r>
              <w:rPr>
                <w:b w:val="false"/>
                <w:bCs w:val="false"/>
                <w:sz w:val="18"/>
                <w:szCs w:val="18"/>
              </w:rPr>
              <w:t xml:space="preserve">number</w:t>
            </w:r>
          </w:p>
        </w:tc>
        <w:tc>
          <w:tcPr>
            <w:tcW w:type="dxa" w:w="4355"/>
            <w:tcMar>
              <w:top w:type="dxa" w:w="70"/>
              <w:left w:type="dxa" w:w="110"/>
              <w:bottom w:type="dxa" w:w="70"/>
              <w:right w:type="dxa" w:w="110"/>
            </w:tcMar>
          </w:tcPr>
          <w:p>
            <w:pPr>
              <w:spacing w:after="0" w:line="250"/>
            </w:pPr>
            <w:r>
              <w:rPr>
                <w:b w:val="false"/>
                <w:bCs w:val="false"/>
                <w:sz w:val="18"/>
                <w:szCs w:val="18"/>
              </w:rPr>
              <w:t xml:space="preserve">Wall-clock time the student spent on that question</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gradedBy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llm | keyword-overlap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Which grading path produced the score</w:t>
            </w:r>
          </w:p>
        </w:tc>
      </w:tr>
    </w:tbl>
    <w:p>
      <w:pPr>
        <w:spacing w:after="170"/>
      </w:pPr>
    </w:p>
    <w:p>
      <w:pPr>
        <w:pStyle w:val="Heading3"/>
        <w:spacing w:after="100" w:before="200"/>
      </w:pPr>
      <w:r>
        <w:rPr>
          <w:b/>
          <w:bCs/>
          <w:sz w:val="22"/>
          <w:szCs w:val="22"/>
        </w:rPr>
        <w:t xml:space="preserve">A.4 Feedback to client — the report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1633"/>
        <w:gridCol w:w="5080"/>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1633"/>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5080"/>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topicScores[]</w:t>
            </w:r>
          </w:p>
        </w:tc>
        <w:tc>
          <w:tcPr>
            <w:tcW w:type="dxa" w:w="1633"/>
            <w:tcMar>
              <w:top w:type="dxa" w:w="70"/>
              <w:left w:type="dxa" w:w="110"/>
              <w:bottom w:type="dxa" w:w="70"/>
              <w:right w:type="dxa" w:w="110"/>
            </w:tcMar>
          </w:tcPr>
          <w:p>
            <w:pPr>
              <w:spacing w:after="0" w:line="250"/>
            </w:pPr>
            <w:r>
              <w:rPr>
                <w:b w:val="false"/>
                <w:bCs w:val="false"/>
                <w:sz w:val="18"/>
                <w:szCs w:val="18"/>
              </w:rPr>
              <w:t xml:space="preserve">array</w:t>
            </w:r>
          </w:p>
        </w:tc>
        <w:tc>
          <w:tcPr>
            <w:tcW w:type="dxa" w:w="5080"/>
            <w:tcMar>
              <w:top w:type="dxa" w:w="70"/>
              <w:left w:type="dxa" w:w="110"/>
              <w:bottom w:type="dxa" w:w="70"/>
              <w:right w:type="dxa" w:w="110"/>
            </w:tcMar>
          </w:tcPr>
          <w:p>
            <w:pPr>
              <w:spacing w:after="0" w:line="250"/>
            </w:pPr>
            <w:r>
              <w:rPr>
                <w:b w:val="false"/>
                <w:bCs w:val="false"/>
                <w:sz w:val="18"/>
                <w:szCs w:val="18"/>
              </w:rPr>
              <w:t xml:space="preserve">Each entry carries topic, accuracy, avgTimeMs, questionsAnswered, attentionScore and rank, sorted weakest first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feedbackText</w:t>
            </w:r>
          </w:p>
        </w:tc>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5080"/>
            <w:shd w:fill="F2F5FB" w:color="auto" w:val="clear"/>
            <w:tcMar>
              <w:top w:type="dxa" w:w="70"/>
              <w:left w:type="dxa" w:w="110"/>
              <w:bottom w:type="dxa" w:w="70"/>
              <w:right w:type="dxa" w:w="110"/>
            </w:tcMar>
          </w:tcPr>
          <w:p>
            <w:pPr>
              <w:spacing w:after="0" w:line="250"/>
            </w:pPr>
            <w:r>
              <w:rPr>
                <w:b w:val="false"/>
                <w:bCs w:val="false"/>
                <w:sz w:val="18"/>
                <w:szCs w:val="18"/>
              </w:rPr>
              <w:t xml:space="preserve">Narrative phrasing of the ranking above; never determines the ranking</w:t>
            </w:r>
          </w:p>
        </w:tc>
      </w:tr>
      <w:tr>
        <w:tc>
          <w:tcPr>
            <w:tcW w:type="dxa" w:w="2359"/>
            <w:tcMar>
              <w:top w:type="dxa" w:w="70"/>
              <w:left w:type="dxa" w:w="110"/>
              <w:bottom w:type="dxa" w:w="70"/>
              <w:right w:type="dxa" w:w="110"/>
            </w:tcMar>
          </w:tcPr>
          <w:p>
            <w:pPr>
              <w:spacing w:after="0" w:line="250"/>
            </w:pPr>
            <w:r>
              <w:rPr>
                <w:b w:val="false"/>
                <w:bCs w:val="false"/>
                <w:sz w:val="18"/>
                <w:szCs w:val="18"/>
              </w:rPr>
              <w:t xml:space="preserve">generatedBy</w:t>
            </w:r>
          </w:p>
        </w:tc>
        <w:tc>
          <w:tcPr>
            <w:tcW w:type="dxa" w:w="1633"/>
            <w:tcMar>
              <w:top w:type="dxa" w:w="70"/>
              <w:left w:type="dxa" w:w="110"/>
              <w:bottom w:type="dxa" w:w="70"/>
              <w:right w:type="dxa" w:w="110"/>
            </w:tcMar>
          </w:tcPr>
          <w:p>
            <w:pPr>
              <w:spacing w:after="0" w:line="250"/>
            </w:pPr>
            <w:r>
              <w:rPr>
                <w:b w:val="false"/>
                <w:bCs w:val="false"/>
                <w:sz w:val="18"/>
                <w:szCs w:val="18"/>
              </w:rPr>
              <w:t xml:space="preserve">llm | template</w:t>
            </w:r>
          </w:p>
        </w:tc>
        <w:tc>
          <w:tcPr>
            <w:tcW w:type="dxa" w:w="5080"/>
            <w:tcMar>
              <w:top w:type="dxa" w:w="70"/>
              <w:left w:type="dxa" w:w="110"/>
              <w:bottom w:type="dxa" w:w="70"/>
              <w:right w:type="dxa" w:w="110"/>
            </w:tcMar>
          </w:tcPr>
          <w:p>
            <w:pPr>
              <w:spacing w:after="0" w:line="250"/>
            </w:pPr>
            <w:r>
              <w:rPr>
                <w:b w:val="false"/>
                <w:bCs w:val="false"/>
                <w:sz w:val="18"/>
                <w:szCs w:val="18"/>
              </w:rPr>
              <w:t xml:space="preserve">Surfaced in the interface so the reader knows which path produced the wording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marksAwarded, marksPossible</w:t>
            </w:r>
          </w:p>
        </w:tc>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number</w:t>
            </w:r>
          </w:p>
        </w:tc>
        <w:tc>
          <w:tcPr>
            <w:tcW w:type="dxa" w:w="5080"/>
            <w:shd w:fill="F2F5FB" w:color="auto" w:val="clear"/>
            <w:tcMar>
              <w:top w:type="dxa" w:w="70"/>
              <w:left w:type="dxa" w:w="110"/>
              <w:bottom w:type="dxa" w:w="70"/>
              <w:right w:type="dxa" w:w="110"/>
            </w:tcMar>
          </w:tcPr>
          <w:p>
            <w:pPr>
              <w:spacing w:after="0" w:line="250"/>
            </w:pPr>
            <w:r>
              <w:rPr>
                <w:b w:val="false"/>
                <w:bCs w:val="false"/>
                <w:sz w:val="18"/>
                <w:szCs w:val="18"/>
              </w:rPr>
              <w:t xml:space="preserve">Test-wide summary including partial credit on theory items</w:t>
            </w:r>
          </w:p>
        </w:tc>
      </w:tr>
    </w:tbl>
    <w:p>
      <w:pPr>
        <w:spacing w:after="170"/>
      </w:pPr>
    </w:p>
    <w:p>
      <w:pPr>
        <w:pStyle w:val="Heading3"/>
        <w:spacing w:after="100" w:before="200"/>
      </w:pPr>
      <w:r>
        <w:rPr>
          <w:b/>
          <w:bCs/>
          <w:sz w:val="22"/>
          <w:szCs w:val="22"/>
        </w:rPr>
        <w:t xml:space="preserve">A.5 Node API to Python services</w:t>
      </w:r>
    </w:p>
    <w:p>
      <w:pPr>
        <w:spacing w:after="130" w:line="276"/>
      </w:pPr>
      <w:r>
        <w:rPr>
          <w:sz w:val="21"/>
          <w:szCs w:val="21"/>
        </w:rPr>
        <w:t xml:space="preserve">Each Python service exposes a health endpoint that the hosting provider polls before routing traffic, and one task endpoint per operation. The API calls them over HTTP behind an explicit timeout and, on any failure, takes the corresponding fallback path in Section 3.3 rather than propagating an error to the client. No service is ever reachable directly from the browser; the API is the only gatekeeper.</w:t>
      </w:r>
    </w:p>
    <w:p>
      <w:r>
        <w:br w:type="page"/>
      </w:r>
    </w:p>
    <w:p>
      <w:pPr>
        <w:pStyle w:val="Heading1"/>
        <w:spacing w:after="170" w:before="340"/>
      </w:pPr>
      <w:r>
        <w:rPr>
          <w:b/>
          <w:bCs/>
          <w:color w:val="1F3864"/>
          <w:sz w:val="30"/>
          <w:szCs w:val="30"/>
        </w:rPr>
        <w:t xml:space="preserve">Appendix B — Reconciliation Log</w:t>
      </w:r>
    </w:p>
    <w:p>
      <w:pPr>
        <w:spacing w:after="130" w:line="276"/>
      </w:pPr>
      <w:r>
        <w:rPr>
          <w:sz w:val="21"/>
          <w:szCs w:val="21"/>
        </w:rPr>
        <w:t xml:space="preserve">Every discrepancy found across the four individual reports and the earlier consolidated draft, and how this revision resolves it. This log exists so a reader comparing this document against the individual reports can see that the differences are deliberate.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2359"/>
        <w:gridCol w:w="3992"/>
      </w:tblGrid>
      <w:tr>
        <w:trPr>
          <w:tblHeader/>
        </w:trPr>
        <w:tc>
          <w:tcPr>
            <w:tcW w:type="dxa" w:w="2722"/>
            <w:shd w:fill="D9E2F3" w:color="auto" w:val="clear"/>
            <w:tcMar>
              <w:top w:type="dxa" w:w="70"/>
              <w:left w:type="dxa" w:w="110"/>
              <w:bottom w:type="dxa" w:w="70"/>
              <w:right w:type="dxa" w:w="110"/>
            </w:tcMar>
          </w:tcPr>
          <w:p>
            <w:pPr>
              <w:spacing w:after="0" w:line="250"/>
            </w:pPr>
            <w:r>
              <w:rPr>
                <w:b/>
                <w:bCs/>
                <w:sz w:val="18"/>
                <w:szCs w:val="18"/>
              </w:rPr>
              <w:t xml:space="preserve">Discrepancy</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Where it appeared</w:t>
            </w:r>
          </w:p>
        </w:tc>
        <w:tc>
          <w:tcPr>
            <w:tcW w:type="dxa" w:w="3992"/>
            <w:shd w:fill="D9E2F3" w:color="auto" w:val="clear"/>
            <w:tcMar>
              <w:top w:type="dxa" w:w="70"/>
              <w:left w:type="dxa" w:w="110"/>
              <w:bottom w:type="dxa" w:w="70"/>
              <w:right w:type="dxa" w:w="110"/>
            </w:tcMar>
          </w:tcPr>
          <w:p>
            <w:pPr>
              <w:spacing w:after="0" w:line="250"/>
            </w:pPr>
            <w:r>
              <w:rPr>
                <w:b/>
                <w:bCs/>
                <w:sz w:val="18"/>
                <w:szCs w:val="18"/>
              </w:rPr>
              <w:t xml:space="preserve">Resolution in this revision</w:t>
            </w:r>
          </w:p>
        </w:tc>
      </w:tr>
      <w:tr>
        <w:tc>
          <w:tcPr>
            <w:tcW w:type="dxa" w:w="2722"/>
            <w:tcMar>
              <w:top w:type="dxa" w:w="70"/>
              <w:left w:type="dxa" w:w="110"/>
              <w:bottom w:type="dxa" w:w="70"/>
              <w:right w:type="dxa" w:w="110"/>
            </w:tcMar>
          </w:tcPr>
          <w:p>
            <w:pPr>
              <w:spacing w:after="0" w:line="250"/>
            </w:pPr>
            <w:r>
              <w:rPr>
                <w:b w:val="false"/>
                <w:bCs w:val="false"/>
                <w:sz w:val="18"/>
                <w:szCs w:val="18"/>
              </w:rPr>
              <w:t xml:space="preserve">Two incompatible workstream allocations. One set assigns Member 3 "test engine and adaptive intelligence" and Member 4 "proctoring and personalized feedback"; the other uses the CONTRIBUTING.md split</w:t>
            </w:r>
          </w:p>
        </w:tc>
        <w:tc>
          <w:tcPr>
            <w:tcW w:type="dxa" w:w="2359"/>
            <w:tcMar>
              <w:top w:type="dxa" w:w="70"/>
              <w:left w:type="dxa" w:w="110"/>
              <w:bottom w:type="dxa" w:w="70"/>
              <w:right w:type="dxa" w:w="110"/>
            </w:tcMar>
          </w:tcPr>
          <w:p>
            <w:pPr>
              <w:spacing w:after="0" w:line="250"/>
            </w:pPr>
            <w:r>
              <w:rPr>
                <w:b w:val="false"/>
                <w:bCs w:val="false"/>
                <w:sz w:val="18"/>
                <w:szCs w:val="18"/>
              </w:rPr>
              <w:t xml:space="preserve">Members 1 and 2's reports, Section 2 of each</w:t>
            </w:r>
          </w:p>
        </w:tc>
        <w:tc>
          <w:tcPr>
            <w:tcW w:type="dxa" w:w="3992"/>
            <w:tcMar>
              <w:top w:type="dxa" w:w="70"/>
              <w:left w:type="dxa" w:w="110"/>
              <w:bottom w:type="dxa" w:w="70"/>
              <w:right w:type="dxa" w:w="110"/>
            </w:tcMar>
          </w:tcPr>
          <w:p>
            <w:pPr>
              <w:spacing w:after="0" w:line="250"/>
            </w:pPr>
            <w:r>
              <w:rPr>
                <w:b w:val="false"/>
                <w:bCs w:val="false"/>
                <w:sz w:val="18"/>
                <w:szCs w:val="18"/>
              </w:rPr>
              <w:t xml:space="preserve">Section 2 states the CONTRIBUTING.md allocation authoritatively, matching the repository and two of the four reports. The individual reports should be corrected to match</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The feedback engine attributed to Member 4</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Members 1 and 2's reports; Section 2 of the earlier consolidated draft</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Corrected throughout: Member 3 owns the feedback engine, consistent with the implemented code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Deployment, CI/CD and scalability testing claimed as a secondary responsibility of Member 1, duplicating Member 4's entire workstream</w:t>
            </w:r>
          </w:p>
        </w:tc>
        <w:tc>
          <w:tcPr>
            <w:tcW w:type="dxa" w:w="2359"/>
            <w:tcMar>
              <w:top w:type="dxa" w:w="70"/>
              <w:left w:type="dxa" w:w="110"/>
              <w:bottom w:type="dxa" w:w="70"/>
              <w:right w:type="dxa" w:w="110"/>
            </w:tcMar>
          </w:tcPr>
          <w:p>
            <w:pPr>
              <w:spacing w:after="0" w:line="250"/>
            </w:pPr>
            <w:r>
              <w:rPr>
                <w:b w:val="false"/>
                <w:bCs w:val="false"/>
                <w:sz w:val="18"/>
                <w:szCs w:val="18"/>
              </w:rPr>
              <w:t xml:space="preserve">Member 1's report, Section 2</w:t>
            </w:r>
          </w:p>
        </w:tc>
        <w:tc>
          <w:tcPr>
            <w:tcW w:type="dxa" w:w="3992"/>
            <w:tcMar>
              <w:top w:type="dxa" w:w="70"/>
              <w:left w:type="dxa" w:w="110"/>
              <w:bottom w:type="dxa" w:w="70"/>
              <w:right w:type="dxa" w:w="110"/>
            </w:tcMar>
          </w:tcPr>
          <w:p>
            <w:pPr>
              <w:spacing w:after="0" w:line="250"/>
            </w:pPr>
            <w:r>
              <w:rPr>
                <w:b w:val="false"/>
                <w:bCs w:val="false"/>
                <w:sz w:val="18"/>
                <w:szCs w:val="18"/>
              </w:rPr>
              <w:t xml:space="preserve">Owned end to end by Member 4, noted in Section 2. Member 1 supplies the load profiles for scalability runs; Member 4 runs them against deployed containers</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The feedback engine described as fusing "correctness, response time, and expression signal"</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Earlier consolidated draft, Sections on Member 3</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The expression term is removed. The implemented formula uses correctness and response time only, matching Member 3's own report and the code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Consent-gated proctoring presented under an implementation overview alongside components marked built and verified</w:t>
            </w:r>
          </w:p>
        </w:tc>
        <w:tc>
          <w:tcPr>
            <w:tcW w:type="dxa" w:w="2359"/>
            <w:tcMar>
              <w:top w:type="dxa" w:w="70"/>
              <w:left w:type="dxa" w:w="110"/>
              <w:bottom w:type="dxa" w:w="70"/>
              <w:right w:type="dxa" w:w="110"/>
            </w:tcMar>
          </w:tcPr>
          <w:p>
            <w:pPr>
              <w:spacing w:after="0" w:line="250"/>
            </w:pPr>
            <w:r>
              <w:rPr>
                <w:b w:val="false"/>
                <w:bCs w:val="false"/>
                <w:sz w:val="18"/>
                <w:szCs w:val="18"/>
              </w:rPr>
              <w:t xml:space="preserve">Earlier consolidated draft</w:t>
            </w:r>
          </w:p>
        </w:tc>
        <w:tc>
          <w:tcPr>
            <w:tcW w:type="dxa" w:w="3992"/>
            <w:tcMar>
              <w:top w:type="dxa" w:w="70"/>
              <w:left w:type="dxa" w:w="110"/>
              <w:bottom w:type="dxa" w:w="70"/>
              <w:right w:type="dxa" w:w="110"/>
            </w:tcMar>
          </w:tcPr>
          <w:p>
            <w:pPr>
              <w:spacing w:after="0" w:line="250"/>
            </w:pPr>
            <w:r>
              <w:rPr>
                <w:b w:val="false"/>
                <w:bCs w:val="false"/>
                <w:sz w:val="18"/>
                <w:szCs w:val="18"/>
              </w:rPr>
              <w:t xml:space="preserve">Moved to Section 8 as future scope and excluded from all feasibility, cost and schedule claims</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Note summarisation named as a Member 1 deliverable but assessed nowhere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CONTRIBUTING.md and the earlier consolidated section title, against Member 1's report which omits it</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Retained as a Member 1 deliverable with a feasibility assessment in Section 6.1 and a row in the status table, marked planned</w:t>
            </w:r>
          </w:p>
        </w:tc>
      </w:tr>
      <w:tr>
        <w:tc>
          <w:tcPr>
            <w:tcW w:type="dxa" w:w="2722"/>
            <w:tcMar>
              <w:top w:type="dxa" w:w="70"/>
              <w:left w:type="dxa" w:w="110"/>
              <w:bottom w:type="dxa" w:w="70"/>
              <w:right w:type="dxa" w:w="110"/>
            </w:tcMar>
          </w:tcPr>
          <w:p>
            <w:pPr>
              <w:spacing w:after="0" w:line="250"/>
            </w:pPr>
            <w:r>
              <w:rPr>
                <w:b w:val="false"/>
                <w:bCs w:val="false"/>
                <w:sz w:val="18"/>
                <w:szCs w:val="18"/>
              </w:rPr>
              <w:t xml:space="preserve">A Python machine-learning stack specified against a Node.js repository and Node-only container plan</w:t>
            </w:r>
          </w:p>
        </w:tc>
        <w:tc>
          <w:tcPr>
            <w:tcW w:type="dxa" w:w="2359"/>
            <w:tcMar>
              <w:top w:type="dxa" w:w="70"/>
              <w:left w:type="dxa" w:w="110"/>
              <w:bottom w:type="dxa" w:w="70"/>
              <w:right w:type="dxa" w:w="110"/>
            </w:tcMar>
          </w:tcPr>
          <w:p>
            <w:pPr>
              <w:spacing w:after="0" w:line="250"/>
            </w:pPr>
            <w:r>
              <w:rPr>
                <w:b w:val="false"/>
                <w:bCs w:val="false"/>
                <w:sz w:val="18"/>
                <w:szCs w:val="18"/>
              </w:rPr>
              <w:t xml:space="preserve">Members 1 and 2's reports versus Member 3's code, CONTRIBUTING.md and Member 4's report</w:t>
            </w:r>
          </w:p>
        </w:tc>
        <w:tc>
          <w:tcPr>
            <w:tcW w:type="dxa" w:w="3992"/>
            <w:tcMar>
              <w:top w:type="dxa" w:w="70"/>
              <w:left w:type="dxa" w:w="110"/>
              <w:bottom w:type="dxa" w:w="70"/>
              <w:right w:type="dxa" w:w="110"/>
            </w:tcMar>
          </w:tcPr>
          <w:p>
            <w:pPr>
              <w:spacing w:after="0" w:line="250"/>
            </w:pPr>
            <w:r>
              <w:rPr>
                <w:b w:val="false"/>
                <w:bCs w:val="false"/>
                <w:sz w:val="18"/>
                <w:szCs w:val="18"/>
              </w:rPr>
              <w:t xml:space="preserve">Resolved in Section 3.1 as a hybrid split: Node API gateway, two Python services, with a documented fallback for each</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Service count given as five in one place and four in another</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Earlier consolidated draft, Section 1 versus Member 4's sections</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Section 3.2 states three deployable services plus a static client and managed data, with proctoring explicitly excluded</w:t>
            </w:r>
          </w:p>
        </w:tc>
      </w:tr>
      <w:tr>
        <w:tc>
          <w:tcPr>
            <w:tcW w:type="dxa" w:w="2722"/>
            <w:tcMar>
              <w:top w:type="dxa" w:w="70"/>
              <w:left w:type="dxa" w:w="110"/>
              <w:bottom w:type="dxa" w:w="70"/>
              <w:right w:type="dxa" w:w="110"/>
            </w:tcMar>
          </w:tcPr>
          <w:p>
            <w:pPr>
              <w:spacing w:after="0" w:line="250"/>
            </w:pPr>
            <w:r>
              <w:rPr>
                <w:b w:val="false"/>
                <w:bCs w:val="false"/>
                <w:sz w:val="18"/>
                <w:szCs w:val="18"/>
              </w:rPr>
              <w:t xml:space="preserve">Recommendations listed with a P2 item above three P1 items</w:t>
            </w:r>
          </w:p>
        </w:tc>
        <w:tc>
          <w:tcPr>
            <w:tcW w:type="dxa" w:w="2359"/>
            <w:tcMar>
              <w:top w:type="dxa" w:w="70"/>
              <w:left w:type="dxa" w:w="110"/>
              <w:bottom w:type="dxa" w:w="70"/>
              <w:right w:type="dxa" w:w="110"/>
            </w:tcMar>
          </w:tcPr>
          <w:p>
            <w:pPr>
              <w:spacing w:after="0" w:line="250"/>
            </w:pPr>
            <w:r>
              <w:rPr>
                <w:b w:val="false"/>
                <w:bCs w:val="false"/>
                <w:sz w:val="18"/>
                <w:szCs w:val="18"/>
              </w:rPr>
              <w:t xml:space="preserve">Earlier consolidated draft, Member 3's recommendations</w:t>
            </w:r>
          </w:p>
        </w:tc>
        <w:tc>
          <w:tcPr>
            <w:tcW w:type="dxa" w:w="3992"/>
            <w:tcMar>
              <w:top w:type="dxa" w:w="70"/>
              <w:left w:type="dxa" w:w="110"/>
              <w:bottom w:type="dxa" w:w="70"/>
              <w:right w:type="dxa" w:w="110"/>
            </w:tcMar>
          </w:tcPr>
          <w:p>
            <w:pPr>
              <w:spacing w:after="0" w:line="250"/>
            </w:pPr>
            <w:r>
              <w:rPr>
                <w:b w:val="false"/>
                <w:bCs w:val="false"/>
                <w:sz w:val="18"/>
                <w:szCs w:val="18"/>
              </w:rPr>
              <w:t xml:space="preserve">All recommendation lists in Section 6 are ordered by priority</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"Update per repo" used as a status value, and editorial instructions to the team left in the body text</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Members 1 and 2's reports; the earlier consolidated draft</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Replaced by the three-value status scheme in Section 5. No instruction to the team remains in the document body</w:t>
            </w:r>
          </w:p>
        </w:tc>
      </w:tr>
      <w:tr>
        <w:tc>
          <w:tcPr>
            <w:tcW w:type="dxa" w:w="2722"/>
            <w:tcMar>
              <w:top w:type="dxa" w:w="70"/>
              <w:left w:type="dxa" w:w="110"/>
              <w:bottom w:type="dxa" w:w="70"/>
              <w:right w:type="dxa" w:w="110"/>
            </w:tcMar>
          </w:tcPr>
          <w:p>
            <w:pPr>
              <w:spacing w:after="0" w:line="250"/>
            </w:pPr>
            <w:r>
              <w:rPr>
                <w:b w:val="false"/>
                <w:bCs w:val="false"/>
                <w:sz w:val="18"/>
                <w:szCs w:val="18"/>
              </w:rPr>
              <w:t xml:space="preserve">Placeholder author names on two cover pages</w:t>
            </w:r>
          </w:p>
        </w:tc>
        <w:tc>
          <w:tcPr>
            <w:tcW w:type="dxa" w:w="2359"/>
            <w:tcMar>
              <w:top w:type="dxa" w:w="70"/>
              <w:left w:type="dxa" w:w="110"/>
              <w:bottom w:type="dxa" w:w="70"/>
              <w:right w:type="dxa" w:w="110"/>
            </w:tcMar>
          </w:tcPr>
          <w:p>
            <w:pPr>
              <w:spacing w:after="0" w:line="250"/>
            </w:pPr>
            <w:r>
              <w:rPr>
                <w:b w:val="false"/>
                <w:bCs w:val="false"/>
                <w:sz w:val="18"/>
                <w:szCs w:val="18"/>
              </w:rPr>
              <w:t xml:space="preserve">Members 1 and 2's reports</w:t>
            </w:r>
          </w:p>
        </w:tc>
        <w:tc>
          <w:tcPr>
            <w:tcW w:type="dxa" w:w="3992"/>
            <w:tcMar>
              <w:top w:type="dxa" w:w="70"/>
              <w:left w:type="dxa" w:w="110"/>
              <w:bottom w:type="dxa" w:w="70"/>
              <w:right w:type="dxa" w:w="110"/>
            </w:tcMar>
          </w:tcPr>
          <w:p>
            <w:pPr>
              <w:spacing w:after="0" w:line="250"/>
            </w:pPr>
            <w:r>
              <w:rPr>
                <w:b w:val="false"/>
                <w:bCs w:val="false"/>
                <w:sz w:val="18"/>
                <w:szCs w:val="18"/>
              </w:rPr>
              <w:t xml:space="preserve">Not applicable to this consolidated report, which identifies members by workstream. The two individual reports still require correction before submission</w:t>
            </w:r>
          </w:p>
        </w:tc>
      </w:tr>
    </w:tbl>
    <w:p>
      <w:r>
        <w:br w:type="page"/>
      </w:r>
    </w:p>
    <w:p>
      <w:pPr>
        <w:pStyle w:val="Heading1"/>
        <w:spacing w:after="170" w:before="340"/>
      </w:pPr>
      <w:r>
        <w:rPr>
          <w:b/>
          <w:bCs/>
          <w:color w:val="1F3864"/>
          <w:sz w:val="30"/>
          <w:szCs w:val="30"/>
        </w:rPr>
        <w:t xml:space="preserve">11. References</w:t>
      </w:r>
    </w:p>
    <w:p>
      <w:pPr>
        <w:spacing w:after="130" w:line="276"/>
      </w:pPr>
      <w:r>
        <w:rPr>
          <w:sz w:val="21"/>
          <w:szCs w:val="21"/>
        </w:rPr>
        <w:t xml:space="preserve">Consolidated and de-duplicated from the four individual workstream reports. Each report's own bibliography remains the authoritative annotated source for its workstream.</w:t>
      </w:r>
    </w:p>
    <w:p>
      <w:pPr>
        <w:spacing w:after="110" w:line="260"/>
        <w:ind w:left="360" w:hanging="360"/>
      </w:pPr>
      <w:r>
        <w:rPr>
          <w:sz w:val="19"/>
          <w:szCs w:val="19"/>
        </w:rPr>
        <w:t xml:space="preserve">Bass, L., Weber, I., &amp; Zhu, L. (2015). DevOps: A Software Architect's Perspective. Addison-Wesley.</w:t>
      </w:r>
    </w:p>
    <w:p>
      <w:pPr>
        <w:spacing w:after="110" w:line="260"/>
        <w:ind w:left="360" w:hanging="360"/>
      </w:pPr>
      <w:r>
        <w:rPr>
          <w:sz w:val="19"/>
          <w:szCs w:val="19"/>
        </w:rPr>
        <w:t xml:space="preserve">Bast, H., &amp; Korzen, C. (2017). A benchmark and evaluation for text extraction from PDF. In Proceedings of JCDL 2017, pp. 99–108.</w:t>
      </w:r>
    </w:p>
    <w:p>
      <w:pPr>
        <w:spacing w:after="110" w:line="260"/>
        <w:ind w:left="360" w:hanging="360"/>
      </w:pPr>
      <w:r>
        <w:rPr>
          <w:sz w:val="19"/>
          <w:szCs w:val="19"/>
        </w:rPr>
        <w:t xml:space="preserve">Bitew, S. K., Deleu, J., Develder, C., &amp; Demeester, T. (2023). Distractor generation for multiple-choice questions with predictive prompting and large language models. In ECML PKDD 2023 Workshops, CCIS vol. 2134, pp. 48–63. Springer.</w:t>
      </w:r>
    </w:p>
    <w:p>
      <w:pPr>
        <w:spacing w:after="110" w:line="260"/>
        <w:ind w:left="360" w:hanging="360"/>
      </w:pPr>
      <w:r>
        <w:rPr>
          <w:sz w:val="19"/>
          <w:szCs w:val="19"/>
        </w:rPr>
        <w:t xml:space="preserve">Blondel, V. D., Guillaume, J.-L., Lambiotte, R., &amp; Lefebvre, E. (2008). Fast unfolding of communities in large networks. Journal of Statistical Mechanics: Theory and Experiment, 2008(10), P10008.</w:t>
      </w:r>
    </w:p>
    <w:p>
      <w:pPr>
        <w:spacing w:after="110" w:line="260"/>
        <w:ind w:left="360" w:hanging="360"/>
      </w:pPr>
      <w:r>
        <w:rPr>
          <w:sz w:val="19"/>
          <w:szCs w:val="19"/>
        </w:rPr>
        <w:t xml:space="preserve">Campos, R., Mangaravite, V., Pasquali, A., Jorge, A., Nunes, C., &amp; Jatowt, A. (2020). YAKE! Keyword extraction from single documents using multiple local features. Information Sciences, 509, 257–289.</w:t>
      </w:r>
    </w:p>
    <w:p>
      <w:pPr>
        <w:spacing w:after="110" w:line="260"/>
        <w:ind w:left="360" w:hanging="360"/>
      </w:pPr>
      <w:r>
        <w:rPr>
          <w:sz w:val="19"/>
          <w:szCs w:val="19"/>
        </w:rPr>
        <w:t xml:space="preserve">Corbett, A. T., &amp; Anderson, J. R. (1994). Knowledge tracing: Modeling the acquisition of procedural knowledge. User Modeling and User-Adapted Interaction, 4(4), 253–278.</w:t>
      </w:r>
    </w:p>
    <w:p>
      <w:pPr>
        <w:spacing w:after="110" w:line="260"/>
        <w:ind w:left="360" w:hanging="360"/>
      </w:pPr>
      <w:r>
        <w:rPr>
          <w:sz w:val="19"/>
          <w:szCs w:val="19"/>
        </w:rPr>
        <w:t xml:space="preserve">Decan, A., Mens, T., &amp; Constantinou, E. (2018). On the impact of security vulnerabilities in the npm package dependency network. In Proceedings of MSR 2018, pp. 181–191.</w:t>
      </w:r>
    </w:p>
    <w:p>
      <w:pPr>
        <w:spacing w:after="110" w:line="260"/>
        <w:ind w:left="360" w:hanging="360"/>
      </w:pPr>
      <w:r>
        <w:rPr>
          <w:sz w:val="19"/>
          <w:szCs w:val="19"/>
        </w:rPr>
        <w:t xml:space="preserve">Douze, M., Guzhva, A., Deng, C., Johnson, J., Szilvasy, G., Mazaré, P.-E., Lomeli, M., Hosseini, L., &amp; Jégou, H. (2024). The Faiss library. arXiv:2401.08281.</w:t>
      </w:r>
    </w:p>
    <w:p>
      <w:pPr>
        <w:spacing w:after="110" w:line="260"/>
        <w:ind w:left="360" w:hanging="360"/>
      </w:pPr>
      <w:r>
        <w:rPr>
          <w:sz w:val="19"/>
          <w:szCs w:val="19"/>
        </w:rPr>
        <w:t xml:space="preserve">Dragoni, N., Giallorenzo, S., Lluch Lafuente, A., Mazzara, M., Montesi, F., Mustafin, R., &amp; Safina, L. (2017). Microservices: Yesterday, today, and tomorrow. In Present and Ulterior Software Engineering, pp. 195–216. Springer.</w:t>
      </w:r>
    </w:p>
    <w:p>
      <w:pPr>
        <w:spacing w:after="110" w:line="260"/>
        <w:ind w:left="360" w:hanging="360"/>
      </w:pPr>
      <w:r>
        <w:rPr>
          <w:sz w:val="19"/>
          <w:szCs w:val="19"/>
        </w:rPr>
        <w:t xml:space="preserve">Du, X., Shao, J., &amp; Cardie, C. (2017). Learning to ask: Neural question generation for reading comprehension. In Proceedings of ACL 2017.</w:t>
      </w:r>
    </w:p>
    <w:p>
      <w:pPr>
        <w:spacing w:after="110" w:line="260"/>
        <w:ind w:left="360" w:hanging="360"/>
      </w:pPr>
      <w:r>
        <w:rPr>
          <w:sz w:val="19"/>
          <w:szCs w:val="19"/>
        </w:rPr>
        <w:t xml:space="preserve">Ferreira Mello, R., Pereira Junior, C., Rodrigues, L., Dwan Pereira, F., Cabral, L., Costa, N., Ramalho, G., &amp; Gašević, D. (2025). Automatic short answer grading in the LLM era: Does GPT-4 with prompt engineering beat traditional models? In Proceedings of LAK 2025.</w:t>
      </w:r>
    </w:p>
    <w:p>
      <w:pPr>
        <w:spacing w:after="110" w:line="260"/>
        <w:ind w:left="360" w:hanging="360"/>
      </w:pPr>
      <w:r>
        <w:rPr>
          <w:sz w:val="19"/>
          <w:szCs w:val="19"/>
        </w:rPr>
        <w:t xml:space="preserve">Fortunato, S. (2010). Community detection in graphs. Physics Reports, 486(3–5), 75–174.</w:t>
      </w:r>
    </w:p>
    <w:p>
      <w:pPr>
        <w:spacing w:after="110" w:line="260"/>
        <w:ind w:left="360" w:hanging="360"/>
      </w:pPr>
      <w:r>
        <w:rPr>
          <w:sz w:val="19"/>
          <w:szCs w:val="19"/>
        </w:rPr>
        <w:t xml:space="preserve">Franz, M., Lopes, C. T., Huck, G., Dong, Y., Sumer, O., &amp; Bader, G. D. (2016). Cytoscape.js: A graph theory library for visualisation and analysis. Bioinformatics, 32(2), 309–311.</w:t>
      </w:r>
    </w:p>
    <w:p>
      <w:pPr>
        <w:spacing w:after="110" w:line="260"/>
        <w:ind w:left="360" w:hanging="360"/>
      </w:pPr>
      <w:r>
        <w:rPr>
          <w:sz w:val="19"/>
          <w:szCs w:val="19"/>
        </w:rPr>
        <w:t xml:space="preserve">Gao, Y., Xiong, Y., Gao, X., Jia, K., Pan, J., Bi, Y., Dai, Y., Sun, J., Wang, M., &amp; Wang, H. (2023). Retrieval-augmented generation for large language models: A survey. arXiv:2312.10997.</w:t>
      </w:r>
    </w:p>
    <w:p>
      <w:pPr>
        <w:spacing w:after="110" w:line="260"/>
        <w:ind w:left="360" w:hanging="360"/>
      </w:pPr>
      <w:r>
        <w:rPr>
          <w:sz w:val="19"/>
          <w:szCs w:val="19"/>
        </w:rPr>
        <w:t xml:space="preserve">Ghosh, A., Heffernan, N., &amp; Lan, A. S. (2020). Context-aware attentive knowledge tracing. In Proceedings of KDD 2020.</w:t>
      </w:r>
    </w:p>
    <w:p>
      <w:pPr>
        <w:spacing w:after="110" w:line="260"/>
        <w:ind w:left="360" w:hanging="360"/>
      </w:pPr>
      <w:r>
        <w:rPr>
          <w:sz w:val="19"/>
          <w:szCs w:val="19"/>
        </w:rPr>
        <w:t xml:space="preserve">Hegghammer, T. (2022). OCR with Tesseract, Amazon Textract, and Google Document AI: A benchmarking experiment. Journal of Computational Social Science, 5, 861–882.</w:t>
      </w:r>
    </w:p>
    <w:p>
      <w:pPr>
        <w:spacing w:after="110" w:line="260"/>
        <w:ind w:left="360" w:hanging="360"/>
      </w:pPr>
      <w:r>
        <w:rPr>
          <w:sz w:val="19"/>
          <w:szCs w:val="19"/>
        </w:rPr>
        <w:t xml:space="preserve">Henkel, O., Boxer, A., Hills, L., &amp; Roberts, B. (2024). Can large language models make the grade? An empirical study evaluating LLMs' ability to mark short answer questions in K-12 education. arXiv:2405.02985.</w:t>
      </w:r>
    </w:p>
    <w:p>
      <w:pPr>
        <w:spacing w:after="110" w:line="260"/>
        <w:ind w:left="360" w:hanging="360"/>
      </w:pPr>
      <w:r>
        <w:rPr>
          <w:sz w:val="19"/>
          <w:szCs w:val="19"/>
        </w:rPr>
        <w:t xml:space="preserve">Hogan, A., Blomqvist, E., Cochez, M., et al. (2021). Knowledge graphs. ACM Computing Surveys, 54(4), Article 71.</w:t>
      </w:r>
    </w:p>
    <w:p>
      <w:pPr>
        <w:spacing w:after="110" w:line="260"/>
        <w:ind w:left="360" w:hanging="360"/>
      </w:pPr>
      <w:r>
        <w:rPr>
          <w:sz w:val="19"/>
          <w:szCs w:val="19"/>
        </w:rPr>
        <w:t xml:space="preserve">Huang, L., Yu, W., Ma, W., et al. (2023). A survey on hallucination in large language models: Principles, taxonomy, challenges, and open questions. ACM Transactions on Information Systems.</w:t>
      </w:r>
    </w:p>
    <w:p>
      <w:pPr>
        <w:spacing w:after="110" w:line="260"/>
        <w:ind w:left="360" w:hanging="360"/>
      </w:pPr>
      <w:r>
        <w:rPr>
          <w:sz w:val="19"/>
          <w:szCs w:val="19"/>
        </w:rPr>
        <w:t xml:space="preserve">Humble, J., &amp; Farley, D. (2010). Continuous Delivery: Reliable Software Releases through Build, Test, and Deployment Automation. Addison-Wesley.</w:t>
      </w:r>
    </w:p>
    <w:p>
      <w:pPr>
        <w:spacing w:after="110" w:line="260"/>
        <w:ind w:left="360" w:hanging="360"/>
      </w:pPr>
      <w:r>
        <w:rPr>
          <w:sz w:val="19"/>
          <w:szCs w:val="19"/>
        </w:rPr>
        <w:t xml:space="preserve">Humeau, S., Shuster, K., Lachaux, M.-A., &amp; Weston, J. (2020). Poly-encoders: Architectures and pre-training strategies for fast and accurate multi-sentence scoring. In ICLR 2020.</w:t>
      </w:r>
    </w:p>
    <w:p>
      <w:pPr>
        <w:spacing w:after="110" w:line="260"/>
        <w:ind w:left="360" w:hanging="360"/>
      </w:pPr>
      <w:r>
        <w:rPr>
          <w:sz w:val="19"/>
          <w:szCs w:val="19"/>
        </w:rPr>
        <w:t xml:space="preserve">Jiang, Z. M., &amp; Hassan, A. E. (2015). A survey on load testing of large-scale software systems. IEEE Transactions on Software Engineering, 41(11), 1091–1118.</w:t>
      </w:r>
    </w:p>
    <w:p>
      <w:pPr>
        <w:spacing w:after="110" w:line="260"/>
        <w:ind w:left="360" w:hanging="360"/>
      </w:pPr>
      <w:r>
        <w:rPr>
          <w:sz w:val="19"/>
          <w:szCs w:val="19"/>
        </w:rPr>
        <w:t xml:space="preserve">Johnson, J., Douze, M., &amp; Jégou, H. (2021). Billion-scale similarity search with GPUs. IEEE Transactions on Big Data, 7(3), 535–547.</w:t>
      </w:r>
    </w:p>
    <w:p>
      <w:pPr>
        <w:spacing w:after="110" w:line="260"/>
        <w:ind w:left="360" w:hanging="360"/>
      </w:pPr>
      <w:r>
        <w:rPr>
          <w:sz w:val="19"/>
          <w:szCs w:val="19"/>
        </w:rPr>
        <w:t xml:space="preserve">Kurdi, G., Leo, J., Parsia, B., Sattler, U., &amp; Al-Emari, S. (2020). A systematic review of automatic question generation for educational purposes. International Journal of Artificial Intelligence in Education, 30(1), 121–204.</w:t>
      </w:r>
    </w:p>
    <w:p>
      <w:pPr>
        <w:spacing w:after="110" w:line="260"/>
        <w:ind w:left="360" w:hanging="360"/>
      </w:pPr>
      <w:r>
        <w:rPr>
          <w:sz w:val="19"/>
          <w:szCs w:val="19"/>
        </w:rPr>
        <w:t xml:space="preserve">Lee, J., Smith, D., Woodhead, S., &amp; Lan, A. (2024). Math multiple choice question generation via human–large language model collaboration. In Proceedings of EDM 2024.</w:t>
      </w:r>
    </w:p>
    <w:p>
      <w:pPr>
        <w:spacing w:after="110" w:line="260"/>
        <w:ind w:left="360" w:hanging="360"/>
      </w:pPr>
      <w:r>
        <w:rPr>
          <w:sz w:val="19"/>
          <w:szCs w:val="19"/>
        </w:rPr>
        <w:t xml:space="preserve">Lesk, M. (1986). Automatic sense disambiguation using machine readable dictionaries. In Proceedings of SIGDOC 1986, pp. 24–26.</w:t>
      </w:r>
    </w:p>
    <w:p>
      <w:pPr>
        <w:spacing w:after="110" w:line="260"/>
        <w:ind w:left="360" w:hanging="360"/>
      </w:pPr>
      <w:r>
        <w:rPr>
          <w:sz w:val="19"/>
          <w:szCs w:val="19"/>
        </w:rPr>
        <w:t xml:space="preserve">Lewis, P., Perez, E., Piktus, A., et al. (2020). Retrieval-augmented generation for knowledge-intensive NLP tasks. In NeurIPS 2020.</w:t>
      </w:r>
    </w:p>
    <w:p>
      <w:pPr>
        <w:spacing w:after="110" w:line="260"/>
        <w:ind w:left="360" w:hanging="360"/>
      </w:pPr>
      <w:r>
        <w:rPr>
          <w:sz w:val="19"/>
          <w:szCs w:val="19"/>
        </w:rPr>
        <w:t xml:space="preserve">Li, M., Lv, T., Chen, J., et al. (2023). TrOCR: Transformer-based optical character recognition with pre-trained models. In Proceedings of AAAI 2023, 37, 13094–13102.</w:t>
      </w:r>
    </w:p>
    <w:p>
      <w:pPr>
        <w:spacing w:after="110" w:line="260"/>
        <w:ind w:left="360" w:hanging="360"/>
      </w:pPr>
      <w:r>
        <w:rPr>
          <w:sz w:val="19"/>
          <w:szCs w:val="19"/>
        </w:rPr>
        <w:t xml:space="preserve">Liu, N. F., Lin, K., Hewitt, J., et al. (2024). Lost in the middle: How language models use long contexts. Transactions of the ACL, 12, 157–173.</w:t>
      </w:r>
    </w:p>
    <w:p>
      <w:pPr>
        <w:spacing w:after="110" w:line="260"/>
        <w:ind w:left="360" w:hanging="360"/>
      </w:pPr>
      <w:r>
        <w:rPr>
          <w:sz w:val="19"/>
          <w:szCs w:val="19"/>
        </w:rPr>
        <w:t xml:space="preserve">Lord, F. M. (1980). Applications of Item Response Theory to Practical Testing Problems. Lawrence Erlbaum Associates.</w:t>
      </w:r>
    </w:p>
    <w:p>
      <w:pPr>
        <w:spacing w:after="110" w:line="260"/>
        <w:ind w:left="360" w:hanging="360"/>
      </w:pPr>
      <w:r>
        <w:rPr>
          <w:sz w:val="19"/>
          <w:szCs w:val="19"/>
        </w:rPr>
        <w:t xml:space="preserve">Loureiro, D., &amp; Jorge, A. (2019). Language modelling makes sense: Propagating representations through WordNet for full-coverage word sense disambiguation. In Proceedings of ACL 2019.</w:t>
      </w:r>
    </w:p>
    <w:p>
      <w:pPr>
        <w:spacing w:after="110" w:line="260"/>
        <w:ind w:left="360" w:hanging="360"/>
      </w:pPr>
      <w:r>
        <w:rPr>
          <w:sz w:val="19"/>
          <w:szCs w:val="19"/>
        </w:rPr>
        <w:t xml:space="preserve">Manakul, P., Liusie, A., &amp; Gales, M. J. F. (2023). SelfCheckGPT: Zero-resource black-box hallucination detection for generative large language models. In Proceedings of EMNLP 2023.</w:t>
      </w:r>
    </w:p>
    <w:p>
      <w:pPr>
        <w:spacing w:after="110" w:line="260"/>
        <w:ind w:left="360" w:hanging="360"/>
      </w:pPr>
      <w:r>
        <w:rPr>
          <w:sz w:val="19"/>
          <w:szCs w:val="19"/>
        </w:rPr>
        <w:t xml:space="preserve">Meli, M., McNiece, M. R., &amp; Reaves, B. (2019). How bad can it git? Characterizing secret leakage in public GitHub repositories. In NDSS 2019.</w:t>
      </w:r>
    </w:p>
    <w:p>
      <w:pPr>
        <w:spacing w:after="110" w:line="260"/>
        <w:ind w:left="360" w:hanging="360"/>
      </w:pPr>
      <w:r>
        <w:rPr>
          <w:sz w:val="19"/>
          <w:szCs w:val="19"/>
        </w:rPr>
        <w:t xml:space="preserve">Merkel, D. (2014). Docker: Lightweight Linux containers for consistent development and deployment. Linux Journal, 2014(239).</w:t>
      </w:r>
    </w:p>
    <w:p>
      <w:pPr>
        <w:spacing w:after="110" w:line="260"/>
        <w:ind w:left="360" w:hanging="360"/>
      </w:pPr>
      <w:r>
        <w:rPr>
          <w:sz w:val="19"/>
          <w:szCs w:val="19"/>
        </w:rPr>
        <w:t xml:space="preserve">Mihalcea, R., &amp; Tarau, P. (2004). TextRank: Bringing order into texts. In Proceedings of EMNLP 2004.</w:t>
      </w:r>
    </w:p>
    <w:p>
      <w:pPr>
        <w:spacing w:after="110" w:line="260"/>
        <w:ind w:left="360" w:hanging="360"/>
      </w:pPr>
      <w:r>
        <w:rPr>
          <w:sz w:val="19"/>
          <w:szCs w:val="19"/>
        </w:rPr>
        <w:t xml:space="preserve">Min, S., Krishna, K., Lyu, X., et al. (2023). FActScore: Fine-grained atomic evaluation of factual precision in long form text generation. In Proceedings of EMNLP 2023.</w:t>
      </w:r>
    </w:p>
    <w:p>
      <w:pPr>
        <w:spacing w:after="110" w:line="260"/>
        <w:ind w:left="360" w:hanging="360"/>
      </w:pPr>
      <w:r>
        <w:rPr>
          <w:sz w:val="19"/>
          <w:szCs w:val="19"/>
        </w:rPr>
        <w:t xml:space="preserve">Mohler, M., &amp; Mihalcea, R. (2009). Text-to-text semantic similarity for automatic short answer grading. In Proceedings of EACL 2009, pp. 567–575.</w:t>
      </w:r>
    </w:p>
    <w:p>
      <w:pPr>
        <w:spacing w:after="110" w:line="260"/>
        <w:ind w:left="360" w:hanging="360"/>
      </w:pPr>
      <w:r>
        <w:rPr>
          <w:sz w:val="19"/>
          <w:szCs w:val="19"/>
        </w:rPr>
        <w:t xml:space="preserve">Muennighoff, N., Tazi, N., Magne, L., &amp; Reimers, N. (2023). MTEB: Massive text embedding benchmark. In Proceedings of EACL 2023.</w:t>
      </w:r>
    </w:p>
    <w:p>
      <w:pPr>
        <w:spacing w:after="110" w:line="260"/>
        <w:ind w:left="360" w:hanging="360"/>
      </w:pPr>
      <w:r>
        <w:rPr>
          <w:sz w:val="19"/>
          <w:szCs w:val="19"/>
        </w:rPr>
        <w:t xml:space="preserve">Navigli, R. (2009). Word sense disambiguation: A survey. ACM Computing Surveys, 41(2), Article 10.</w:t>
      </w:r>
    </w:p>
    <w:p>
      <w:pPr>
        <w:spacing w:after="110" w:line="260"/>
        <w:ind w:left="360" w:hanging="360"/>
      </w:pPr>
      <w:r>
        <w:rPr>
          <w:sz w:val="19"/>
          <w:szCs w:val="19"/>
        </w:rPr>
        <w:t xml:space="preserve">Nesbit, J. C., &amp; Adesope, O. O. (2006). Learning with concept and knowledge maps: A meta-analysis. Review of Educational Research, 76(3), 413–448.</w:t>
      </w:r>
    </w:p>
    <w:p>
      <w:pPr>
        <w:spacing w:after="110" w:line="260"/>
        <w:ind w:left="360" w:hanging="360"/>
      </w:pPr>
      <w:r>
        <w:rPr>
          <w:sz w:val="19"/>
          <w:szCs w:val="19"/>
        </w:rPr>
        <w:t xml:space="preserve">Niculescu-Mizil, A., &amp; Caruana, R. (2005). Predicting good probabilities with supervised learning. In Proceedings of ICML 2005, pp. 625–632.</w:t>
      </w:r>
    </w:p>
    <w:p>
      <w:pPr>
        <w:spacing w:after="110" w:line="260"/>
        <w:ind w:left="360" w:hanging="360"/>
      </w:pPr>
      <w:r>
        <w:rPr>
          <w:sz w:val="19"/>
          <w:szCs w:val="19"/>
        </w:rPr>
        <w:t xml:space="preserve">Nogueira, R., &amp; Cho, K. (2019). Passage re-ranking with BERT. arXiv:1901.04085.</w:t>
      </w:r>
    </w:p>
    <w:p>
      <w:pPr>
        <w:spacing w:after="110" w:line="260"/>
        <w:ind w:left="360" w:hanging="360"/>
      </w:pPr>
      <w:r>
        <w:rPr>
          <w:sz w:val="19"/>
          <w:szCs w:val="19"/>
        </w:rPr>
        <w:t xml:space="preserve">Novak, J. D., &amp; Cañas, A. J. (2008). The theory underlying concept maps and how to construct and use them. IHMC Technical Report.</w:t>
      </w:r>
    </w:p>
    <w:p>
      <w:pPr>
        <w:spacing w:after="110" w:line="260"/>
        <w:ind w:left="360" w:hanging="360"/>
      </w:pPr>
      <w:r>
        <w:rPr>
          <w:sz w:val="19"/>
          <w:szCs w:val="19"/>
        </w:rPr>
        <w:t xml:space="preserve">Nwafor, C. A., &amp; Onyenwe, I. E. (2021). An automated multiple-choice question generation using natural language processing techniques. International Journal on Natural Language Computing, 10(2).</w:t>
      </w:r>
    </w:p>
    <w:p>
      <w:pPr>
        <w:spacing w:after="110" w:line="260"/>
        <w:ind w:left="360" w:hanging="360"/>
      </w:pPr>
      <w:r>
        <w:rPr>
          <w:sz w:val="19"/>
          <w:szCs w:val="19"/>
        </w:rPr>
        <w:t xml:space="preserve">Otsu, N. (1979). A threshold selection method from gray-level histograms. IEEE Transactions on Systems, Man, and Cybernetics, 9(1), 62–66.</w:t>
      </w:r>
    </w:p>
    <w:p>
      <w:pPr>
        <w:spacing w:after="110" w:line="260"/>
        <w:ind w:left="360" w:hanging="360"/>
      </w:pPr>
      <w:r>
        <w:rPr>
          <w:sz w:val="19"/>
          <w:szCs w:val="19"/>
        </w:rPr>
        <w:t xml:space="preserve">Pandey, S., &amp; Karypis, G. (2019). A self-attentive model for knowledge tracing. In Proceedings of EDM 2019.</w:t>
      </w:r>
    </w:p>
    <w:p>
      <w:pPr>
        <w:spacing w:after="110" w:line="260"/>
        <w:ind w:left="360" w:hanging="360"/>
      </w:pPr>
      <w:r>
        <w:rPr>
          <w:sz w:val="19"/>
          <w:szCs w:val="19"/>
        </w:rPr>
        <w:t xml:space="preserve">Piech, C., Bassen, J., Huang, J., et al. (2015). Deep knowledge tracing. In NeurIPS 2015.</w:t>
      </w:r>
    </w:p>
    <w:p>
      <w:pPr>
        <w:spacing w:after="110" w:line="260"/>
        <w:ind w:left="360" w:hanging="360"/>
      </w:pPr>
      <w:r>
        <w:rPr>
          <w:sz w:val="19"/>
          <w:szCs w:val="19"/>
        </w:rPr>
        <w:t xml:space="preserve">Platt, J. (1999). Probabilistic outputs for support vector machines and comparisons to regularized likelihood methods. In Advances in Large Margin Classifiers, pp. 61–74. MIT Press.</w:t>
      </w:r>
    </w:p>
    <w:p>
      <w:pPr>
        <w:spacing w:after="110" w:line="260"/>
        <w:ind w:left="360" w:hanging="360"/>
      </w:pPr>
      <w:r>
        <w:rPr>
          <w:sz w:val="19"/>
          <w:szCs w:val="19"/>
        </w:rPr>
        <w:t xml:space="preserve">Qiu, Z., Wu, X., &amp; Fan, W. (2020). Automatic distractor generation for multiple choice questions in standard tests. In Proceedings of COLING 2020, pp. 2096–2106.</w:t>
      </w:r>
    </w:p>
    <w:p>
      <w:pPr>
        <w:spacing w:after="110" w:line="260"/>
        <w:ind w:left="360" w:hanging="360"/>
      </w:pPr>
      <w:r>
        <w:rPr>
          <w:sz w:val="19"/>
          <w:szCs w:val="19"/>
        </w:rPr>
        <w:t xml:space="preserve">Reddig, J. M., Arora, A., &amp; MacLellan, C. J. (2025). Generating in-context, personalized feedback for intelligent tutors with large language models. International Journal of Artificial Intelligence in Education.</w:t>
      </w:r>
    </w:p>
    <w:p>
      <w:pPr>
        <w:spacing w:after="110" w:line="260"/>
        <w:ind w:left="360" w:hanging="360"/>
      </w:pPr>
      <w:r>
        <w:rPr>
          <w:sz w:val="19"/>
          <w:szCs w:val="19"/>
        </w:rPr>
        <w:t xml:space="preserve">Reimers, N., &amp; Gurevych, I. (2019). Sentence-BERT: Sentence embeddings using Siamese BERT-networks. In Proceedings of EMNLP-IJCNLP 2019.</w:t>
      </w:r>
    </w:p>
    <w:p>
      <w:pPr>
        <w:spacing w:after="110" w:line="260"/>
        <w:ind w:left="360" w:hanging="360"/>
      </w:pPr>
      <w:r>
        <w:rPr>
          <w:sz w:val="19"/>
          <w:szCs w:val="19"/>
        </w:rPr>
        <w:t xml:space="preserve">Rodrigues, L., Xavier, C., Costa, N., Gašević, D., &amp; Ferreira Mello, R. (2025). Is GPT-4 fair? An empirical analysis in automatic short answer grading. Computers and Education: Artificial Intelligence.</w:t>
      </w:r>
    </w:p>
    <w:p>
      <w:pPr>
        <w:spacing w:after="110" w:line="260"/>
        <w:ind w:left="360" w:hanging="360"/>
      </w:pPr>
      <w:r>
        <w:rPr>
          <w:sz w:val="19"/>
          <w:szCs w:val="19"/>
        </w:rPr>
        <w:t xml:space="preserve">Salton, G., &amp; Buckley, C. (1988). Term-weighting approaches in automatic text retrieval. Information Processing &amp; Management, 24(5), 513–523.</w:t>
      </w:r>
    </w:p>
    <w:p>
      <w:pPr>
        <w:spacing w:after="110" w:line="260"/>
        <w:ind w:left="360" w:hanging="360"/>
      </w:pPr>
      <w:r>
        <w:rPr>
          <w:sz w:val="19"/>
          <w:szCs w:val="19"/>
        </w:rPr>
        <w:t xml:space="preserve">Sauvola, J., &amp; Pietikäinen, M. (2000). Adaptive document image binarization. Pattern Recognition, 33(2), 225–236.</w:t>
      </w:r>
    </w:p>
    <w:p>
      <w:pPr>
        <w:spacing w:after="110" w:line="260"/>
        <w:ind w:left="360" w:hanging="360"/>
      </w:pPr>
      <w:r>
        <w:rPr>
          <w:sz w:val="19"/>
          <w:szCs w:val="19"/>
        </w:rPr>
        <w:t xml:space="preserve">Settles, B. (2009). Active learning literature survey (Computer Sciences Technical Report 1648). University of Wisconsin–Madison.</w:t>
      </w:r>
    </w:p>
    <w:p>
      <w:pPr>
        <w:spacing w:after="110" w:line="260"/>
        <w:ind w:left="360" w:hanging="360"/>
      </w:pPr>
      <w:r>
        <w:rPr>
          <w:sz w:val="19"/>
          <w:szCs w:val="19"/>
        </w:rPr>
        <w:t xml:space="preserve">Shahin, M., Ali Babar, M., &amp; Zhu, L. (2017). Continuous integration, delivery and deployment: A systematic review on approaches, tools, challenges and practices. IEEE Access, 5, 3909–3943.</w:t>
      </w:r>
    </w:p>
    <w:p>
      <w:pPr>
        <w:spacing w:after="110" w:line="260"/>
        <w:ind w:left="360" w:hanging="360"/>
      </w:pPr>
      <w:r>
        <w:rPr>
          <w:sz w:val="19"/>
          <w:szCs w:val="19"/>
        </w:rPr>
        <w:t xml:space="preserve">Shute, V. J. (2008). Focus on formative feedback. Review of Educational Research, 78(1), 153–189.</w:t>
      </w:r>
    </w:p>
    <w:p>
      <w:pPr>
        <w:spacing w:after="110" w:line="260"/>
        <w:ind w:left="360" w:hanging="360"/>
      </w:pPr>
      <w:r>
        <w:rPr>
          <w:sz w:val="19"/>
          <w:szCs w:val="19"/>
        </w:rPr>
        <w:t xml:space="preserve">Smith, R. (2007). An overview of the Tesseract OCR engine. In Proceedings of ICDAR 2007, pp. 629–633.</w:t>
      </w:r>
    </w:p>
    <w:p>
      <w:pPr>
        <w:spacing w:after="110" w:line="260"/>
        <w:ind w:left="360" w:hanging="360"/>
      </w:pPr>
      <w:r>
        <w:rPr>
          <w:sz w:val="19"/>
          <w:szCs w:val="19"/>
        </w:rPr>
        <w:t xml:space="preserve">Traag, V. A., Waltman, L., &amp; van Eck, N. J. (2019). From Louvain to Leiden: Guaranteeing well-connected communities. Scientific Reports, 9, 5233.</w:t>
      </w:r>
    </w:p>
    <w:p>
      <w:pPr>
        <w:spacing w:after="110" w:line="260"/>
        <w:ind w:left="360" w:hanging="360"/>
      </w:pPr>
      <w:r>
        <w:rPr>
          <w:sz w:val="19"/>
          <w:szCs w:val="19"/>
        </w:rPr>
        <w:t xml:space="preserve">van der Linden, W. J., &amp; Glas, C. A. W. (Eds.). (2000). Computerized Adaptive Testing: Theory and Practice. Springer/Kluwer.</w:t>
      </w:r>
    </w:p>
    <w:p>
      <w:pPr>
        <w:spacing w:after="110" w:line="260"/>
        <w:ind w:left="360" w:hanging="360"/>
      </w:pPr>
      <w:r>
        <w:rPr>
          <w:sz w:val="19"/>
          <w:szCs w:val="19"/>
        </w:rPr>
        <w:t xml:space="preserve">VanLehn, K. (2011). The relative effectiveness of human tutoring, intelligent tutoring systems, and other tutoring systems. Educational Psychologist, 46(4), 197–221.</w:t>
      </w:r>
    </w:p>
    <w:p>
      <w:pPr>
        <w:spacing w:after="110" w:line="260"/>
        <w:ind w:left="360" w:hanging="360"/>
      </w:pPr>
      <w:r>
        <w:rPr>
          <w:sz w:val="19"/>
          <w:szCs w:val="19"/>
        </w:rPr>
        <w:t xml:space="preserve">Wang, W., Wei, F., Dong, L., Bao, H., Yang, N., &amp; Zhou, M. (2020). MiniLM: Deep self-attention distillation for task-agnostic compression of pre-trained transformers. In NeurIPS 2020.</w:t>
      </w:r>
    </w:p>
    <w:p>
      <w:pPr>
        <w:spacing w:after="110" w:line="260"/>
        <w:ind w:left="360" w:hanging="360"/>
      </w:pPr>
      <w:r>
        <w:rPr>
          <w:sz w:val="19"/>
          <w:szCs w:val="19"/>
        </w:rPr>
        <w:t xml:space="preserve">Weiss, D. J. (1982). Improving measurement quality and efficiency with adaptive testing. Applied Psychological Measurement, 6(4), 473–492.</w:t>
      </w:r>
    </w:p>
    <w:p>
      <w:pPr>
        <w:spacing w:after="110" w:line="260"/>
        <w:ind w:left="360" w:hanging="360"/>
      </w:pPr>
      <w:r>
        <w:rPr>
          <w:sz w:val="19"/>
          <w:szCs w:val="19"/>
        </w:rPr>
        <w:t xml:space="preserve">Wiggins, A. (2011). The Twelve-Factor App. https://12factor.net</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Mind Atlas — Consolidated Feasibility Report (Final)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Atlas — Consolidated Feasibility Report (Final)</dc:title>
  <dc:creator>Mind Atlas capstone team</dc:creator>
  <dc:description>Consolidated feasibility report across all four Mind Atlas workstreams</dc:description>
  <cp:lastModifiedBy>Un-named</cp:lastModifiedBy>
  <cp:revision>1</cp:revision>
  <dcterms:created xsi:type="dcterms:W3CDTF">2026-09-19T07:10:14.141Z</dcterms:created>
  <dcterms:modified xsi:type="dcterms:W3CDTF">2026-09-19T07:10:14.141Z</dcterms:modified>
</cp:coreProperties>
</file>

<file path=docProps/custom.xml><?xml version="1.0" encoding="utf-8"?>
<Properties xmlns="http://schemas.openxmlformats.org/officeDocument/2006/custom-properties" xmlns:vt="http://schemas.openxmlformats.org/officeDocument/2006/docPropsVTypes"/>
</file>