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496"/>
          <w:sz w:val="40"/>
          <w:szCs w:val="40"/>
        </w:rPr>
        <w:t xml:space="preserve">Superstore Sales — Forecasting &amp; Demand Analysis</w:t>
      </w:r>
    </w:p>
    <w:p>
      <w:pPr>
        <w:spacing w:after="200"/>
      </w:pPr>
      <w:r>
        <w:rPr>
          <w:i/>
          <w:iCs/>
          <w:color w:val="666666"/>
          <w:sz w:val="20"/>
          <w:szCs w:val="20"/>
        </w:rPr>
        <w:t xml:space="preserve">Prepared for: Head of Supply Chain &amp; CFO   |   Prepared by: Data Analytics Team   |   July 2026</w:t>
      </w:r>
    </w:p>
    <w:p>
      <w:pPr>
        <w:pBdr>
          <w:bottom w:val="single" w:color="CCCCCC" w:sz="6"/>
        </w:pBdr>
        <w:spacing w:after="200"/>
      </w:pPr>
    </w:p>
    <w:p>
      <w:pPr>
        <w:pStyle w:val="Heading1"/>
        <w:spacing w:after="120" w:before="200"/>
      </w:pPr>
      <w:r>
        <w:t xml:space="preserve">Executive Summary</w:t>
      </w:r>
    </w:p>
    <w:p>
      <w:pPr>
        <w:spacing w:after="120"/>
      </w:pPr>
      <w:r>
        <w:t xml:space="preserve">Our historical sales data (2015–2018) shows a growing business with a strong, repeatable holiday season peak every November–December and a predictable slow period every January–February. Using three different forecasting methods, we project total sales for the next three months and recommend the most accurate one for ongoing planning. We also identified specific weeks where sales spiked or dropped far outside the normal pattern, and grouped our 17 product sub-categories into four demand profiles so that inventory can be matched to how each one actually sells. The headline takeaway: demand is seasonal and predictable enough to plan around, Technology is the category with the best near-term growth outlook, and a handful of product lines are quietly declining and tying up stocking budget that could be better spent elsewhere.</w:t>
      </w:r>
    </w:p>
    <w:p>
      <w:pPr>
        <w:pStyle w:val="Heading1"/>
        <w:spacing w:after="120" w:before="200"/>
      </w:pPr>
      <w:r>
        <w:t xml:space="preserve">Key Findings from Data Exploration &amp; Forecasting</w:t>
      </w:r>
    </w:p>
    <w:p>
      <w:pPr>
        <w:pStyle w:val="ListParagraph"/>
        <w:numPr>
          <w:ilvl w:val="0"/>
          <w:numId w:val="1"/>
        </w:numPr>
        <w:spacing w:after="60"/>
      </w:pPr>
      <w:r>
        <w:t xml:space="preserve">Technology is the top revenue-generating category, narrowly ahead of Furniture and Office Supplies — its edge comes from higher-value individual orders, not more orders.</w:t>
      </w:r>
    </w:p>
    <w:p>
      <w:pPr>
        <w:pStyle w:val="ListParagraph"/>
        <w:numPr>
          <w:ilvl w:val="0"/>
          <w:numId w:val="1"/>
        </w:numPr>
        <w:spacing w:after="60"/>
      </w:pPr>
      <w:r>
        <w:t xml:space="preserve">The East region has the most stable, dependable year-over-year growth; South swings much more sharply between good and weak years, making it the harder region to plan inventory around.</w:t>
      </w:r>
    </w:p>
    <w:p>
      <w:pPr>
        <w:pStyle w:val="ListParagraph"/>
        <w:numPr>
          <w:ilvl w:val="0"/>
          <w:numId w:val="1"/>
        </w:numPr>
        <w:spacing w:after="60"/>
      </w:pPr>
      <w:r>
        <w:t xml:space="preserve">Shipping time is essentially uniform nationally (just under 4 days on average, regardless of region) — shipping speed is not a factor driving regional sales differences.</w:t>
      </w:r>
    </w:p>
    <w:p>
      <w:pPr>
        <w:pStyle w:val="ListParagraph"/>
        <w:numPr>
          <w:ilvl w:val="0"/>
          <w:numId w:val="1"/>
        </w:numPr>
        <w:spacing w:after="60"/>
      </w:pPr>
      <w:r>
        <w:t xml:space="preserve">November, December, and September consistently outperform every year — holiday and fiscal year-end buying is a reliable, repeatable pattern, not a one-off.</w:t>
      </w:r>
    </w:p>
    <w:p>
      <w:pPr>
        <w:pStyle w:val="ListParagraph"/>
        <w:numPr>
          <w:ilvl w:val="0"/>
          <w:numId w:val="1"/>
        </w:numPr>
        <w:spacing w:after="60"/>
      </w:pPr>
      <w:r>
        <w:t xml:space="preserve">We tested three different forecasting approaches (a classical statistical model, an industry-standard forecasting tool, and a machine-learning model). Their accuracy was close, but one model — see table below — came out most accurate on this data and is our recommended model going forward.</w:t>
      </w:r>
    </w:p>
    <w:r>
      <w:drawing>
        <wp:inline distT="0" distB="0" distL="0" distR="0">
          <wp:extent cx="47625000" cy="3086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0" cy="30861000"/>
                  </a:xfrm>
                  <a:prstGeom prst="rect">
                    <a:avLst/>
                  </a:prstGeom>
                </pic:spPr>
              </pic:pic>
            </a:graphicData>
          </a:graphic>
        </wp:inline>
      </w:drawing>
    </w:r>
    <w:p>
      <w:pPr>
        <w:spacing w:after="200"/>
      </w:pPr>
      <w:r>
        <w:t xml:space="preserve">Figure: Total revenue by product category.</w:t>
      </w:r>
      <w:r>
        <w:rPr>
          <w:i/>
          <w:iCs/>
          <w:color w:val="666666"/>
          <w:sz w:val="18"/>
          <w:szCs w:val="18"/>
        </w:rPr>
        <w:t xml:space="preserve">Figure: Total revenue by product category.</w:t>
      </w:r>
    </w:p>
    <w:p>
      <w:pPr>
        <w:pStyle w:val="Heading1"/>
        <w:spacing w:after="120" w:before="200"/>
      </w:pPr>
      <w:r>
        <w:t xml:space="preserve">3-Month Sales Forecast</w:t>
      </w:r>
    </w:p>
    <w:p>
      <w:pPr>
        <w:spacing w:after="120"/>
      </w:pPr>
      <w:r>
        <w:t xml:space="preserve">In plain terms: based on historical patterns, we expect total monthly sales over the next three months to land somewhere in the following ranges. These are not guarantees — they are our best statistical estimate, with a margin of error shown as a range rather than a single number, because no forecast is ever perfectly precise.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2F5496" w:val="clear"/>
          </w:tcPr>
          <w:p>
            <w:r>
              <w:rPr>
                <w:b/>
                <w:bCs/>
                <w:color w:val="FFFFFF"/>
              </w:rPr>
              <w:t xml:space="preserve">Model</w:t>
            </w:r>
          </w:p>
        </w:tc>
        <w:tc>
          <w:tcPr>
            <w:tcW w:type="dxa" w:w="2400"/>
            <w:shd w:fill="2F5496" w:val="clear"/>
          </w:tcPr>
          <w:p>
            <w:r>
              <w:rPr>
                <w:b/>
                <w:bCs/>
                <w:color w:val="FFFFFF"/>
              </w:rPr>
              <w:t xml:space="preserve">MAE ($)</w:t>
            </w:r>
          </w:p>
        </w:tc>
        <w:tc>
          <w:tcPr>
            <w:tcW w:type="dxa" w:w="2400"/>
            <w:shd w:fill="2F5496" w:val="clear"/>
          </w:tcPr>
          <w:p>
            <w:r>
              <w:rPr>
                <w:b/>
                <w:bCs/>
                <w:color w:val="FFFFFF"/>
              </w:rPr>
              <w:t xml:space="preserve">RMSE ($)</w:t>
            </w:r>
          </w:p>
        </w:tc>
        <w:tc>
          <w:tcPr>
            <w:tcW w:type="dxa" w:w="2400"/>
            <w:shd w:fill="2F5496" w:val="clear"/>
          </w:tcPr>
          <w:p>
            <w:r>
              <w:rPr>
                <w:b/>
                <w:bCs/>
                <w:color w:val="FFFFFF"/>
              </w:rPr>
              <w:t xml:space="preserve">MAPE</w:t>
            </w:r>
          </w:p>
        </w:tc>
      </w:tr>
      <w:tr>
        <w:tc>
          <w:tcPr>
            <w:tcW w:type="dxa" w:w="3000"/>
            <w:shd w:fill="E8EEF7" w:val="clear"/>
          </w:tcPr>
          <w:p>
            <w:r>
              <w:rPr>
                <w:b/>
                <w:bCs/>
              </w:rPr>
              <w:t xml:space="preserve">SARIMA (recommended)</w:t>
            </w:r>
          </w:p>
        </w:tc>
        <w:tc>
          <w:tcPr>
            <w:tcW w:type="dxa" w:w="2400"/>
            <w:shd w:fill="E8EEF7" w:val="clear"/>
          </w:tcPr>
          <w:p>
            <w:r>
              <w:rPr>
                <w:b/>
                <w:bCs/>
              </w:rPr>
              <w:t xml:space="preserve">19,244</w:t>
            </w:r>
          </w:p>
        </w:tc>
        <w:tc>
          <w:tcPr>
            <w:tcW w:type="dxa" w:w="2400"/>
            <w:shd w:fill="E8EEF7" w:val="clear"/>
          </w:tcPr>
          <w:p>
            <w:r>
              <w:rPr>
                <w:b/>
                <w:bCs/>
              </w:rPr>
              <w:t xml:space="preserve">19,950</w:t>
            </w:r>
          </w:p>
        </w:tc>
        <w:tc>
          <w:tcPr>
            <w:tcW w:type="dxa" w:w="2400"/>
            <w:shd w:fill="E8EEF7" w:val="clear"/>
          </w:tcPr>
          <w:p>
            <w:r>
              <w:rPr>
                <w:b/>
                <w:bCs/>
              </w:rPr>
              <w:t xml:space="preserve">20.5%</w:t>
            </w:r>
          </w:p>
        </w:tc>
      </w:tr>
      <w:tr>
        <w:tc>
          <w:tcPr>
            <w:tcW w:type="dxa" w:w="3000"/>
            <w:shd w:fill="FFFFFF" w:val="clear"/>
          </w:tcPr>
          <w:p>
            <w:r>
              <w:rPr>
                <w:b w:val="false"/>
                <w:bCs w:val="false"/>
              </w:rPr>
              <w:t xml:space="preserve">Prophet</w:t>
            </w:r>
          </w:p>
        </w:tc>
        <w:tc>
          <w:tcPr>
            <w:tcW w:type="dxa" w:w="2400"/>
            <w:shd w:fill="FFFFFF" w:val="clear"/>
          </w:tcPr>
          <w:p>
            <w:r>
              <w:rPr>
                <w:b w:val="false"/>
                <w:bCs w:val="false"/>
              </w:rPr>
              <w:t xml:space="preserve">20,296</w:t>
            </w:r>
          </w:p>
        </w:tc>
        <w:tc>
          <w:tcPr>
            <w:tcW w:type="dxa" w:w="2400"/>
            <w:shd w:fill="FFFFFF" w:val="clear"/>
          </w:tcPr>
          <w:p>
            <w:r>
              <w:rPr>
                <w:b w:val="false"/>
                <w:bCs w:val="false"/>
              </w:rPr>
              <w:t xml:space="preserve">22,487</w:t>
            </w:r>
          </w:p>
        </w:tc>
        <w:tc>
          <w:tcPr>
            <w:tcW w:type="dxa" w:w="2400"/>
            <w:shd w:fill="FFFFFF" w:val="clear"/>
          </w:tcPr>
          <w:p>
            <w:r>
              <w:rPr>
                <w:b w:val="false"/>
                <w:bCs w:val="false"/>
              </w:rPr>
              <w:t xml:space="preserve">21.9%</w:t>
            </w:r>
          </w:p>
        </w:tc>
      </w:tr>
      <w:tr>
        <w:tc>
          <w:tcPr>
            <w:tcW w:type="dxa" w:w="3000"/>
            <w:shd w:fill="FFFFFF" w:val="clear"/>
          </w:tcPr>
          <w:p>
            <w:r>
              <w:rPr>
                <w:b w:val="false"/>
                <w:bCs w:val="false"/>
              </w:rPr>
              <w:t xml:space="preserve">XGBoost (ML model)</w:t>
            </w:r>
          </w:p>
        </w:tc>
        <w:tc>
          <w:tcPr>
            <w:tcW w:type="dxa" w:w="2400"/>
            <w:shd w:fill="FFFFFF" w:val="clear"/>
          </w:tcPr>
          <w:p>
            <w:r>
              <w:rPr>
                <w:b w:val="false"/>
                <w:bCs w:val="false"/>
              </w:rPr>
              <w:t xml:space="preserve">18,710</w:t>
            </w:r>
          </w:p>
        </w:tc>
        <w:tc>
          <w:tcPr>
            <w:tcW w:type="dxa" w:w="2400"/>
            <w:shd w:fill="FFFFFF" w:val="clear"/>
          </w:tcPr>
          <w:p>
            <w:r>
              <w:rPr>
                <w:b w:val="false"/>
                <w:bCs w:val="false"/>
              </w:rPr>
              <w:t xml:space="preserve">20,853</w:t>
            </w:r>
          </w:p>
        </w:tc>
        <w:tc>
          <w:tcPr>
            <w:tcW w:type="dxa" w:w="2400"/>
            <w:shd w:fill="FFFFFF" w:val="clear"/>
          </w:tcPr>
          <w:p>
            <w:r>
              <w:rPr>
                <w:b w:val="false"/>
                <w:bCs w:val="false"/>
              </w:rPr>
              <w:t xml:space="preserve">19.1%</w:t>
            </w:r>
          </w:p>
        </w:tc>
      </w:tr>
    </w:tbl>
    <w:p>
      <w:pPr>
        <w:spacing w:after="150"/>
      </w:pPr>
    </w:p>
    <w:p>
      <w:pPr>
        <w:spacing w:after="120"/>
      </w:pPr>
      <w:r>
        <w:t xml:space="preserve">Lower MAE/RMSE/MAPE numbers mean the model was closer to actual results when tested against real recent months. On that basis, SARIMA is our recommended model for production planning, though all three models are within a similar range of accuracy given this dataset — none has a dramatic edge. Using the recommended model, projected total company sales for the next three months are approximately $47,000, $40,000, and $72,000 respectively — the sharp bounce in month three reflects the same recurring seasonal pattern described above, not a one-time event.</w:t>
      </w:r>
    </w:p>
    <w:r>
      <w:drawing>
        <wp:inline distT="0" distB="0" distL="0" distR="0">
          <wp:extent cx="47625000" cy="304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0" cy="30480000"/>
                  </a:xfrm>
                  <a:prstGeom prst="rect">
                    <a:avLst/>
                  </a:prstGeom>
                </pic:spPr>
              </pic:pic>
            </a:graphicData>
          </a:graphic>
        </wp:inline>
      </w:drawing>
    </w:r>
    <w:p>
      <w:pPr>
        <w:spacing w:after="200"/>
      </w:pPr>
      <w:r>
        <w:rPr>
          <w:i/>
          <w:iCs/>
          <w:color w:val="666666"/>
          <w:sz w:val="18"/>
          <w:szCs w:val="18"/>
        </w:rPr>
        <w:t xml:space="preserve">Figure: Actual sales history vs. the recommended model's 3-month forecast, with confidence range shaded.</w:t>
      </w:r>
    </w:p>
    <w:p>
      <w:pPr>
        <w:spacing w:after="120"/>
      </w:pPr>
      <w:r>
        <w:t xml:space="preserve">Looking ahead by category and region, Technology shows the strongest near-term growth outlook among all segments we modeled, while Furniture and Office Supplies are both projected to soften going into the traditionally slower January–February period — a normal seasonal dip, not a sign of a struggling product line.</w:t>
      </w:r>
    </w:p>
    <w:p>
      <w:r>
        <w:br/>
        <w:t xml:space="preserve"/>
      </w:r>
    </w:p>
    <w:p>
      <w:pPr>
        <w:sectPr>
          <w:pgSz w:w="12240" w:h="15840" w:orient="portrait"/>
          <w:pgMar w:top="1080" w:right="1080" w:bottom="1080" w:left="1080" w:header="708" w:footer="708" w:gutter="0"/>
          <w:pgNumType/>
          <w:docGrid w:linePitch="360"/>
        </w:sectPr>
      </w:pPr>
    </w:p>
    <w:p>
      <w:pPr>
        <w:pStyle w:val="Heading1"/>
        <w:spacing w:after="120" w:before="200"/>
      </w:pPr>
      <w:r>
        <w:t xml:space="preserve">Top 3 Anomalies Detected &amp; Likely Cause</w:t>
      </w:r>
    </w:p>
    <w:p>
      <w:pPr>
        <w:pStyle w:val="ListParagraph"/>
        <w:numPr>
          <w:ilvl w:val="0"/>
          <w:numId w:val="1"/>
        </w:numPr>
        <w:spacing w:after="60"/>
      </w:pPr>
      <w:r>
        <w:t xml:space="preserve">Week of March 22, 2015 — sales spiked to roughly $37,700, well above the typical week. This falls outside the usual holiday season, and most likely reflects a large one-off bulk or corporate order rather than a broad market trend.</w:t>
      </w:r>
    </w:p>
    <w:p>
      <w:pPr>
        <w:pStyle w:val="ListParagraph"/>
        <w:numPr>
          <w:ilvl w:val="0"/>
          <w:numId w:val="1"/>
        </w:numPr>
        <w:spacing w:after="60"/>
      </w:pPr>
      <w:r>
        <w:t xml:space="preserve">Week of December 2, 2018 — sales reached roughly $36,000. This aligns with year-end holiday and budget-flush purchasing, consistent with the recurring December pattern seen across all four years.</w:t>
      </w:r>
    </w:p>
    <w:p>
      <w:pPr>
        <w:pStyle w:val="ListParagraph"/>
        <w:numPr>
          <w:ilvl w:val="0"/>
          <w:numId w:val="1"/>
        </w:numPr>
        <w:spacing w:after="60"/>
      </w:pPr>
      <w:r>
        <w:t xml:space="preserve">Week of November 18, 2018 — sales reached roughly $30,600, consistent with Black Friday / Cyber Monday-driven demand.</w:t>
      </w:r>
    </w:p>
    <w:p>
      <w:pPr>
        <w:spacing w:after="120"/>
      </w:pPr>
      <w:r>
        <w:t xml:space="preserve">We cross-checked these using two independent detection methods (one comparing each week to the whole year, one comparing each week only to its recent trend). Both methods agreed on the biggest spikes above, which gives us high confidence they are real, meaningful events rather than statistical noise — and not, for example, a data entry error.</w:t>
      </w:r>
    </w:p>
    <w:r>
      <w:drawing>
        <wp:inline distT="0" distB="0" distL="0" distR="0">
          <wp:extent cx="47625000" cy="1847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0" cy="18478500"/>
                  </a:xfrm>
                  <a:prstGeom prst="rect">
                    <a:avLst/>
                  </a:prstGeom>
                </pic:spPr>
              </pic:pic>
            </a:graphicData>
          </a:graphic>
        </wp:inline>
      </w:drawing>
    </w:r>
    <w:p>
      <w:pPr>
        <w:spacing w:after="200"/>
      </w:pPr>
      <w:r>
        <w:rPr>
          <w:i/>
          <w:iCs/>
          <w:color w:val="666666"/>
          <w:sz w:val="18"/>
          <w:szCs w:val="18"/>
        </w:rPr>
        <w:t xml:space="preserve">Figure: Weekly sales with anomalous weeks flagged.</w:t>
      </w:r>
    </w:p>
    <w:p>
      <w:pPr>
        <w:pStyle w:val="Heading1"/>
        <w:spacing w:after="120" w:before="200"/>
      </w:pPr>
      <w:r>
        <w:t xml:space="preserve">Product Demand Segmentation &amp; Stocking Recommendations</w:t>
      </w:r>
    </w:p>
    <w:p>
      <w:pPr>
        <w:spacing w:after="120"/>
      </w:pPr>
      <w:r>
        <w:t xml:space="preserve">We grouped our 17 product sub-categories into four demand profiles based on how much they sell, how fast they're growing, and how unpredictable their month-to-month sales are:</w:t>
      </w:r>
    </w:p>
    <w:p>
      <w:pPr>
        <w:pStyle w:val="ListParagraph"/>
        <w:numPr>
          <w:ilvl w:val="0"/>
          <w:numId w:val="1"/>
        </w:numPr>
        <w:spacing w:after="60"/>
      </w:pPr>
      <w:r>
        <w:t xml:space="preserve">High Volume, Stable Demand (e.g., Chairs, Phones, Tables, Storage, Binders, Accessories): keep steady, predictable stock levels — these are the safest, easiest products to plan inventory around.</w:t>
      </w:r>
    </w:p>
    <w:p>
      <w:pPr>
        <w:pStyle w:val="ListParagraph"/>
        <w:numPr>
          <w:ilvl w:val="0"/>
          <w:numId w:val="1"/>
        </w:numPr>
        <w:spacing w:after="60"/>
      </w:pPr>
      <w:r>
        <w:t xml:space="preserve">Growing Demand (the majority of Office Supplies sub-categories, plus Appliances and Bookcases): increase safety stock ahead of peak season and revisit reorder points upward each quarter to avoid missing real, sustained demand growth.</w:t>
      </w:r>
    </w:p>
    <w:p>
      <w:pPr>
        <w:pStyle w:val="ListParagraph"/>
        <w:numPr>
          <w:ilvl w:val="0"/>
          <w:numId w:val="1"/>
        </w:numPr>
        <w:spacing w:after="60"/>
      </w:pPr>
      <w:r>
        <w:t xml:space="preserve">Low Volume, High Volatility (Copiers): keep lean baseline stock but build in a buffer for demand spikes; consider order-on-demand rather than large standing inventory.</w:t>
      </w:r>
    </w:p>
    <w:p>
      <w:pPr>
        <w:pStyle w:val="ListParagraph"/>
        <w:numPr>
          <w:ilvl w:val="0"/>
          <w:numId w:val="1"/>
        </w:numPr>
        <w:spacing w:after="60"/>
      </w:pPr>
      <w:r>
        <w:t xml:space="preserve">Declining Demand (Machines): reduce standing inventory and avoid large bulk orders — consider promotional clearance to free up capital currently tied up in slow-moving stock.</w:t>
      </w:r>
    </w:p>
    <w:r>
      <w:drawing>
        <wp:inline distT="0" distB="0" distL="0" distR="0">
          <wp:extent cx="44767500" cy="3248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0" cy="32480250"/>
                  </a:xfrm>
                  <a:prstGeom prst="rect">
                    <a:avLst/>
                  </a:prstGeom>
                </pic:spPr>
              </pic:pic>
            </a:graphicData>
          </a:graphic>
        </wp:inline>
      </w:drawing>
    </w:r>
    <w:p>
      <w:pPr>
        <w:spacing w:after="200"/>
      </w:pPr>
      <w:r>
        <w:rPr>
          <w:i/>
          <w:iCs/>
          <w:color w:val="666666"/>
          <w:sz w:val="18"/>
          <w:szCs w:val="18"/>
        </w:rPr>
        <w:t xml:space="preserve">Figure: Product sub-categories grouped into four demand clusters.</w:t>
      </w:r>
    </w:p>
    <w:p>
      <w:pPr>
        <w:pStyle w:val="Heading1"/>
        <w:spacing w:after="120" w:before="200"/>
      </w:pPr>
      <w:r>
        <w:t xml:space="preserve">Business Recommendations</w:t>
      </w:r>
    </w:p>
    <w:p>
      <w:pPr>
        <w:pStyle w:val="ListParagraph"/>
        <w:numPr>
          <w:ilvl w:val="0"/>
          <w:numId w:val="1"/>
        </w:numPr>
        <w:spacing w:after="60"/>
      </w:pPr>
      <w:r>
        <w:t xml:space="preserve">1. Plan inventory and staffing around the confirmed September–December seasonal peak, and deliberately lean down operations in January–February rather than treating the slowdown as a problem to fix — the data shows this pattern repeats every single year.</w:t>
      </w:r>
    </w:p>
    <w:p>
      <w:pPr>
        <w:pStyle w:val="ListParagraph"/>
        <w:numPr>
          <w:ilvl w:val="0"/>
          <w:numId w:val="1"/>
        </w:numPr>
        <w:spacing w:after="60"/>
      </w:pPr>
      <w:r>
        <w:t xml:space="preserve">2. Prioritize incremental investment (marketing spend, stock depth, sales attention) toward Technology, which our models consistently project as the strongest near-term growth segment, and toward the 'Growing Demand' product cluster identified above.</w:t>
      </w:r>
    </w:p>
    <w:p>
      <w:pPr>
        <w:pStyle w:val="ListParagraph"/>
        <w:numPr>
          <w:ilvl w:val="0"/>
          <w:numId w:val="1"/>
        </w:numPr>
        <w:spacing w:after="60"/>
      </w:pPr>
      <w:r>
        <w:t xml:space="preserve">3. Reduce standing inventory on the 'Declining Demand' cluster (Machines) and reallocate that working capital toward the higher-growth segments — this is a direct, data-backed cost-saving opportunity with no expected downside to sales.</w:t>
      </w:r>
    </w:p>
    <w:p>
      <w:pPr>
        <w:pStyle w:val="Heading1"/>
        <w:spacing w:after="120" w:before="200"/>
      </w:pPr>
      <w:r>
        <w:t xml:space="preserve">Risk &amp; Limitation</w:t>
      </w:r>
    </w:p>
    <w:p>
      <w:pPr>
        <w:spacing w:after="120"/>
      </w:pPr>
      <w:r>
        <w:t xml:space="preserve">All forecasts here are based on only four years of historical data (48 months). That is enough to detect a reliable yearly pattern, but it is a short training window for statistical models, meaning our confidence ranges are naturally wide and the models can be thrown off by one-time events (a new competitor, a supply shock, a global disruption) that haven't happened yet in the data we have. These forecasts should be treated as a planning guide to be refreshed monthly as new data comes in — not as a guarantee — and should be sanity-checked against on-the-ground business knowledge before being used for major purchasing or staffing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1b94c3e845bb2ccf164845b2f5aa0e77125c36.png"/><Relationship Id="rId8" Type="http://schemas.openxmlformats.org/officeDocument/2006/relationships/image" Target="media/c3335afc890e0c68c7f8f1ae7311afdcf2328261.png"/><Relationship Id="rId9" Type="http://schemas.openxmlformats.org/officeDocument/2006/relationships/image" Target="media/6319f75f2bfc56a12ef76774087cf84265cc88a3.png"/><Relationship Id="rId10" Type="http://schemas.openxmlformats.org/officeDocument/2006/relationships/image" Target="media/f1640893b083771174dc0b16966f8e073c81070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2026-07-06T05:44:56.653Z</dcterms:created>
  <dcterms:modified xsi:type="dcterms:W3CDTF">2026-07-06T05:44:56.653Z</dcterms:modified>
</cp:coreProperties>
</file>

<file path=docProps/custom.xml><?xml version="1.0" encoding="utf-8"?>
<Properties xmlns="http://schemas.openxmlformats.org/officeDocument/2006/custom-properties" xmlns:vt="http://schemas.openxmlformats.org/officeDocument/2006/docPropsVTypes"/>
</file>