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8A04A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3ADA0389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875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3053"/>
        <w:gridCol w:w="6822"/>
      </w:tblGrid>
      <w:tr w:rsidR="009B1007" w14:paraId="0983F388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671A4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2765F" w14:textId="77777777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14:paraId="168DDF21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253C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54CBE" w14:textId="77777777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14:paraId="311CC356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5C11D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645A" w14:textId="77777777" w:rsidR="009B1007" w:rsidRDefault="001F5E9C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Snehal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14:paraId="377E90A3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22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3068"/>
        <w:gridCol w:w="6854"/>
      </w:tblGrid>
      <w:tr w:rsidR="009B1007" w14:paraId="40EF1EAF" w14:textId="77777777" w:rsidTr="00E329AF">
        <w:trPr>
          <w:trHeight w:val="337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8141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E4B64" w14:textId="6684DDC7" w:rsidR="009B1007" w:rsidRDefault="008F5BB7">
            <w:pPr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S</w:t>
            </w:r>
            <w:r w:rsidR="00223320">
              <w:rPr>
                <w:rFonts w:asciiTheme="majorHAnsi" w:hAnsiTheme="majorHAnsi"/>
                <w:color w:val="000000"/>
                <w:sz w:val="24"/>
                <w:szCs w:val="24"/>
              </w:rPr>
              <w:t>iddhi Gawade</w:t>
            </w:r>
          </w:p>
        </w:tc>
      </w:tr>
      <w:tr w:rsidR="009B1007" w14:paraId="593BDAF9" w14:textId="77777777" w:rsidTr="00E329AF">
        <w:trPr>
          <w:trHeight w:val="316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8F405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6327E" w14:textId="493494B2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8F6FCB">
              <w:rPr>
                <w:rFonts w:asciiTheme="majorHAnsi" w:hAnsiTheme="majorHAnsi"/>
                <w:sz w:val="24"/>
                <w:szCs w:val="24"/>
              </w:rPr>
              <w:t>4102A2001</w:t>
            </w:r>
          </w:p>
        </w:tc>
      </w:tr>
      <w:tr w:rsidR="009F238A" w14:paraId="2085787A" w14:textId="77777777" w:rsidTr="00E329AF">
        <w:trPr>
          <w:trHeight w:val="695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C5C12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547501AB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DE2E0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3B6BB6A3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8222"/>
      </w:tblGrid>
      <w:tr w:rsidR="009B1007" w14:paraId="69802CDE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A6EA5" w14:textId="26BE0D44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38B33" w14:textId="1570B3A5" w:rsidR="009B1007" w:rsidRDefault="005A1E13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</w:t>
            </w:r>
          </w:p>
        </w:tc>
      </w:tr>
      <w:tr w:rsidR="009B1007" w14:paraId="395DA8E2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63EE6" w14:textId="640FA3B2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2641F" w14:textId="77777777" w:rsidR="00163315" w:rsidRPr="00163315" w:rsidRDefault="00163315" w:rsidP="00163315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63315">
              <w:rPr>
                <w:rFonts w:asciiTheme="majorHAnsi" w:hAnsiTheme="majorHAnsi"/>
                <w:sz w:val="24"/>
                <w:szCs w:val="24"/>
                <w:lang w:val="en-IN"/>
              </w:rPr>
              <w:t>Git and GitHub Repository Initialization: Create a GitHub repository for the Municipal Complaint Portal. Add README, .</w:t>
            </w:r>
            <w:proofErr w:type="spellStart"/>
            <w:r w:rsidRPr="00163315">
              <w:rPr>
                <w:rFonts w:asciiTheme="majorHAnsi" w:hAnsiTheme="majorHAnsi"/>
                <w:sz w:val="24"/>
                <w:szCs w:val="24"/>
                <w:lang w:val="en-IN"/>
              </w:rPr>
              <w:t>gitignore</w:t>
            </w:r>
            <w:proofErr w:type="spellEnd"/>
            <w:r w:rsidRPr="00163315">
              <w:rPr>
                <w:rFonts w:asciiTheme="majorHAnsi" w:hAnsiTheme="majorHAnsi"/>
                <w:sz w:val="24"/>
                <w:szCs w:val="24"/>
                <w:lang w:val="en-IN"/>
              </w:rPr>
              <w:t>, folder structure, issue templates and branch naming rules. Commit the initial application skeleton using meaningful commit messages.</w:t>
            </w:r>
          </w:p>
          <w:p w14:paraId="728B49E9" w14:textId="77777777" w:rsidR="009B1007" w:rsidRDefault="00163315" w:rsidP="0016331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163315">
              <w:rPr>
                <w:rFonts w:asciiTheme="majorHAnsi" w:hAnsiTheme="majorHAnsi"/>
                <w:sz w:val="24"/>
                <w:szCs w:val="24"/>
                <w:lang w:val="en-IN"/>
              </w:rPr>
              <w:t>Deliverable: Repository URL, README, initial commits, issues and branch policy.</w:t>
            </w:r>
          </w:p>
          <w:p w14:paraId="22E8003B" w14:textId="5CA2F484" w:rsidR="006C6999" w:rsidRDefault="006C6999" w:rsidP="0016331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9B1007" w14:paraId="1E6CB567" w14:textId="77777777" w:rsidTr="00302CE1">
        <w:trPr>
          <w:trHeight w:val="3215"/>
        </w:trPr>
        <w:tc>
          <w:tcPr>
            <w:tcW w:w="99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BC818" w14:textId="77777777" w:rsidR="004954B3" w:rsidRDefault="004954B3">
            <w:pPr>
              <w:shd w:val="clear" w:color="auto" w:fill="FFFFFF"/>
              <w:spacing w:after="80" w:line="240" w:lineRule="auto" w:before="80"/>
              <w:jc w:val="center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/>
            <w:r>
              <w:rPr>
                <w:rFonts w:ascii="Calibri" w:hAnsi="Calibri"/>
                <w:b/>
                <w:color w:val="1F497D"/>
                <w:sz w:val="28"/>
              </w:rPr>
              <w:t>TASK 4 REPORT: GIT AND GITHUB REPOSITORY INITIALIZATION</w:t>
            </w:r>
          </w:p>
          <w:p w14:paraId="6FC973CF" w14:textId="77777777" w:rsidR="004954B3" w:rsidRDefault="004954B3" w:rsidP="009603DB">
            <w:pPr>
              <w:shd w:val="clear" w:color="auto" w:fill="FFFFFF"/>
              <w:spacing w:after="0" w:line="240" w:lineRule="auto" w:before="0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/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1. GitHub Repository Initialization &amp; Remote Configuration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SCM Foundation: </w:t>
            </w:r>
            <w:r>
              <w:rPr>
                <w:rFonts w:ascii="Calibri" w:hAnsi="Calibri"/>
                <w:color w:val="333333"/>
                <w:sz w:val="22"/>
              </w:rPr>
              <w:t>Source Code Management (SCM) constitutes the core backbone of the DevOps automation lifecycle. A centralized GitHub repository was initialized for the Municipal Complaint Portal to enable collaborative feature branching, auditable code reviews, automated webhook triggers for Jenkins Continuous Integration, and semantic release versioning.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4" w:space="0" w:color="B0B7BD"/>
                <w:left w:val="single" w:sz="4" w:space="0" w:color="B0B7BD"/>
                <w:bottom w:val="single" w:sz="4" w:space="0" w:color="B0B7BD"/>
                <w:right w:val="single" w:sz="4" w:space="0" w:color="B0B7BD"/>
                <w:insideH w:val="single" w:sz="4" w:space="0" w:color="B0B7BD"/>
                <w:insideV w:val="single" w:sz="4" w:space="0" w:color="B0B7BD"/>
              </w:tblBorders>
            </w:tblPr>
            <w:tblGrid>
              <w:gridCol w:w="3317"/>
              <w:gridCol w:w="3317"/>
              <w:gridCol w:w="3317"/>
            </w:tblGrid>
            <w:tr>
              <w:tc>
                <w:tcPr>
                  <w:tcW w:type="dxa" w:w="2304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Repository Attribute</w:t>
                  </w:r>
                </w:p>
              </w:tc>
              <w:tc>
                <w:tcPr>
                  <w:tcW w:type="dxa" w:w="4608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Configuration Value / Link</w:t>
                  </w:r>
                </w:p>
              </w:tc>
              <w:tc>
                <w:tcPr>
                  <w:tcW w:type="dxa" w:w="3312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DevOps Significance</w:t>
                  </w:r>
                </w:p>
              </w:tc>
            </w:tr>
            <w:tr>
              <w:tc>
                <w:tcPr>
                  <w:tcW w:type="dxa" w:w="230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Repository Name</w:t>
                  </w:r>
                </w:p>
              </w:tc>
              <w:tc>
                <w:tcPr>
                  <w:tcW w:type="dxa" w:w="460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municipal-complaint-portal-cicd</w:t>
                  </w:r>
                </w:p>
              </w:tc>
              <w:tc>
                <w:tcPr>
                  <w:tcW w:type="dxa" w:w="331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Identifies the municipal project and CI/CD automation pipeline.</w:t>
                  </w:r>
                </w:p>
              </w:tc>
            </w:tr>
            <w:tr>
              <w:tc>
                <w:tcPr>
                  <w:tcW w:type="dxa" w:w="230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Remote Origin URL</w:t>
                  </w:r>
                </w:p>
              </w:tc>
              <w:tc>
                <w:tcPr>
                  <w:tcW w:type="dxa" w:w="460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https://github.com/SiddhiGawade/municipal-complaint-portal-cicd.git</w:t>
                  </w:r>
                </w:p>
              </w:tc>
              <w:tc>
                <w:tcPr>
                  <w:tcW w:type="dxa" w:w="331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Primary upstream remote for Git push, fetch, and Jenkins polling.</w:t>
                  </w:r>
                </w:p>
              </w:tc>
            </w:tr>
            <w:tr>
              <w:tc>
                <w:tcPr>
                  <w:tcW w:type="dxa" w:w="230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Repository Owner</w:t>
                  </w:r>
                </w:p>
              </w:tc>
              <w:tc>
                <w:tcPr>
                  <w:tcW w:type="dxa" w:w="460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SiddhiGawade</w:t>
                  </w:r>
                </w:p>
              </w:tc>
              <w:tc>
                <w:tcPr>
                  <w:tcW w:type="dxa" w:w="331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Project administrator and primary repository maintainer.</w:t>
                  </w:r>
                </w:p>
              </w:tc>
            </w:tr>
            <w:tr>
              <w:tc>
                <w:tcPr>
                  <w:tcW w:type="dxa" w:w="230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Default Branch</w:t>
                  </w:r>
                </w:p>
              </w:tc>
              <w:tc>
                <w:tcPr>
                  <w:tcW w:type="dxa" w:w="460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main</w:t>
                  </w:r>
                </w:p>
              </w:tc>
              <w:tc>
                <w:tcPr>
                  <w:tcW w:type="dxa" w:w="331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Production-ready, release-tagged branch protected against direct pushes.</w:t>
                  </w:r>
                </w:p>
              </w:tc>
            </w:tr>
            <w:tr>
              <w:tc>
                <w:tcPr>
                  <w:tcW w:type="dxa" w:w="230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Development Branch</w:t>
                  </w:r>
                </w:p>
              </w:tc>
              <w:tc>
                <w:tcPr>
                  <w:tcW w:type="dxa" w:w="460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dev</w:t>
                  </w:r>
                </w:p>
              </w:tc>
              <w:tc>
                <w:tcPr>
                  <w:tcW w:type="dxa" w:w="331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Active integration branch for ongoing sprint feature development.</w:t>
                  </w:r>
                </w:p>
              </w:tc>
            </w:tr>
            <w:tr>
              <w:tc>
                <w:tcPr>
                  <w:tcW w:type="dxa" w:w="230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SCM Protocol</w:t>
                  </w:r>
                </w:p>
              </w:tc>
              <w:tc>
                <w:tcPr>
                  <w:tcW w:type="dxa" w:w="460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HTTPS / Git SSH</w:t>
                  </w:r>
                </w:p>
              </w:tc>
              <w:tc>
                <w:tcPr>
                  <w:tcW w:type="dxa" w:w="331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Standard secure transport for developer workstations and CI runners.</w:t>
                  </w:r>
                </w:p>
              </w:tc>
            </w:tr>
          </w:tbl>
          <w:p/>
          <w:p>
            <w:pPr>
              <w:keepNext/>
              <w:spacing w:before="160" w:after="60"/>
            </w:pPr>
            <w:r>
              <w:rPr>
                <w:rFonts w:ascii="Calibri" w:hAnsi="Calibri"/>
                <w:b/>
                <w:color w:val="2E5B82"/>
                <w:sz w:val="23"/>
              </w:rPr>
              <w:t>1.1 Git Remote Verification Evidence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Command Output: </w:t>
            </w:r>
            <w:r>
              <w:rPr>
                <w:rFonts w:ascii="Calibri" w:hAnsi="Calibri"/>
                <w:color w:val="333333"/>
                <w:sz w:val="22"/>
              </w:rPr>
              <w:t>Verification of the local Git remote configuration was performed using standard CLI commands:</w:t>
              <w:br/>
              <w:t>$ git remote -v</w:t>
              <w:br/>
              <w:t>origin  https://github.com/SiddhiGawade/municipal-complaint-portal-cicd.git (fetch)</w:t>
              <w:br/>
              <w:t>origin  https://github.com/SiddhiGawade/municipal-complaint-portal-cicd.git (push)</w:t>
              <w:br/>
              <w:br/>
              <w:t>$ git branch -a</w:t>
              <w:br/>
              <w:t>* main</w:t>
              <w:br/>
              <w:t xml:space="preserve">  dev</w:t>
              <w:br/>
              <w:t xml:space="preserve">  remotes/origin/main</w:t>
            </w:r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2. Repository Folder Structure and Architectural Organization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Clean Directory Layout: </w:t>
            </w:r>
            <w:r>
              <w:rPr>
                <w:rFonts w:ascii="Calibri" w:hAnsi="Calibri"/>
                <w:color w:val="333333"/>
                <w:sz w:val="22"/>
              </w:rPr>
              <w:t>The repository was structured according to standard Maven layout conventions combined with GitHub collaboration configurations (.github/) and DevOps artifact management directories: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.github/ISSUE_TEMPLATE/: </w:t>
            </w:r>
            <w:r>
              <w:rPr>
                <w:rFonts w:ascii="Calibri" w:hAnsi="Calibri"/>
                <w:color w:val="333333"/>
                <w:sz w:val="22"/>
              </w:rPr>
              <w:t>Houses standardized Markdown templates for civic bug reporting and feature request proposals.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.gitignore: </w:t>
            </w:r>
            <w:r>
              <w:rPr>
                <w:rFonts w:ascii="Calibri" w:hAnsi="Calibri"/>
                <w:color w:val="333333"/>
                <w:sz w:val="22"/>
              </w:rPr>
              <w:t>Excludes compiled binaries, target/ directories, IDE workspaces, and operating system metadata from version tracking.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BRANCHING_POLICY.md: </w:t>
            </w:r>
            <w:r>
              <w:rPr>
                <w:rFonts w:ascii="Calibri" w:hAnsi="Calibri"/>
                <w:color w:val="333333"/>
                <w:sz w:val="22"/>
              </w:rPr>
              <w:t>Documents GitFlow branching strategy, branch naming conventions, PR guidelines, and Conventional Commits.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README.md: </w:t>
            </w:r>
            <w:r>
              <w:rPr>
                <w:rFonts w:ascii="Calibri" w:hAnsi="Calibri"/>
                <w:color w:val="333333"/>
                <w:sz w:val="22"/>
              </w:rPr>
              <w:t>Comprehensive repository landing documentation detailing system architecture, quickstart, REST API catalog, and CI/CD overview.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TASKS.md: </w:t>
            </w:r>
            <w:r>
              <w:rPr>
                <w:rFonts w:ascii="Calibri" w:hAnsi="Calibri"/>
                <w:color w:val="333333"/>
                <w:sz w:val="22"/>
              </w:rPr>
              <w:t>Full reference curriculum specifications mapping all 15 tasks of the municipal DevOps lifecycle.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pom.xml: </w:t>
            </w:r>
            <w:r>
              <w:rPr>
                <w:rFonts w:ascii="Calibri" w:hAnsi="Calibri"/>
                <w:color w:val="333333"/>
                <w:sz w:val="22"/>
              </w:rPr>
              <w:t>Declarative Apache Maven project configuration managing dependencies (JUnit 5, Java 17/22, plugins).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src/main/java/com/municipal/portal/: </w:t>
            </w:r>
            <w:r>
              <w:rPr>
                <w:rFonts w:ascii="Calibri" w:hAnsi="Calibri"/>
                <w:color w:val="333333"/>
                <w:sz w:val="22"/>
              </w:rPr>
              <w:t>Application source code: App.java (embedded server), model/ (Complaint, Status), and service/ (Validation, ComplaintService).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src/test/java/com/municipal/portal/: </w:t>
            </w:r>
            <w:r>
              <w:rPr>
                <w:rFonts w:ascii="Calibri" w:hAnsi="Calibri"/>
                <w:color w:val="333333"/>
                <w:sz w:val="22"/>
              </w:rPr>
              <w:t>Automated JUnit 5 test suite verifying submission, validation rules, token generation, and reviewer workflows.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TASKS_REPORTS/: </w:t>
            </w:r>
            <w:r>
              <w:rPr>
                <w:rFonts w:ascii="Calibri" w:hAnsi="Calibri"/>
                <w:color w:val="333333"/>
                <w:sz w:val="22"/>
              </w:rPr>
              <w:t>DevOps academic lab reports, architecture schematics, and generated workflow diagrams.</w:t>
            </w:r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3. Standard .gitignore Configuration &amp; Exclusion Rationale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Exclusion Policy: </w:t>
            </w:r>
            <w:r>
              <w:rPr>
                <w:rFonts w:ascii="Calibri" w:hAnsi="Calibri"/>
                <w:color w:val="333333"/>
                <w:sz w:val="22"/>
              </w:rPr>
              <w:t>A robust .gitignore file was established at repository root to maintain repository cleanliness, avoid secret leakage, and prevent merge conflicts arising from developer-specific environment settings.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4" w:space="0" w:color="B0B7BD"/>
                <w:left w:val="single" w:sz="4" w:space="0" w:color="B0B7BD"/>
                <w:bottom w:val="single" w:sz="4" w:space="0" w:color="B0B7BD"/>
                <w:right w:val="single" w:sz="4" w:space="0" w:color="B0B7BD"/>
                <w:insideH w:val="single" w:sz="4" w:space="0" w:color="B0B7BD"/>
                <w:insideV w:val="single" w:sz="4" w:space="0" w:color="B0B7BD"/>
              </w:tblBorders>
            </w:tblPr>
            <w:tblGrid>
              <w:gridCol w:w="3317"/>
              <w:gridCol w:w="3317"/>
              <w:gridCol w:w="3317"/>
            </w:tblGrid>
            <w:tr>
              <w:tc>
                <w:tcPr>
                  <w:tcW w:type="dxa" w:w="2304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Category / Pattern</w:t>
                  </w:r>
                </w:p>
              </w:tc>
              <w:tc>
                <w:tcPr>
                  <w:tcW w:type="dxa" w:w="2592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Ignored Patterns</w:t>
                  </w:r>
                </w:p>
              </w:tc>
              <w:tc>
                <w:tcPr>
                  <w:tcW w:type="dxa" w:w="5328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Engineering Rationale</w:t>
                  </w:r>
                </w:p>
              </w:tc>
            </w:tr>
            <w:tr>
              <w:tc>
                <w:tcPr>
                  <w:tcW w:type="dxa" w:w="230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Compiled Artifacts</w:t>
                  </w:r>
                </w:p>
              </w:tc>
              <w:tc>
                <w:tcPr>
                  <w:tcW w:type="dxa" w:w="259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target/</w:t>
                    <w:br/>
                    <w:t>*.class</w:t>
                  </w:r>
                </w:p>
              </w:tc>
              <w:tc>
                <w:tcPr>
                  <w:tcW w:type="dxa" w:w="53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Build artifacts must be assembled deterministically by Maven, not stored in source control.</w:t>
                  </w:r>
                </w:p>
              </w:tc>
            </w:tr>
            <w:tr>
              <w:tc>
                <w:tcPr>
                  <w:tcW w:type="dxa" w:w="230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Package Binaries</w:t>
                  </w:r>
                </w:p>
              </w:tc>
              <w:tc>
                <w:tcPr>
                  <w:tcW w:type="dxa" w:w="259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*.jar</w:t>
                    <w:br/>
                    <w:t>*.war</w:t>
                    <w:br/>
                    <w:t>*.zip</w:t>
                  </w:r>
                </w:p>
              </w:tc>
              <w:tc>
                <w:tcPr>
                  <w:tcW w:type="dxa" w:w="53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Prevents repository bloat; artifacts are managed via Jenkins and container registries.</w:t>
                  </w:r>
                </w:p>
              </w:tc>
            </w:tr>
            <w:tr>
              <w:tc>
                <w:tcPr>
                  <w:tcW w:type="dxa" w:w="230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IDE Workspaces</w:t>
                  </w:r>
                </w:p>
              </w:tc>
              <w:tc>
                <w:tcPr>
                  <w:tcW w:type="dxa" w:w="259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.idea/</w:t>
                    <w:br/>
                    <w:t>*.iml</w:t>
                    <w:br/>
                    <w:t>.vscode/</w:t>
                    <w:br/>
                    <w:t>.project</w:t>
                  </w:r>
                </w:p>
              </w:tc>
              <w:tc>
                <w:tcPr>
                  <w:tcW w:type="dxa" w:w="53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Eliminates local machine IDE discrepancies and configuration conflicts across team members.</w:t>
                  </w:r>
                </w:p>
              </w:tc>
            </w:tr>
            <w:tr>
              <w:tc>
                <w:tcPr>
                  <w:tcW w:type="dxa" w:w="230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OS Cache &amp; Logs</w:t>
                  </w:r>
                </w:p>
              </w:tc>
              <w:tc>
                <w:tcPr>
                  <w:tcW w:type="dxa" w:w="259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.DS_Store</w:t>
                    <w:br/>
                    <w:t>Thumbs.db</w:t>
                    <w:br/>
                    <w:t>*.log</w:t>
                  </w:r>
                </w:p>
              </w:tc>
              <w:tc>
                <w:tcPr>
                  <w:tcW w:type="dxa" w:w="53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Suppresses temporary operating system metadata and runtime execution logs.</w:t>
                  </w:r>
                </w:p>
              </w:tc>
            </w:tr>
            <w:tr>
              <w:tc>
                <w:tcPr>
                  <w:tcW w:type="dxa" w:w="230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Scratch / Temp Files</w:t>
                  </w:r>
                </w:p>
              </w:tc>
              <w:tc>
                <w:tcPr>
                  <w:tcW w:type="dxa" w:w="259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__pycache__/</w:t>
                    <w:br/>
                    <w:t>test_*.docx</w:t>
                  </w:r>
                </w:p>
              </w:tc>
              <w:tc>
                <w:tcPr>
                  <w:tcW w:type="dxa" w:w="53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Excludes local test execution artifacts and temporary report generation copies.</w:t>
                  </w:r>
                </w:p>
              </w:tc>
            </w:tr>
          </w:tbl>
          <w:p/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4. GitHub Issue Templates Specification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Standardized Issue Tracking: </w:t>
            </w:r>
            <w:r>
              <w:rPr>
                <w:rFonts w:ascii="Calibri" w:hAnsi="Calibri"/>
                <w:color w:val="333333"/>
                <w:sz w:val="22"/>
              </w:rPr>
              <w:t>To streamline defect triage and civic feature proposals, customized GitHub Issue Templates were authored in YAML frontmatter Markdown:</w:t>
            </w:r>
          </w:p>
          <w:p>
            <w:pPr>
              <w:keepNext/>
              <w:spacing w:before="160" w:after="60"/>
            </w:pPr>
            <w:r>
              <w:rPr>
                <w:rFonts w:ascii="Calibri" w:hAnsi="Calibri"/>
                <w:b/>
                <w:color w:val="2E5B82"/>
                <w:sz w:val="23"/>
              </w:rPr>
              <w:t>4.1 Bug Report Template (.github/ISSUE_TEMPLATE/bug_report.md)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Title &amp; Labels: </w:t>
            </w:r>
            <w:r>
              <w:rPr>
                <w:rFonts w:ascii="Calibri" w:hAnsi="Calibri"/>
                <w:color w:val="333333"/>
                <w:sz w:val="22"/>
              </w:rPr>
              <w:t>Default title prefix: '[BUG] '; automatically tagged with labels: 'bug', 'triage'.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Mandatory Fields: </w:t>
            </w:r>
            <w:r>
              <w:rPr>
                <w:rFonts w:ascii="Calibri" w:hAnsi="Calibri"/>
                <w:color w:val="333333"/>
                <w:sz w:val="22"/>
              </w:rPr>
              <w:t>Bug Description, Step-by-Step Reproduction Procedure, Expected vs Actual Behavior, Screenshots / Failure Logs, and Environment Context (OS, Browser, JDK, Maven).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DevOps Benefit: </w:t>
            </w:r>
            <w:r>
              <w:rPr>
                <w:rFonts w:ascii="Calibri" w:hAnsi="Calibri"/>
                <w:color w:val="333333"/>
                <w:sz w:val="22"/>
              </w:rPr>
              <w:t>Enables rapid reproduction of defects during continuous testing and CI quality gate failures.</w:t>
            </w:r>
          </w:p>
          <w:p>
            <w:pPr>
              <w:keepNext/>
              <w:spacing w:before="160" w:after="60"/>
            </w:pPr>
            <w:r>
              <w:rPr>
                <w:rFonts w:ascii="Calibri" w:hAnsi="Calibri"/>
                <w:b/>
                <w:color w:val="2E5B82"/>
                <w:sz w:val="23"/>
              </w:rPr>
              <w:t>4.2 Feature Request Template (.github/ISSUE_TEMPLATE/feature_request.md)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Title &amp; Labels: </w:t>
            </w:r>
            <w:r>
              <w:rPr>
                <w:rFonts w:ascii="Calibri" w:hAnsi="Calibri"/>
                <w:color w:val="333333"/>
                <w:sz w:val="22"/>
              </w:rPr>
              <w:t>Default title prefix: '[FEATURE] '; automatically tagged with labels: 'enhancement', 'backlog'.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Mandatory Fields: </w:t>
            </w:r>
            <w:r>
              <w:rPr>
                <w:rFonts w:ascii="Calibri" w:hAnsi="Calibri"/>
                <w:color w:val="333333"/>
                <w:sz w:val="22"/>
              </w:rPr>
              <w:t>Feature Description, Civic Need / Problem Context, Proposed Technical Solution, and Verification Acceptance Criteria Checklist.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DevOps Benefit: </w:t>
            </w:r>
            <w:r>
              <w:rPr>
                <w:rFonts w:ascii="Calibri" w:hAnsi="Calibri"/>
                <w:color w:val="333333"/>
                <w:sz w:val="22"/>
              </w:rPr>
              <w:t>Facilitates seamless backlog grooming and Agile user story formulation for upcoming sprints.</w:t>
            </w:r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5. Branch Naming Rules and Branching Policy (GitFlow &amp; Semantic Commits)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Governance Framework: </w:t>
            </w:r>
            <w:r>
              <w:rPr>
                <w:rFonts w:ascii="Calibri" w:hAnsi="Calibri"/>
                <w:color w:val="333333"/>
                <w:sz w:val="22"/>
              </w:rPr>
              <w:t>A formal branching and collaboration policy was authored and committed in 'BRANCHING_POLICY.md', enforcing predictable branch creation, code review guidelines, and Conventional Commits across the municipal development lifecycle: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4" w:space="0" w:color="B0B7BD"/>
                <w:left w:val="single" w:sz="4" w:space="0" w:color="B0B7BD"/>
                <w:bottom w:val="single" w:sz="4" w:space="0" w:color="B0B7BD"/>
                <w:right w:val="single" w:sz="4" w:space="0" w:color="B0B7BD"/>
                <w:insideH w:val="single" w:sz="4" w:space="0" w:color="B0B7BD"/>
                <w:insideV w:val="single" w:sz="4" w:space="0" w:color="B0B7BD"/>
              </w:tblBorders>
            </w:tblPr>
            <w:tblGrid>
              <w:gridCol w:w="1990"/>
              <w:gridCol w:w="1990"/>
              <w:gridCol w:w="1990"/>
              <w:gridCol w:w="1990"/>
              <w:gridCol w:w="1990"/>
            </w:tblGrid>
            <w:tr>
              <w:tc>
                <w:tcPr>
                  <w:tcW w:type="dxa" w:w="1584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Branch Type</w:t>
                  </w:r>
                </w:p>
              </w:tc>
              <w:tc>
                <w:tcPr>
                  <w:tcW w:type="dxa" w:w="2304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Naming Convention</w:t>
                  </w:r>
                </w:p>
              </w:tc>
              <w:tc>
                <w:tcPr>
                  <w:tcW w:type="dxa" w:w="1440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Source Branch</w:t>
                  </w:r>
                </w:p>
              </w:tc>
              <w:tc>
                <w:tcPr>
                  <w:tcW w:type="dxa" w:w="1440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Merge Target</w:t>
                  </w:r>
                </w:p>
              </w:tc>
              <w:tc>
                <w:tcPr>
                  <w:tcW w:type="dxa" w:w="3456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Purpose / Usage</w:t>
                  </w:r>
                </w:p>
              </w:tc>
            </w:tr>
            <w:tr>
              <w:tc>
                <w:tcPr>
                  <w:tcW w:type="dxa" w:w="158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Production</w:t>
                  </w:r>
                </w:p>
              </w:tc>
              <w:tc>
                <w:tcPr>
                  <w:tcW w:type="dxa" w:w="230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main</w:t>
                  </w:r>
                </w:p>
              </w:tc>
              <w:tc>
                <w:tcPr>
                  <w:tcW w:type="dxa" w:w="1440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Initial SCM</w:t>
                  </w:r>
                </w:p>
              </w:tc>
              <w:tc>
                <w:tcPr>
                  <w:tcW w:type="dxa" w:w="1440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None</w:t>
                  </w:r>
                </w:p>
              </w:tc>
              <w:tc>
                <w:tcPr>
                  <w:tcW w:type="dxa" w:w="345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Houses production-ready, release-tagged source baseline (e.g. v1.0). Protected.</w:t>
                  </w:r>
                </w:p>
              </w:tc>
            </w:tr>
            <w:tr>
              <w:tc>
                <w:tcPr>
                  <w:tcW w:type="dxa" w:w="158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Development</w:t>
                  </w:r>
                </w:p>
              </w:tc>
              <w:tc>
                <w:tcPr>
                  <w:tcW w:type="dxa" w:w="230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dev</w:t>
                  </w:r>
                </w:p>
              </w:tc>
              <w:tc>
                <w:tcPr>
                  <w:tcW w:type="dxa" w:w="1440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main</w:t>
                  </w:r>
                </w:p>
              </w:tc>
              <w:tc>
                <w:tcPr>
                  <w:tcW w:type="dxa" w:w="1440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main</w:t>
                  </w:r>
                </w:p>
              </w:tc>
              <w:tc>
                <w:tcPr>
                  <w:tcW w:type="dxa" w:w="345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Integration branch for ongoing sprint development; staging target for feature PRs.</w:t>
                  </w:r>
                </w:p>
              </w:tc>
            </w:tr>
            <w:tr>
              <w:tc>
                <w:tcPr>
                  <w:tcW w:type="dxa" w:w="158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Feature</w:t>
                  </w:r>
                </w:p>
              </w:tc>
              <w:tc>
                <w:tcPr>
                  <w:tcW w:type="dxa" w:w="230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feature/&lt;name&gt;</w:t>
                  </w:r>
                </w:p>
              </w:tc>
              <w:tc>
                <w:tcPr>
                  <w:tcW w:type="dxa" w:w="1440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dev</w:t>
                  </w:r>
                </w:p>
              </w:tc>
              <w:tc>
                <w:tcPr>
                  <w:tcW w:type="dxa" w:w="1440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dev</w:t>
                  </w:r>
                </w:p>
              </w:tc>
              <w:tc>
                <w:tcPr>
                  <w:tcW w:type="dxa" w:w="345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Dedicated branch for individual user stories (e.g. feature/complaint-submission).</w:t>
                  </w:r>
                </w:p>
              </w:tc>
            </w:tr>
            <w:tr>
              <w:tc>
                <w:tcPr>
                  <w:tcW w:type="dxa" w:w="158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Bugfix</w:t>
                  </w:r>
                </w:p>
              </w:tc>
              <w:tc>
                <w:tcPr>
                  <w:tcW w:type="dxa" w:w="230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bugfix/&lt;ticket&gt;</w:t>
                  </w:r>
                </w:p>
              </w:tc>
              <w:tc>
                <w:tcPr>
                  <w:tcW w:type="dxa" w:w="1440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dev</w:t>
                  </w:r>
                </w:p>
              </w:tc>
              <w:tc>
                <w:tcPr>
                  <w:tcW w:type="dxa" w:w="1440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dev</w:t>
                  </w:r>
                </w:p>
              </w:tc>
              <w:tc>
                <w:tcPr>
                  <w:tcW w:type="dxa" w:w="345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Dedicated branch to rectify defects discovered during sprint or automated testing.</w:t>
                  </w:r>
                </w:p>
              </w:tc>
            </w:tr>
            <w:tr>
              <w:tc>
                <w:tcPr>
                  <w:tcW w:type="dxa" w:w="158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Hotfix</w:t>
                  </w:r>
                </w:p>
              </w:tc>
              <w:tc>
                <w:tcPr>
                  <w:tcW w:type="dxa" w:w="230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hotfix/&lt;version&gt;</w:t>
                  </w:r>
                </w:p>
              </w:tc>
              <w:tc>
                <w:tcPr>
                  <w:tcW w:type="dxa" w:w="1440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main</w:t>
                  </w:r>
                </w:p>
              </w:tc>
              <w:tc>
                <w:tcPr>
                  <w:tcW w:type="dxa" w:w="1440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main &amp; dev</w:t>
                  </w:r>
                </w:p>
              </w:tc>
              <w:tc>
                <w:tcPr>
                  <w:tcW w:type="dxa" w:w="345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Emergency patch for critical live issues; backported to both main and dev branches.</w:t>
                  </w:r>
                </w:p>
              </w:tc>
            </w:tr>
          </w:tbl>
          <w:p/>
          <w:p>
            <w:pPr>
              <w:keepNext/>
              <w:spacing w:before="160" w:after="60"/>
            </w:pPr>
            <w:r>
              <w:rPr>
                <w:rFonts w:ascii="Calibri" w:hAnsi="Calibri"/>
                <w:b/>
                <w:color w:val="2E5B82"/>
                <w:sz w:val="23"/>
              </w:rPr>
              <w:t>5.1 Semantic Commit Messages (Conventional Commits)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Commit Standards: </w:t>
            </w:r>
            <w:r>
              <w:rPr>
                <w:rFonts w:ascii="Calibri" w:hAnsi="Calibri"/>
                <w:color w:val="333333"/>
                <w:sz w:val="22"/>
              </w:rPr>
              <w:t>Every Git commit message is enforced to adhere to the Conventional Commits specification: '&lt;type&gt;(&lt;scope&gt;): &lt;short description&gt;'.</w:t>
              <w:br/>
              <w:t>• feat: A new functional feature (e.g. feat(core): initialize application skeleton with Maven and JUnit 5)</w:t>
              <w:br/>
              <w:t>• fix: A bug fix (e.g. fix(validation): prevent null pointer on invalid category selection)</w:t>
              <w:br/>
              <w:t>• docs: Documentation update (e.g. docs: update README with architecture and REST API catalog)</w:t>
              <w:br/>
              <w:t>• chore: Maintenance task (e.g. chore(scm): add .gitignore, issue templates, and branching policy)</w:t>
              <w:br/>
              <w:t>• test: Adding or refactoring automated tests (e.g. test(service): add unit tests for token generation)</w:t>
              <w:br/>
              <w:t>• ci: CI/CD pipeline script change (e.g. ci(jenkins): configure declarative Jenkinsfile pipeline)</w:t>
            </w:r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6. Initial Commits and Application Skeleton Baseline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Commit History Baseline: </w:t>
            </w:r>
            <w:r>
              <w:rPr>
                <w:rFonts w:ascii="Calibri" w:hAnsi="Calibri"/>
                <w:color w:val="333333"/>
                <w:sz w:val="22"/>
              </w:rPr>
              <w:t>The initial application skeleton—comprising Maven configuration (pom.xml), core Java domain classes (App, Complaint, Status, Services), and automated JUnit 5 tests—was staged and committed to the Git repository using descriptive, semantic commit messages: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4" w:space="0" w:color="B0B7BD"/>
                <w:left w:val="single" w:sz="4" w:space="0" w:color="B0B7BD"/>
                <w:bottom w:val="single" w:sz="4" w:space="0" w:color="B0B7BD"/>
                <w:right w:val="single" w:sz="4" w:space="0" w:color="B0B7BD"/>
                <w:insideH w:val="single" w:sz="4" w:space="0" w:color="B0B7BD"/>
                <w:insideV w:val="single" w:sz="4" w:space="0" w:color="B0B7BD"/>
              </w:tblBorders>
            </w:tblPr>
            <w:tblGrid>
              <w:gridCol w:w="2488"/>
              <w:gridCol w:w="2488"/>
              <w:gridCol w:w="2488"/>
              <w:gridCol w:w="2488"/>
            </w:tblGrid>
            <w:tr>
              <w:tc>
                <w:tcPr>
                  <w:tcW w:type="dxa" w:w="1584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Commit Hash</w:t>
                  </w:r>
                </w:p>
              </w:tc>
              <w:tc>
                <w:tcPr>
                  <w:tcW w:type="dxa" w:w="2016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Commit Type &amp; Scope</w:t>
                  </w:r>
                </w:p>
              </w:tc>
              <w:tc>
                <w:tcPr>
                  <w:tcW w:type="dxa" w:w="4896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Semantic Commit Message Summary</w:t>
                  </w:r>
                </w:p>
              </w:tc>
              <w:tc>
                <w:tcPr>
                  <w:tcW w:type="dxa" w:w="1728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Modified Files Count</w:t>
                  </w:r>
                </w:p>
              </w:tc>
            </w:tr>
            <w:tr>
              <w:tc>
                <w:tcPr>
                  <w:tcW w:type="dxa" w:w="158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f589ce4</w:t>
                  </w:r>
                </w:p>
              </w:tc>
              <w:tc>
                <w:tcPr>
                  <w:tcW w:type="dxa" w:w="201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docs(curriculum)</w:t>
                  </w:r>
                </w:p>
              </w:tc>
              <w:tc>
                <w:tcPr>
                  <w:tcW w:type="dxa" w:w="489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docs: add project README and tasks documentation for municipal complaint portal CI/CD pipeline</w:t>
                  </w:r>
                </w:p>
              </w:tc>
              <w:tc>
                <w:tcPr>
                  <w:tcW w:type="dxa" w:w="17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2 files</w:t>
                  </w:r>
                </w:p>
              </w:tc>
            </w:tr>
            <w:tr>
              <w:tc>
                <w:tcPr>
                  <w:tcW w:type="dxa" w:w="158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c865acf</w:t>
                  </w:r>
                </w:p>
              </w:tc>
              <w:tc>
                <w:tcPr>
                  <w:tcW w:type="dxa" w:w="201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chore(scm)</w:t>
                  </w:r>
                </w:p>
              </w:tc>
              <w:tc>
                <w:tcPr>
                  <w:tcW w:type="dxa" w:w="489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chore(scm): add .gitignore, issue templates, and branching policy</w:t>
                  </w:r>
                </w:p>
              </w:tc>
              <w:tc>
                <w:tcPr>
                  <w:tcW w:type="dxa" w:w="17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4 files</w:t>
                  </w:r>
                </w:p>
              </w:tc>
            </w:tr>
            <w:tr>
              <w:tc>
                <w:tcPr>
                  <w:tcW w:type="dxa" w:w="1584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72d7b54</w:t>
                  </w:r>
                </w:p>
              </w:tc>
              <w:tc>
                <w:tcPr>
                  <w:tcW w:type="dxa" w:w="201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feat(core)</w:t>
                  </w:r>
                </w:p>
              </w:tc>
              <w:tc>
                <w:tcPr>
                  <w:tcW w:type="dxa" w:w="489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feat(core): initialize application skeleton with Maven, domain models, and JUnit 5 tests</w:t>
                  </w:r>
                </w:p>
              </w:tc>
              <w:tc>
                <w:tcPr>
                  <w:tcW w:type="dxa" w:w="17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7 files</w:t>
                  </w:r>
                </w:p>
              </w:tc>
            </w:tr>
            <w:tr>
              <w:tc>
                <w:tcPr>
                  <w:tcW w:type="dxa" w:w="1584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74bda89</w:t>
                  </w:r>
                </w:p>
              </w:tc>
              <w:tc>
                <w:tcPr>
                  <w:tcW w:type="dxa" w:w="201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docs(readme)</w:t>
                  </w:r>
                </w:p>
              </w:tc>
              <w:tc>
                <w:tcPr>
                  <w:tcW w:type="dxa" w:w="489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docs: update README with architecture, REST APIs, and setup guide</w:t>
                  </w:r>
                </w:p>
              </w:tc>
              <w:tc>
                <w:tcPr>
                  <w:tcW w:type="dxa" w:w="17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1 file</w:t>
                  </w:r>
                </w:p>
              </w:tc>
            </w:tr>
          </w:tbl>
          <w:p/>
          <w:p>
            <w:pPr>
              <w:keepNext/>
              <w:spacing w:before="160" w:after="60"/>
            </w:pPr>
            <w:r>
              <w:rPr>
                <w:rFonts w:ascii="Calibri" w:hAnsi="Calibri"/>
                <w:b/>
                <w:color w:val="2E5B82"/>
                <w:sz w:val="23"/>
              </w:rPr>
              <w:t>6.1 Verified Git Log Output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Git Log Evidence: </w:t>
            </w:r>
            <w:r>
              <w:rPr>
                <w:rFonts w:ascii="Calibri" w:hAnsi="Calibri"/>
                <w:color w:val="333333"/>
                <w:sz w:val="22"/>
              </w:rPr>
              <w:t>$ git log --oneline -n 4</w:t>
              <w:br/>
              <w:t>74bda89 docs: update README with architecture, REST APIs, and setup guide</w:t>
              <w:br/>
              <w:t>72d7b54 feat(core): initialize application skeleton with Maven, domain models, and JUnit 5 tests</w:t>
              <w:br/>
              <w:t>c865acf chore(scm): add .gitignore, issue templates, and branching policy</w:t>
              <w:br/>
              <w:t>f589ce4 docs: add project README and tasks documentation for municipal complaint portal CI/CD pipeline</w:t>
            </w:r>
          </w:p>
        </w:tc>
      </w:tr>
      <w:tr w:rsidR="001C48C7" w14:paraId="5D174241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7E4CB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Conclusion: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24ED5" w14:textId="77777777" w:rsidR="004954B3" w:rsidRDefault="004954B3" w:rsidP="009603DB">
            <w:pPr>
              <w:shd w:val="clear" w:color="auto" w:fill="FFFFFF"/>
              <w:spacing w:after="60" w:line="276" w:lineRule="auto" w:before="60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/>
            <w:r>
              <w:rPr>
                <w:rFonts w:ascii="Calibri" w:hAnsi="Calibri"/>
                <w:color w:val="333333"/>
                <w:sz w:val="22"/>
              </w:rPr>
              <w:t>Task 4 successfully initializes the Git source code management baseline and GitHub collaborative environment for the Municipal Complaint Portal. The upstream remote repository (https://github.com/SiddhiGawade/municipal-complaint-portal-cicd.git) has been verified, and the primary branch hierarchy (main for production releases and dev for sprint integration) has been formally established. A comprehensive .gitignore file excludes build targets and environment noise, while standardized GitHub issue templates (bug_report.md and feature_request.md) enable structured community and tester feedback. A formal branching and collaboration policy (BRANCHING_POLICY.md) codifies the GitFlow lifecycle, PR review gates, and Conventional Commit conventions. The complete application skeleton (Maven pom.xml, domain entities, business services, and JUnit 5 tests) was committed using semantic commit messages, and the project README.md was updated with full architectural diagrams, API catalogs, and build instructions. This solidifies the version-controlled foundation required for Task 5 feature branch development and subsequent Jenkins CI/CD automation.</w:t>
            </w:r>
          </w:p>
        </w:tc>
      </w:tr>
    </w:tbl>
    <w:p w14:paraId="6055A1A3" w14:textId="77777777" w:rsidR="009B1007" w:rsidRDefault="009B1007">
      <w:pPr>
        <w:spacing w:after="0" w:line="240" w:lineRule="auto"/>
      </w:pPr>
    </w:p>
    <w:sectPr w:rsidR="009B1007">
      <w:headerReference w:type="default" r:id="rId1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17ED2" w14:textId="77777777" w:rsidR="00CA02AE" w:rsidRDefault="00CA02AE">
      <w:pPr>
        <w:spacing w:after="0" w:line="240" w:lineRule="auto"/>
      </w:pPr>
      <w:r>
        <w:separator/>
      </w:r>
    </w:p>
  </w:endnote>
  <w:endnote w:type="continuationSeparator" w:id="0">
    <w:p w14:paraId="08AA99C8" w14:textId="77777777" w:rsidR="00CA02AE" w:rsidRDefault="00CA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AF5BD" w14:textId="77777777" w:rsidR="00CA02AE" w:rsidRDefault="00CA02AE">
      <w:pPr>
        <w:spacing w:after="0" w:line="240" w:lineRule="auto"/>
      </w:pPr>
      <w:r>
        <w:separator/>
      </w:r>
    </w:p>
  </w:footnote>
  <w:footnote w:type="continuationSeparator" w:id="0">
    <w:p w14:paraId="57D1A2DC" w14:textId="77777777" w:rsidR="00CA02AE" w:rsidRDefault="00CA0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028BD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2227D1B9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B6D96"/>
    <w:rsid w:val="000C041D"/>
    <w:rsid w:val="000C099A"/>
    <w:rsid w:val="00117E45"/>
    <w:rsid w:val="001553D5"/>
    <w:rsid w:val="00163315"/>
    <w:rsid w:val="001C48C7"/>
    <w:rsid w:val="001D7303"/>
    <w:rsid w:val="001F5E9C"/>
    <w:rsid w:val="00223320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1276F"/>
    <w:rsid w:val="0045787B"/>
    <w:rsid w:val="004617E7"/>
    <w:rsid w:val="00477D43"/>
    <w:rsid w:val="004954B3"/>
    <w:rsid w:val="004D5CE0"/>
    <w:rsid w:val="004F3E86"/>
    <w:rsid w:val="0050241B"/>
    <w:rsid w:val="00516ACF"/>
    <w:rsid w:val="005A1E13"/>
    <w:rsid w:val="005C46D4"/>
    <w:rsid w:val="005D4250"/>
    <w:rsid w:val="005D6BE3"/>
    <w:rsid w:val="005E1276"/>
    <w:rsid w:val="00621979"/>
    <w:rsid w:val="00651B03"/>
    <w:rsid w:val="00654D14"/>
    <w:rsid w:val="00657971"/>
    <w:rsid w:val="0066555A"/>
    <w:rsid w:val="006A3C41"/>
    <w:rsid w:val="006B39A6"/>
    <w:rsid w:val="006C6999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0352"/>
    <w:rsid w:val="008B2F96"/>
    <w:rsid w:val="008F5BB7"/>
    <w:rsid w:val="008F6FCB"/>
    <w:rsid w:val="009531C6"/>
    <w:rsid w:val="009603DB"/>
    <w:rsid w:val="009B1007"/>
    <w:rsid w:val="009F238A"/>
    <w:rsid w:val="00A46C31"/>
    <w:rsid w:val="00AC48CB"/>
    <w:rsid w:val="00B2213C"/>
    <w:rsid w:val="00B4716E"/>
    <w:rsid w:val="00BC5BED"/>
    <w:rsid w:val="00C20263"/>
    <w:rsid w:val="00C61394"/>
    <w:rsid w:val="00C85BD0"/>
    <w:rsid w:val="00CA02AE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329AF"/>
    <w:rsid w:val="00E47E4A"/>
    <w:rsid w:val="00EB242D"/>
    <w:rsid w:val="00F11C80"/>
    <w:rsid w:val="00F21266"/>
    <w:rsid w:val="00F44247"/>
    <w:rsid w:val="00F47C39"/>
    <w:rsid w:val="00F60692"/>
    <w:rsid w:val="00F72CDC"/>
    <w:rsid w:val="00F77690"/>
    <w:rsid w:val="00FA7A62"/>
    <w:rsid w:val="00F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2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Siddhi Gawade</cp:lastModifiedBy>
  <cp:revision>15</cp:revision>
  <cp:lastPrinted>2026-09-22T09:44:00Z</cp:lastPrinted>
  <dcterms:created xsi:type="dcterms:W3CDTF">2026-09-29T09:18:00Z</dcterms:created>
  <dcterms:modified xsi:type="dcterms:W3CDTF">2026-10-13T09:24:00Z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