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pPr>
      <w:r>
        <w:rPr>
          <w:rFonts w:ascii="Calibri" w:hAnsi="Calibri"/>
          <w:b/>
          <w:color w:val="237C78"/>
          <w:sz w:val="34"/>
        </w:rPr>
        <w:t>TASK 15</w:t>
      </w:r>
    </w:p>
    <w:p>
      <w:pPr>
        <w:pStyle w:val="Title"/>
      </w:pPr>
      <w:r>
        <w:t>Final Release,</w:t>
        <w:br/>
        <w:t>Documentation &amp; Viva</w:t>
      </w:r>
    </w:p>
    <w:p>
      <w:pPr>
        <w:spacing w:after="400"/>
      </w:pPr>
      <w:r>
        <w:rPr>
          <w:color w:val="263746"/>
          <w:sz w:val="28"/>
        </w:rPr>
        <w:t>Municipal Complaint Portal | End-to-End DevOps</w:t>
      </w:r>
    </w:p>
    <w:tbl>
      <w:tblPr>
        <w:tblStyle w:val="TableGrid"/>
        <w:tblW w:type="auto" w:w="0"/>
        <w:jc w:val="center"/>
        <w:tblLook w:firstColumn="1" w:firstRow="1" w:lastColumn="0" w:lastRow="0" w:noHBand="0" w:noVBand="1" w:val="04A0"/>
      </w:tblPr>
      <w:tblGrid>
        <w:gridCol w:w="3389"/>
        <w:gridCol w:w="3389"/>
        <w:gridCol w:w="3389"/>
      </w:tblGrid>
      <w:tr>
        <w:tc>
          <w:tcPr>
            <w:tcW w:type="dxa" w:w="3096"/>
            <w:shd w:fill="19324A"/>
            <w:vAlign w:val="center"/>
          </w:tcPr>
          <w:p>
            <w:pPr>
              <w:spacing w:after="40"/>
            </w:pPr>
            <w:r/>
            <w:r>
              <w:rPr>
                <w:rFonts w:ascii="Calibri" w:hAnsi="Calibri"/>
                <w:b/>
                <w:color w:val="FFFFFF"/>
                <w:sz w:val="17"/>
              </w:rPr>
              <w:t>Release decision</w:t>
            </w:r>
          </w:p>
        </w:tc>
        <w:tc>
          <w:tcPr>
            <w:tcW w:type="dxa" w:w="3240"/>
            <w:shd w:fill="19324A"/>
            <w:vAlign w:val="center"/>
          </w:tcPr>
          <w:p>
            <w:pPr>
              <w:spacing w:after="40"/>
            </w:pPr>
            <w:r/>
            <w:r>
              <w:rPr>
                <w:rFonts w:ascii="Calibri" w:hAnsi="Calibri"/>
                <w:b/>
                <w:color w:val="FFFFFF"/>
                <w:sz w:val="17"/>
              </w:rPr>
              <w:t>Local quality gates</w:t>
            </w:r>
          </w:p>
        </w:tc>
        <w:tc>
          <w:tcPr>
            <w:tcW w:type="dxa" w:w="3240"/>
            <w:shd w:fill="19324A"/>
            <w:vAlign w:val="center"/>
          </w:tcPr>
          <w:p>
            <w:pPr>
              <w:spacing w:after="40"/>
            </w:pPr>
            <w:r/>
            <w:r>
              <w:rPr>
                <w:rFonts w:ascii="Calibri" w:hAnsi="Calibri"/>
                <w:b/>
                <w:color w:val="FFFFFF"/>
                <w:sz w:val="17"/>
              </w:rPr>
              <w:t>External rollout</w:t>
            </w:r>
          </w:p>
        </w:tc>
      </w:tr>
      <w:tr>
        <w:tc>
          <w:tcPr>
            <w:tcW w:type="dxa" w:w="3096"/>
            <w:vAlign w:val="center"/>
          </w:tcPr>
          <w:p>
            <w:pPr>
              <w:spacing w:after="40"/>
            </w:pPr>
            <w:r/>
            <w:r>
              <w:rPr>
                <w:rFonts w:ascii="Calibri" w:hAnsi="Calibri"/>
                <w:b w:val="0"/>
                <w:color w:val="263746"/>
                <w:sz w:val="17"/>
              </w:rPr>
              <w:t>HOLD - not a production release</w:t>
            </w:r>
          </w:p>
        </w:tc>
        <w:tc>
          <w:tcPr>
            <w:tcW w:type="dxa" w:w="3240"/>
            <w:vAlign w:val="center"/>
          </w:tcPr>
          <w:p>
            <w:pPr>
              <w:spacing w:after="40"/>
            </w:pPr>
            <w:r/>
            <w:r>
              <w:rPr>
                <w:rFonts w:ascii="Calibri" w:hAnsi="Calibri"/>
                <w:b w:val="0"/>
                <w:color w:val="263746"/>
                <w:sz w:val="17"/>
              </w:rPr>
              <w:t>PASS - 17/17 unit; 5/5 Selenium</w:t>
            </w:r>
          </w:p>
        </w:tc>
        <w:tc>
          <w:tcPr>
            <w:tcW w:type="dxa" w:w="3240"/>
            <w:vAlign w:val="center"/>
          </w:tcPr>
          <w:p>
            <w:pPr>
              <w:spacing w:after="40"/>
            </w:pPr>
            <w:r/>
            <w:r>
              <w:rPr>
                <w:rFonts w:ascii="Calibri" w:hAnsi="Calibri"/>
                <w:b w:val="0"/>
                <w:color w:val="263746"/>
                <w:sz w:val="17"/>
              </w:rPr>
              <w:t>PENDING - Docker registry and Ansible target</w:t>
            </w:r>
          </w:p>
        </w:tc>
      </w:tr>
    </w:tbl>
    <w:p>
      <w:pPr>
        <w:spacing w:after="20"/>
      </w:pPr>
    </w:p>
    <w:p>
      <w:pPr>
        <w:spacing w:before="360"/>
      </w:pPr>
      <w:r>
        <w:t>Evidence snapshot: 2026-10-20T14:04:16+05:30</w:t>
        <w:br/>
        <w:t>Git branch: dev | HEAD: abc900735330</w:t>
        <w:br/>
        <w:t>Prepared as a reproducible technical report. Test success is reported separately from image publication and remote provisioning.</w:t>
      </w:r>
    </w:p>
    <w:p>
      <w:r>
        <w:br w:type="page"/>
      </w:r>
    </w:p>
    <w:p>
      <w:pPr>
        <w:pStyle w:val="Heading1"/>
      </w:pPr>
      <w:r>
        <w:t>1. Executive summary</w:t>
      </w:r>
    </w:p>
    <w:p>
      <w:r>
        <w:t>The Task 15 package documents the portal architecture, test gates, Docker delivery design, Ansible provisioning and recovery procedure, troubleshooting, known limitations, and a prioritized improvement plan. The current workspace passes its local unit and Selenium suites and a loopback health smoke test.</w:t>
      </w:r>
    </w:p>
    <w:p>
      <w:r>
        <w:t>The complete release is not claimed. The current Docker build context is untracked, Docker base images are not cached, no registry publish was performed, and no authorized Linux host is configured. Existing Jenkins build #6 is a successful historical native JAR/Nginx run at revision 9aa2e01; it predates the Docker pipeline commit.</w:t>
      </w:r>
    </w:p>
    <w:p>
      <w:pPr>
        <w:pStyle w:val="Heading1"/>
      </w:pPr>
      <w:r>
        <w:t>2. Architecture</w:t>
      </w:r>
    </w:p>
    <w:p>
      <w:r>
        <w:t>The portal uses the JDK HTTP server, service-level validation, and an in-memory concurrent complaint map. Jenkins is the build and test orchestrator. Docker packaging and Jenkins staging deployment are one delivery path; Ansible provisions a separate Debian/Ubuntu target and is not invoked by the current Jenkinsfile.</w:t>
      </w:r>
    </w:p>
    <w:p>
      <w:r>
        <w:drawing>
          <wp:inline xmlns:a="http://schemas.openxmlformats.org/drawingml/2006/main" xmlns:pic="http://schemas.openxmlformats.org/drawingml/2006/picture">
            <wp:extent cx="6400800" cy="3817517"/>
            <wp:docPr id="1" name="Picture 1"/>
            <wp:cNvGraphicFramePr>
              <a:graphicFrameLocks noChangeAspect="1"/>
            </wp:cNvGraphicFramePr>
            <a:graphic>
              <a:graphicData uri="http://schemas.openxmlformats.org/drawingml/2006/picture">
                <pic:pic>
                  <pic:nvPicPr>
                    <pic:cNvPr id="0" name="Task15_architecture.png"/>
                    <pic:cNvPicPr/>
                  </pic:nvPicPr>
                  <pic:blipFill>
                    <a:blip r:embed="rId11"/>
                    <a:stretch>
                      <a:fillRect/>
                    </a:stretch>
                  </pic:blipFill>
                  <pic:spPr>
                    <a:xfrm>
                      <a:off x="0" y="0"/>
                      <a:ext cx="6400800" cy="3817517"/>
                    </a:xfrm>
                    <a:prstGeom prst="rect"/>
                  </pic:spPr>
                </pic:pic>
              </a:graphicData>
            </a:graphic>
          </wp:inline>
        </w:drawing>
      </w:r>
    </w:p>
    <w:p>
      <w:pPr>
        <w:pStyle w:val="Caption"/>
      </w:pPr>
      <w:r>
        <w:t>Figure 1. Runtime and delivery architecture. Backend port 8085 is loopback-bound by default; Nginx exposes port 8090.</w:t>
      </w:r>
    </w:p>
    <w:p>
      <w:pPr>
        <w:pStyle w:val="Heading1"/>
      </w:pPr>
      <w:r>
        <w:t>3. Release workflow and quality gates</w:t>
      </w:r>
    </w:p>
    <w:p>
      <w:r>
        <w:drawing>
          <wp:inline xmlns:a="http://schemas.openxmlformats.org/drawingml/2006/main" xmlns:pic="http://schemas.openxmlformats.org/drawingml/2006/picture">
            <wp:extent cx="6400800" cy="2693661"/>
            <wp:docPr id="2" name="Picture 2"/>
            <wp:cNvGraphicFramePr>
              <a:graphicFrameLocks noChangeAspect="1"/>
            </wp:cNvGraphicFramePr>
            <a:graphic>
              <a:graphicData uri="http://schemas.openxmlformats.org/drawingml/2006/picture">
                <pic:pic>
                  <pic:nvPicPr>
                    <pic:cNvPr id="0" name="Task15_release_workflow.png"/>
                    <pic:cNvPicPr/>
                  </pic:nvPicPr>
                  <pic:blipFill>
                    <a:blip r:embed="rId12"/>
                    <a:stretch>
                      <a:fillRect/>
                    </a:stretch>
                  </pic:blipFill>
                  <pic:spPr>
                    <a:xfrm>
                      <a:off x="0" y="0"/>
                      <a:ext cx="6400800" cy="2693661"/>
                    </a:xfrm>
                    <a:prstGeom prst="rect"/>
                  </pic:spPr>
                </pic:pic>
              </a:graphicData>
            </a:graphic>
          </wp:inline>
        </w:drawing>
      </w:r>
    </w:p>
    <w:p>
      <w:pPr>
        <w:pStyle w:val="Caption"/>
      </w:pPr>
      <w:r>
        <w:t>Figure 2. Release gates and verification boundary for this snapshot.</w:t>
      </w:r>
    </w:p>
    <w:tbl>
      <w:tblPr>
        <w:tblStyle w:val="TableGrid"/>
        <w:tblW w:type="auto" w:w="0"/>
        <w:jc w:val="center"/>
        <w:tblLook w:firstColumn="1" w:firstRow="1" w:lastColumn="0" w:lastRow="0" w:noHBand="0" w:noVBand="1" w:val="04A0"/>
      </w:tblPr>
      <w:tblGrid>
        <w:gridCol w:w="3389"/>
        <w:gridCol w:w="3389"/>
        <w:gridCol w:w="3389"/>
      </w:tblGrid>
      <w:tr>
        <w:tc>
          <w:tcPr>
            <w:tcW w:type="dxa" w:w="1944"/>
            <w:shd w:fill="19324A"/>
            <w:vAlign w:val="center"/>
          </w:tcPr>
          <w:p>
            <w:pPr>
              <w:spacing w:after="40"/>
            </w:pPr>
            <w:r/>
            <w:r>
              <w:rPr>
                <w:rFonts w:ascii="Calibri" w:hAnsi="Calibri"/>
                <w:b/>
                <w:color w:val="FFFFFF"/>
                <w:sz w:val="17"/>
              </w:rPr>
              <w:t>Stage</w:t>
            </w:r>
          </w:p>
        </w:tc>
        <w:tc>
          <w:tcPr>
            <w:tcW w:type="dxa" w:w="4824"/>
            <w:shd w:fill="19324A"/>
            <w:vAlign w:val="center"/>
          </w:tcPr>
          <w:p>
            <w:pPr>
              <w:spacing w:after="40"/>
            </w:pPr>
            <w:r/>
            <w:r>
              <w:rPr>
                <w:rFonts w:ascii="Calibri" w:hAnsi="Calibri"/>
                <w:b/>
                <w:color w:val="FFFFFF"/>
                <w:sz w:val="17"/>
              </w:rPr>
              <w:t>Implementation</w:t>
            </w:r>
          </w:p>
        </w:tc>
        <w:tc>
          <w:tcPr>
            <w:tcW w:type="dxa" w:w="3384"/>
            <w:shd w:fill="19324A"/>
            <w:vAlign w:val="center"/>
          </w:tcPr>
          <w:p>
            <w:pPr>
              <w:spacing w:after="40"/>
            </w:pPr>
            <w:r/>
            <w:r>
              <w:rPr>
                <w:rFonts w:ascii="Calibri" w:hAnsi="Calibri"/>
                <w:b/>
                <w:color w:val="FFFFFF"/>
                <w:sz w:val="17"/>
              </w:rPr>
              <w:t>Current evidence</w:t>
            </w:r>
          </w:p>
        </w:tc>
      </w:tr>
      <w:tr>
        <w:tc>
          <w:tcPr>
            <w:tcW w:type="dxa" w:w="1944"/>
            <w:vAlign w:val="center"/>
          </w:tcPr>
          <w:p>
            <w:pPr>
              <w:spacing w:after="40"/>
            </w:pPr>
            <w:r/>
            <w:r>
              <w:rPr>
                <w:rFonts w:ascii="Calibri" w:hAnsi="Calibri"/>
                <w:b w:val="0"/>
                <w:color w:val="263746"/>
                <w:sz w:val="17"/>
              </w:rPr>
              <w:t>Checkout/version</w:t>
            </w:r>
          </w:p>
        </w:tc>
        <w:tc>
          <w:tcPr>
            <w:tcW w:type="dxa" w:w="4824"/>
            <w:vAlign w:val="center"/>
          </w:tcPr>
          <w:p>
            <w:pPr>
              <w:spacing w:after="40"/>
            </w:pPr>
            <w:r/>
            <w:r>
              <w:rPr>
                <w:rFonts w:ascii="Calibri" w:hAnsi="Calibri"/>
                <w:b w:val="0"/>
                <w:color w:val="263746"/>
                <w:sz w:val="17"/>
              </w:rPr>
              <w:t>Git SCM; tag includes Maven version, build number, commit</w:t>
            </w:r>
          </w:p>
        </w:tc>
        <w:tc>
          <w:tcPr>
            <w:tcW w:type="dxa" w:w="3384"/>
            <w:vAlign w:val="center"/>
          </w:tcPr>
          <w:p>
            <w:pPr>
              <w:spacing w:after="40"/>
            </w:pPr>
            <w:r/>
            <w:r>
              <w:rPr>
                <w:rFonts w:ascii="Calibri" w:hAnsi="Calibri"/>
                <w:b w:val="0"/>
                <w:color w:val="263746"/>
                <w:sz w:val="17"/>
              </w:rPr>
              <w:t>Local HEAD abc900735330; Jenkins #6 used 9aa2e01</w:t>
            </w:r>
          </w:p>
        </w:tc>
      </w:tr>
      <w:tr>
        <w:tc>
          <w:tcPr>
            <w:tcW w:type="dxa" w:w="1944"/>
            <w:shd w:fill="F3F5F6"/>
            <w:vAlign w:val="center"/>
          </w:tcPr>
          <w:p>
            <w:pPr>
              <w:spacing w:after="40"/>
            </w:pPr>
            <w:r/>
            <w:r>
              <w:rPr>
                <w:rFonts w:ascii="Calibri" w:hAnsi="Calibri"/>
                <w:b w:val="0"/>
                <w:color w:val="263746"/>
                <w:sz w:val="17"/>
              </w:rPr>
              <w:t>Build and unit gate</w:t>
            </w:r>
          </w:p>
        </w:tc>
        <w:tc>
          <w:tcPr>
            <w:tcW w:type="dxa" w:w="4824"/>
            <w:shd w:fill="F3F5F6"/>
            <w:vAlign w:val="center"/>
          </w:tcPr>
          <w:p>
            <w:pPr>
              <w:spacing w:after="40"/>
            </w:pPr>
            <w:r/>
            <w:r>
              <w:rPr>
                <w:rFonts w:ascii="Calibri" w:hAnsi="Calibri"/>
                <w:b w:val="0"/>
                <w:color w:val="263746"/>
                <w:sz w:val="17"/>
              </w:rPr>
              <w:t>Maven compile/package; archive JAR and publish JUnit</w:t>
            </w:r>
          </w:p>
        </w:tc>
        <w:tc>
          <w:tcPr>
            <w:tcW w:type="dxa" w:w="3384"/>
            <w:shd w:fill="F3F5F6"/>
            <w:vAlign w:val="center"/>
          </w:tcPr>
          <w:p>
            <w:pPr>
              <w:spacing w:after="40"/>
            </w:pPr>
            <w:r/>
            <w:r>
              <w:rPr>
                <w:rFonts w:ascii="Calibri" w:hAnsi="Calibri"/>
                <w:b w:val="0"/>
                <w:color w:val="263746"/>
                <w:sz w:val="17"/>
              </w:rPr>
              <w:t>17 tests passed locally</w:t>
            </w:r>
          </w:p>
        </w:tc>
      </w:tr>
      <w:tr>
        <w:tc>
          <w:tcPr>
            <w:tcW w:type="dxa" w:w="1944"/>
            <w:vAlign w:val="center"/>
          </w:tcPr>
          <w:p>
            <w:pPr>
              <w:spacing w:after="40"/>
            </w:pPr>
            <w:r/>
            <w:r>
              <w:rPr>
                <w:rFonts w:ascii="Calibri" w:hAnsi="Calibri"/>
                <w:b w:val="0"/>
                <w:color w:val="263746"/>
                <w:sz w:val="17"/>
              </w:rPr>
              <w:t>Selenium gate</w:t>
            </w:r>
          </w:p>
        </w:tc>
        <w:tc>
          <w:tcPr>
            <w:tcW w:type="dxa" w:w="4824"/>
            <w:vAlign w:val="center"/>
          </w:tcPr>
          <w:p>
            <w:pPr>
              <w:spacing w:after="40"/>
            </w:pPr>
            <w:r/>
            <w:r>
              <w:rPr>
                <w:rFonts w:ascii="Calibri" w:hAnsi="Calibri"/>
                <w:b w:val="0"/>
                <w:color w:val="263746"/>
                <w:sz w:val="17"/>
              </w:rPr>
              <w:t>Failsafe integration tests run before Docker build/push</w:t>
            </w:r>
          </w:p>
        </w:tc>
        <w:tc>
          <w:tcPr>
            <w:tcW w:type="dxa" w:w="3384"/>
            <w:vAlign w:val="center"/>
          </w:tcPr>
          <w:p>
            <w:pPr>
              <w:spacing w:after="40"/>
            </w:pPr>
            <w:r/>
            <w:r>
              <w:rPr>
                <w:rFonts w:ascii="Calibri" w:hAnsi="Calibri"/>
                <w:b w:val="0"/>
                <w:color w:val="263746"/>
                <w:sz w:val="17"/>
              </w:rPr>
              <w:t>5 tests passed locally</w:t>
            </w:r>
          </w:p>
        </w:tc>
      </w:tr>
      <w:tr>
        <w:tc>
          <w:tcPr>
            <w:tcW w:type="dxa" w:w="1944"/>
            <w:shd w:fill="F3F5F6"/>
            <w:vAlign w:val="center"/>
          </w:tcPr>
          <w:p>
            <w:pPr>
              <w:spacing w:after="40"/>
            </w:pPr>
            <w:r/>
            <w:r>
              <w:rPr>
                <w:rFonts w:ascii="Calibri" w:hAnsi="Calibri"/>
                <w:b w:val="0"/>
                <w:color w:val="263746"/>
                <w:sz w:val="17"/>
              </w:rPr>
              <w:t>Docker build/publish</w:t>
            </w:r>
          </w:p>
        </w:tc>
        <w:tc>
          <w:tcPr>
            <w:tcW w:type="dxa" w:w="4824"/>
            <w:shd w:fill="F3F5F6"/>
            <w:vAlign w:val="center"/>
          </w:tcPr>
          <w:p>
            <w:pPr>
              <w:spacing w:after="40"/>
            </w:pPr>
            <w:r/>
            <w:r>
              <w:rPr>
                <w:rFonts w:ascii="Calibri" w:hAnsi="Calibri"/>
                <w:b w:val="0"/>
                <w:color w:val="263746"/>
                <w:sz w:val="17"/>
              </w:rPr>
              <w:t>Multi-stage Java 17 image; immutable and latest tags</w:t>
            </w:r>
          </w:p>
        </w:tc>
        <w:tc>
          <w:tcPr>
            <w:tcW w:type="dxa" w:w="3384"/>
            <w:shd w:fill="F3F5F6"/>
            <w:vAlign w:val="center"/>
          </w:tcPr>
          <w:p>
            <w:pPr>
              <w:spacing w:after="40"/>
            </w:pPr>
            <w:r/>
            <w:r>
              <w:rPr>
                <w:rFonts w:ascii="Calibri" w:hAnsi="Calibri"/>
                <w:b w:val="0"/>
                <w:color w:val="263746"/>
                <w:sz w:val="17"/>
              </w:rPr>
              <w:t>Not run; base images absent and no pull/push performed</w:t>
            </w:r>
          </w:p>
        </w:tc>
      </w:tr>
      <w:tr>
        <w:tc>
          <w:tcPr>
            <w:tcW w:type="dxa" w:w="1944"/>
            <w:vAlign w:val="center"/>
          </w:tcPr>
          <w:p>
            <w:pPr>
              <w:spacing w:after="40"/>
            </w:pPr>
            <w:r/>
            <w:r>
              <w:rPr>
                <w:rFonts w:ascii="Calibri" w:hAnsi="Calibri"/>
                <w:b w:val="0"/>
                <w:color w:val="263746"/>
                <w:sz w:val="17"/>
              </w:rPr>
              <w:t>Staging deployment</w:t>
            </w:r>
          </w:p>
        </w:tc>
        <w:tc>
          <w:tcPr>
            <w:tcW w:type="dxa" w:w="4824"/>
            <w:vAlign w:val="center"/>
          </w:tcPr>
          <w:p>
            <w:pPr>
              <w:spacing w:after="40"/>
            </w:pPr>
            <w:r/>
            <w:r>
              <w:rPr>
                <w:rFonts w:ascii="Calibri" w:hAnsi="Calibri"/>
                <w:b w:val="0"/>
                <w:color w:val="263746"/>
                <w:sz w:val="17"/>
              </w:rPr>
              <w:t>Deploy script replaces environment container; health/evidence archive</w:t>
            </w:r>
          </w:p>
        </w:tc>
        <w:tc>
          <w:tcPr>
            <w:tcW w:type="dxa" w:w="3384"/>
            <w:vAlign w:val="center"/>
          </w:tcPr>
          <w:p>
            <w:pPr>
              <w:spacing w:after="40"/>
            </w:pPr>
            <w:r/>
            <w:r>
              <w:rPr>
                <w:rFonts w:ascii="Calibri" w:hAnsi="Calibri"/>
                <w:b w:val="0"/>
                <w:color w:val="263746"/>
                <w:sz w:val="17"/>
              </w:rPr>
              <w:t>Current Docker pipeline not verified</w:t>
            </w:r>
          </w:p>
        </w:tc>
      </w:tr>
      <w:tr>
        <w:tc>
          <w:tcPr>
            <w:tcW w:type="dxa" w:w="1944"/>
            <w:shd w:fill="F3F5F6"/>
            <w:vAlign w:val="center"/>
          </w:tcPr>
          <w:p>
            <w:pPr>
              <w:spacing w:after="40"/>
            </w:pPr>
            <w:r/>
            <w:r>
              <w:rPr>
                <w:rFonts w:ascii="Calibri" w:hAnsi="Calibri"/>
                <w:b w:val="0"/>
                <w:color w:val="263746"/>
                <w:sz w:val="17"/>
              </w:rPr>
              <w:t>Ansible rollout</w:t>
            </w:r>
          </w:p>
        </w:tc>
        <w:tc>
          <w:tcPr>
            <w:tcW w:type="dxa" w:w="4824"/>
            <w:shd w:fill="F3F5F6"/>
            <w:vAlign w:val="center"/>
          </w:tcPr>
          <w:p>
            <w:pPr>
              <w:spacing w:after="40"/>
            </w:pPr>
            <w:r/>
            <w:r>
              <w:rPr>
                <w:rFonts w:ascii="Calibri" w:hAnsi="Calibri"/>
                <w:b w:val="0"/>
                <w:color w:val="263746"/>
                <w:sz w:val="17"/>
              </w:rPr>
              <w:t>Host baseline, versioned image, health checks, recovery</w:t>
            </w:r>
          </w:p>
        </w:tc>
        <w:tc>
          <w:tcPr>
            <w:tcW w:type="dxa" w:w="3384"/>
            <w:shd w:fill="F3F5F6"/>
            <w:vAlign w:val="center"/>
          </w:tcPr>
          <w:p>
            <w:pPr>
              <w:spacing w:after="40"/>
            </w:pPr>
            <w:r/>
            <w:r>
              <w:rPr>
                <w:rFonts w:ascii="Calibri" w:hAnsi="Calibri"/>
                <w:b w:val="0"/>
                <w:color w:val="263746"/>
                <w:sz w:val="17"/>
              </w:rPr>
              <w:t>Not run; reserved inventory target and no Ansible binary</w:t>
            </w:r>
          </w:p>
        </w:tc>
      </w:tr>
    </w:tbl>
    <w:p>
      <w:pPr>
        <w:spacing w:after="20"/>
      </w:pPr>
    </w:p>
    <w:p>
      <w:pPr>
        <w:pStyle w:val="Heading1"/>
      </w:pPr>
      <w:r>
        <w:t>4. Validation results</w:t>
      </w:r>
    </w:p>
    <w:tbl>
      <w:tblPr>
        <w:tblStyle w:val="TableGrid"/>
        <w:tblW w:type="auto" w:w="0"/>
        <w:jc w:val="center"/>
        <w:tblLook w:firstColumn="1" w:firstRow="1" w:lastColumn="0" w:lastRow="0" w:noHBand="0" w:noVBand="1" w:val="04A0"/>
      </w:tblPr>
      <w:tblGrid>
        <w:gridCol w:w="3389"/>
        <w:gridCol w:w="3389"/>
        <w:gridCol w:w="3389"/>
      </w:tblGrid>
      <w:tr>
        <w:tc>
          <w:tcPr>
            <w:tcW w:type="dxa" w:w="2232"/>
            <w:shd w:fill="19324A"/>
            <w:vAlign w:val="center"/>
          </w:tcPr>
          <w:p>
            <w:pPr>
              <w:spacing w:after="40"/>
            </w:pPr>
            <w:r/>
            <w:r>
              <w:rPr>
                <w:rFonts w:ascii="Calibri" w:hAnsi="Calibri"/>
                <w:b/>
                <w:color w:val="FFFFFF"/>
                <w:sz w:val="17"/>
              </w:rPr>
              <w:t>Check</w:t>
            </w:r>
          </w:p>
        </w:tc>
        <w:tc>
          <w:tcPr>
            <w:tcW w:type="dxa" w:w="3600"/>
            <w:shd w:fill="19324A"/>
            <w:vAlign w:val="center"/>
          </w:tcPr>
          <w:p>
            <w:pPr>
              <w:spacing w:after="40"/>
            </w:pPr>
            <w:r/>
            <w:r>
              <w:rPr>
                <w:rFonts w:ascii="Calibri" w:hAnsi="Calibri"/>
                <w:b/>
                <w:color w:val="FFFFFF"/>
                <w:sz w:val="17"/>
              </w:rPr>
              <w:t>Result</w:t>
            </w:r>
          </w:p>
        </w:tc>
        <w:tc>
          <w:tcPr>
            <w:tcW w:type="dxa" w:w="4320"/>
            <w:shd w:fill="19324A"/>
            <w:vAlign w:val="center"/>
          </w:tcPr>
          <w:p>
            <w:pPr>
              <w:spacing w:after="40"/>
            </w:pPr>
            <w:r/>
            <w:r>
              <w:rPr>
                <w:rFonts w:ascii="Calibri" w:hAnsi="Calibri"/>
                <w:b/>
                <w:color w:val="FFFFFF"/>
                <w:sz w:val="17"/>
              </w:rPr>
              <w:t>Scope</w:t>
            </w:r>
          </w:p>
        </w:tc>
      </w:tr>
      <w:tr>
        <w:tc>
          <w:tcPr>
            <w:tcW w:type="dxa" w:w="2232"/>
            <w:vAlign w:val="center"/>
          </w:tcPr>
          <w:p>
            <w:pPr>
              <w:spacing w:after="40"/>
            </w:pPr>
            <w:r/>
            <w:r>
              <w:rPr>
                <w:rFonts w:ascii="Calibri" w:hAnsi="Calibri"/>
                <w:b w:val="0"/>
                <w:color w:val="263746"/>
                <w:sz w:val="17"/>
              </w:rPr>
              <w:t>Maven unit tests</w:t>
            </w:r>
          </w:p>
        </w:tc>
        <w:tc>
          <w:tcPr>
            <w:tcW w:type="dxa" w:w="3600"/>
            <w:vAlign w:val="center"/>
          </w:tcPr>
          <w:p>
            <w:pPr>
              <w:spacing w:after="40"/>
            </w:pPr>
            <w:r/>
            <w:r>
              <w:rPr>
                <w:rFonts w:ascii="Calibri" w:hAnsi="Calibri"/>
                <w:b w:val="0"/>
                <w:color w:val="263746"/>
                <w:sz w:val="17"/>
              </w:rPr>
              <w:t>PASS: 17 tests; 0 failures; 0 errors</w:t>
            </w:r>
          </w:p>
        </w:tc>
        <w:tc>
          <w:tcPr>
            <w:tcW w:type="dxa" w:w="4320"/>
            <w:vAlign w:val="center"/>
          </w:tcPr>
          <w:p>
            <w:pPr>
              <w:spacing w:after="40"/>
            </w:pPr>
            <w:r/>
            <w:r>
              <w:rPr>
                <w:rFonts w:ascii="Calibri" w:hAnsi="Calibri"/>
                <w:b w:val="0"/>
                <w:color w:val="263746"/>
                <w:sz w:val="17"/>
              </w:rPr>
              <w:t>Offline run against current workspace.</w:t>
            </w:r>
          </w:p>
        </w:tc>
      </w:tr>
      <w:tr>
        <w:tc>
          <w:tcPr>
            <w:tcW w:type="dxa" w:w="2232"/>
            <w:shd w:fill="F3F5F6"/>
            <w:vAlign w:val="center"/>
          </w:tcPr>
          <w:p>
            <w:pPr>
              <w:spacing w:after="40"/>
            </w:pPr>
            <w:r/>
            <w:r>
              <w:rPr>
                <w:rFonts w:ascii="Calibri" w:hAnsi="Calibri"/>
                <w:b w:val="0"/>
                <w:color w:val="263746"/>
                <w:sz w:val="17"/>
              </w:rPr>
              <w:t>Selenium/Failsafe</w:t>
            </w:r>
          </w:p>
        </w:tc>
        <w:tc>
          <w:tcPr>
            <w:tcW w:type="dxa" w:w="3600"/>
            <w:shd w:fill="F3F5F6"/>
            <w:vAlign w:val="center"/>
          </w:tcPr>
          <w:p>
            <w:pPr>
              <w:spacing w:after="40"/>
            </w:pPr>
            <w:r/>
            <w:r>
              <w:rPr>
                <w:rFonts w:ascii="Calibri" w:hAnsi="Calibri"/>
                <w:b w:val="0"/>
                <w:color w:val="263746"/>
                <w:sz w:val="17"/>
              </w:rPr>
              <w:t>PASS: 5 tests; 0 failures; 0 errors</w:t>
            </w:r>
          </w:p>
        </w:tc>
        <w:tc>
          <w:tcPr>
            <w:tcW w:type="dxa" w:w="4320"/>
            <w:shd w:fill="F3F5F6"/>
            <w:vAlign w:val="center"/>
          </w:tcPr>
          <w:p>
            <w:pPr>
              <w:spacing w:after="40"/>
            </w:pPr>
            <w:r/>
            <w:r>
              <w:rPr>
                <w:rFonts w:ascii="Calibri" w:hAnsi="Calibri"/>
                <w:b w:val="0"/>
                <w:color w:val="263746"/>
                <w:sz w:val="17"/>
              </w:rPr>
              <w:t>Headless Chrome; cached ChromeDriver; CDP warning was non-fatal.</w:t>
            </w:r>
          </w:p>
        </w:tc>
      </w:tr>
      <w:tr>
        <w:tc>
          <w:tcPr>
            <w:tcW w:type="dxa" w:w="2232"/>
            <w:vAlign w:val="center"/>
          </w:tcPr>
          <w:p>
            <w:pPr>
              <w:spacing w:after="40"/>
            </w:pPr>
            <w:r/>
            <w:r>
              <w:rPr>
                <w:rFonts w:ascii="Calibri" w:hAnsi="Calibri"/>
                <w:b w:val="0"/>
                <w:color w:val="263746"/>
                <w:sz w:val="17"/>
              </w:rPr>
              <w:t>Ansible YAML</w:t>
            </w:r>
          </w:p>
        </w:tc>
        <w:tc>
          <w:tcPr>
            <w:tcW w:type="dxa" w:w="3600"/>
            <w:vAlign w:val="center"/>
          </w:tcPr>
          <w:p>
            <w:pPr>
              <w:spacing w:after="40"/>
            </w:pPr>
            <w:r/>
            <w:r>
              <w:rPr>
                <w:rFonts w:ascii="Calibri" w:hAnsi="Calibri"/>
                <w:b w:val="0"/>
                <w:color w:val="263746"/>
                <w:sz w:val="17"/>
              </w:rPr>
              <w:t>PASS</w:t>
            </w:r>
          </w:p>
        </w:tc>
        <w:tc>
          <w:tcPr>
            <w:tcW w:type="dxa" w:w="4320"/>
            <w:vAlign w:val="center"/>
          </w:tcPr>
          <w:p>
            <w:pPr>
              <w:spacing w:after="40"/>
            </w:pPr>
            <w:r/>
            <w:r>
              <w:rPr>
                <w:rFonts w:ascii="Calibri" w:hAnsi="Calibri"/>
                <w:b w:val="0"/>
                <w:color w:val="263746"/>
                <w:sz w:val="17"/>
              </w:rPr>
              <w:t>PyYAML parses site, task14, health_checks, and requirements files.</w:t>
            </w:r>
          </w:p>
        </w:tc>
      </w:tr>
      <w:tr>
        <w:tc>
          <w:tcPr>
            <w:tcW w:type="dxa" w:w="2232"/>
            <w:shd w:fill="F3F5F6"/>
            <w:vAlign w:val="center"/>
          </w:tcPr>
          <w:p>
            <w:pPr>
              <w:spacing w:after="40"/>
            </w:pPr>
            <w:r/>
            <w:r>
              <w:rPr>
                <w:rFonts w:ascii="Calibri" w:hAnsi="Calibri"/>
                <w:b w:val="0"/>
                <w:color w:val="263746"/>
                <w:sz w:val="17"/>
              </w:rPr>
              <w:t>Ansible syntax check</w:t>
            </w:r>
          </w:p>
        </w:tc>
        <w:tc>
          <w:tcPr>
            <w:tcW w:type="dxa" w:w="3600"/>
            <w:shd w:fill="F3F5F6"/>
            <w:vAlign w:val="center"/>
          </w:tcPr>
          <w:p>
            <w:pPr>
              <w:spacing w:after="40"/>
            </w:pPr>
            <w:r/>
            <w:r>
              <w:rPr>
                <w:rFonts w:ascii="Calibri" w:hAnsi="Calibri"/>
                <w:b w:val="0"/>
                <w:color w:val="263746"/>
                <w:sz w:val="17"/>
              </w:rPr>
              <w:t>NOT RUN</w:t>
            </w:r>
          </w:p>
        </w:tc>
        <w:tc>
          <w:tcPr>
            <w:tcW w:type="dxa" w:w="4320"/>
            <w:shd w:fill="F3F5F6"/>
            <w:vAlign w:val="center"/>
          </w:tcPr>
          <w:p>
            <w:pPr>
              <w:spacing w:after="40"/>
            </w:pPr>
            <w:r/>
            <w:r>
              <w:rPr>
                <w:rFonts w:ascii="Calibri" w:hAnsi="Calibri"/>
                <w:b w:val="0"/>
                <w:color w:val="263746"/>
                <w:sz w:val="17"/>
              </w:rPr>
              <w:t>Ansible Core is not installed on this controller.</w:t>
            </w:r>
          </w:p>
        </w:tc>
      </w:tr>
      <w:tr>
        <w:tc>
          <w:tcPr>
            <w:tcW w:type="dxa" w:w="2232"/>
            <w:vAlign w:val="center"/>
          </w:tcPr>
          <w:p>
            <w:pPr>
              <w:spacing w:after="40"/>
            </w:pPr>
            <w:r/>
            <w:r>
              <w:rPr>
                <w:rFonts w:ascii="Calibri" w:hAnsi="Calibri"/>
                <w:b w:val="0"/>
                <w:color w:val="263746"/>
                <w:sz w:val="17"/>
              </w:rPr>
              <w:t>Local app smoke test</w:t>
            </w:r>
          </w:p>
        </w:tc>
        <w:tc>
          <w:tcPr>
            <w:tcW w:type="dxa" w:w="3600"/>
            <w:vAlign w:val="center"/>
          </w:tcPr>
          <w:p>
            <w:pPr>
              <w:spacing w:after="40"/>
            </w:pPr>
            <w:r/>
            <w:r>
              <w:rPr>
                <w:rFonts w:ascii="Calibri" w:hAnsi="Calibri"/>
                <w:b w:val="0"/>
                <w:color w:val="263746"/>
                <w:sz w:val="17"/>
              </w:rPr>
              <w:t>PASS: HTTP 200, JSON status UP</w:t>
            </w:r>
          </w:p>
        </w:tc>
        <w:tc>
          <w:tcPr>
            <w:tcW w:type="dxa" w:w="4320"/>
            <w:vAlign w:val="center"/>
          </w:tcPr>
          <w:p>
            <w:pPr>
              <w:spacing w:after="40"/>
            </w:pPr>
            <w:r/>
            <w:r>
              <w:rPr>
                <w:rFonts w:ascii="Calibri" w:hAnsi="Calibri"/>
                <w:b w:val="0"/>
                <w:color w:val="263746"/>
                <w:sz w:val="17"/>
              </w:rPr>
              <w:t>Temporary loopback JAR process; stopped after probe.</w:t>
            </w:r>
          </w:p>
        </w:tc>
      </w:tr>
      <w:tr>
        <w:tc>
          <w:tcPr>
            <w:tcW w:type="dxa" w:w="2232"/>
            <w:shd w:fill="F3F5F6"/>
            <w:vAlign w:val="center"/>
          </w:tcPr>
          <w:p>
            <w:pPr>
              <w:spacing w:after="40"/>
            </w:pPr>
            <w:r/>
            <w:r>
              <w:rPr>
                <w:rFonts w:ascii="Calibri" w:hAnsi="Calibri"/>
                <w:b w:val="0"/>
                <w:color w:val="263746"/>
                <w:sz w:val="17"/>
              </w:rPr>
              <w:t>Existing local backend/ingress</w:t>
            </w:r>
          </w:p>
        </w:tc>
        <w:tc>
          <w:tcPr>
            <w:tcW w:type="dxa" w:w="3600"/>
            <w:shd w:fill="F3F5F6"/>
            <w:vAlign w:val="center"/>
          </w:tcPr>
          <w:p>
            <w:pPr>
              <w:spacing w:after="40"/>
            </w:pPr>
            <w:r/>
            <w:r>
              <w:rPr>
                <w:rFonts w:ascii="Calibri" w:hAnsi="Calibri"/>
                <w:b w:val="0"/>
                <w:color w:val="263746"/>
                <w:sz w:val="17"/>
              </w:rPr>
              <w:t>PASS: HTTP 200 on ports 8085 and 8090</w:t>
            </w:r>
          </w:p>
        </w:tc>
        <w:tc>
          <w:tcPr>
            <w:tcW w:type="dxa" w:w="4320"/>
            <w:shd w:fill="F3F5F6"/>
            <w:vAlign w:val="center"/>
          </w:tcPr>
          <w:p>
            <w:pPr>
              <w:spacing w:after="40"/>
            </w:pPr>
            <w:r/>
            <w:r>
              <w:rPr>
                <w:rFonts w:ascii="Calibri" w:hAnsi="Calibri"/>
                <w:b w:val="0"/>
                <w:color w:val="263746"/>
                <w:sz w:val="17"/>
              </w:rPr>
              <w:t>Read-only probes; deployment provenance not established.</w:t>
            </w:r>
          </w:p>
        </w:tc>
      </w:tr>
      <w:tr>
        <w:tc>
          <w:tcPr>
            <w:tcW w:type="dxa" w:w="2232"/>
            <w:vAlign w:val="center"/>
          </w:tcPr>
          <w:p>
            <w:pPr>
              <w:spacing w:after="40"/>
            </w:pPr>
            <w:r/>
            <w:r>
              <w:rPr>
                <w:rFonts w:ascii="Calibri" w:hAnsi="Calibri"/>
                <w:b w:val="0"/>
                <w:color w:val="263746"/>
                <w:sz w:val="17"/>
              </w:rPr>
              <w:t>Docker image/registry</w:t>
            </w:r>
          </w:p>
        </w:tc>
        <w:tc>
          <w:tcPr>
            <w:tcW w:type="dxa" w:w="3600"/>
            <w:vAlign w:val="center"/>
          </w:tcPr>
          <w:p>
            <w:pPr>
              <w:spacing w:after="40"/>
            </w:pPr>
            <w:r/>
            <w:r>
              <w:rPr>
                <w:rFonts w:ascii="Calibri" w:hAnsi="Calibri"/>
                <w:b w:val="0"/>
                <w:color w:val="263746"/>
                <w:sz w:val="17"/>
              </w:rPr>
              <w:t>NOT RUN</w:t>
            </w:r>
          </w:p>
        </w:tc>
        <w:tc>
          <w:tcPr>
            <w:tcW w:type="dxa" w:w="4320"/>
            <w:vAlign w:val="center"/>
          </w:tcPr>
          <w:p>
            <w:pPr>
              <w:spacing w:after="40"/>
            </w:pPr>
            <w:r/>
            <w:r>
              <w:rPr>
                <w:rFonts w:ascii="Calibri" w:hAnsi="Calibri"/>
                <w:b w:val="0"/>
                <w:color w:val="263746"/>
                <w:sz w:val="17"/>
              </w:rPr>
              <w:t>Base images are absent locally; no external pull/publish.</w:t>
            </w:r>
          </w:p>
        </w:tc>
      </w:tr>
      <w:tr>
        <w:tc>
          <w:tcPr>
            <w:tcW w:type="dxa" w:w="2232"/>
            <w:shd w:fill="F3F5F6"/>
            <w:vAlign w:val="center"/>
          </w:tcPr>
          <w:p>
            <w:pPr>
              <w:spacing w:after="40"/>
            </w:pPr>
            <w:r/>
            <w:r>
              <w:rPr>
                <w:rFonts w:ascii="Calibri" w:hAnsi="Calibri"/>
                <w:b w:val="0"/>
                <w:color w:val="263746"/>
                <w:sz w:val="17"/>
              </w:rPr>
              <w:t>Remote provisioning/rollback</w:t>
            </w:r>
          </w:p>
        </w:tc>
        <w:tc>
          <w:tcPr>
            <w:tcW w:type="dxa" w:w="3600"/>
            <w:shd w:fill="F3F5F6"/>
            <w:vAlign w:val="center"/>
          </w:tcPr>
          <w:p>
            <w:pPr>
              <w:spacing w:after="40"/>
            </w:pPr>
            <w:r/>
            <w:r>
              <w:rPr>
                <w:rFonts w:ascii="Calibri" w:hAnsi="Calibri"/>
                <w:b w:val="0"/>
                <w:color w:val="263746"/>
                <w:sz w:val="17"/>
              </w:rPr>
              <w:t>NOT RUN</w:t>
            </w:r>
          </w:p>
        </w:tc>
        <w:tc>
          <w:tcPr>
            <w:tcW w:type="dxa" w:w="4320"/>
            <w:shd w:fill="F3F5F6"/>
            <w:vAlign w:val="center"/>
          </w:tcPr>
          <w:p>
            <w:pPr>
              <w:spacing w:after="40"/>
            </w:pPr>
            <w:r/>
            <w:r>
              <w:rPr>
                <w:rFonts w:ascii="Calibri" w:hAnsi="Calibri"/>
                <w:b w:val="0"/>
                <w:color w:val="263746"/>
                <w:sz w:val="17"/>
              </w:rPr>
              <w:t>No real host, SSH identity, or sudo authorization; inventory remains placeholder.</w:t>
            </w:r>
          </w:p>
        </w:tc>
      </w:tr>
    </w:tbl>
    <w:p>
      <w:pPr>
        <w:spacing w:after="20"/>
      </w:pPr>
    </w:p>
    <w:p>
      <w:r>
        <w:t>JUnit XML files and a machine-readable validation record are included under TASKS_REPORTS/Task15_Evidence. The report distinguishes local test evidence from deployment evidence.</w:t>
      </w:r>
    </w:p>
    <w:p>
      <w:pPr>
        <w:pStyle w:val="Heading1"/>
      </w:pPr>
      <w:r>
        <w:t>5. Deployment and operations</w:t>
      </w:r>
    </w:p>
    <w:p>
      <w:r>
        <w:t>The Jenkinsfile derives an immutable Docker reference from the Maven version, Jenkins build number, and Git commit. Unit and Selenium gates precede image creation and registry push. Deployment uses the immutable tag, checks the backend and Nginx proxy, and archives a JSON evidence file.</w:t>
      </w:r>
    </w:p>
    <w:p>
      <w:r>
        <w:t>The Ansible playbook installs Docker/Nginx on Debian-family hosts, deploys a tagged image on loopback port 8085, validates the Nginx listener on port 8090, repeats safely, and restores the prior image ID on candidate failure. Its rollback exercise must run only on a non-production target with a known-good release already available.</w:t>
      </w:r>
    </w:p>
    <w:p>
      <w:pPr>
        <w:keepLines/>
        <w:spacing w:before="60" w:after="140"/>
        <w:ind w:left="216"/>
      </w:pPr>
      <w:r>
        <w:rPr>
          <w:rFonts w:ascii="Consolas" w:hAnsi="Consolas"/>
          <w:color w:val="19324A"/>
          <w:sz w:val="16"/>
        </w:rPr>
        <w:t>mvn -o test</w:t>
        <w:br/>
        <w:t>mvn -o failsafe:integration-test failsafe:verify -Pselenium</w:t>
        <w:br/>
        <w:t>ansible-playbook -i ansible/inventory.ini ansible/task14.yml --syntax-check</w:t>
        <w:br/>
        <w:t>ansible-playbook -i ansible/inventory.ini ansible/task14.yml --diff -e portal_image=&lt;registry&gt;/&lt;repository&gt;:&lt;immutable-tag&gt;</w:t>
      </w:r>
    </w:p>
    <w:p>
      <w:r>
        <w:t>Full environment requirements, secret handling, commands, idempotency checks, and rollback procedure are in TASK15_FINAL_RELEASE.md and ansible/TASK14_RUNBOOK.md.</w:t>
      </w:r>
    </w:p>
    <w:p>
      <w:pPr>
        <w:pStyle w:val="Heading1"/>
      </w:pPr>
      <w:r>
        <w:t>6. Troubleshooting guide</w:t>
      </w:r>
    </w:p>
    <w:tbl>
      <w:tblPr>
        <w:tblStyle w:val="TableGrid"/>
        <w:tblW w:type="auto" w:w="0"/>
        <w:jc w:val="center"/>
        <w:tblLook w:firstColumn="1" w:firstRow="1" w:lastColumn="0" w:lastRow="0" w:noHBand="0" w:noVBand="1" w:val="04A0"/>
      </w:tblPr>
      <w:tblGrid>
        <w:gridCol w:w="5083"/>
        <w:gridCol w:w="5083"/>
      </w:tblGrid>
      <w:tr>
        <w:tc>
          <w:tcPr>
            <w:tcW w:type="dxa" w:w="2880"/>
            <w:shd w:fill="19324A"/>
            <w:vAlign w:val="center"/>
          </w:tcPr>
          <w:p>
            <w:pPr>
              <w:spacing w:after="40"/>
            </w:pPr>
            <w:r/>
            <w:r>
              <w:rPr>
                <w:rFonts w:ascii="Calibri" w:hAnsi="Calibri"/>
                <w:b/>
                <w:color w:val="FFFFFF"/>
                <w:sz w:val="17"/>
              </w:rPr>
              <w:t>Symptom</w:t>
            </w:r>
          </w:p>
        </w:tc>
        <w:tc>
          <w:tcPr>
            <w:tcW w:type="dxa" w:w="7272"/>
            <w:shd w:fill="19324A"/>
            <w:vAlign w:val="center"/>
          </w:tcPr>
          <w:p>
            <w:pPr>
              <w:spacing w:after="40"/>
            </w:pPr>
            <w:r/>
            <w:r>
              <w:rPr>
                <w:rFonts w:ascii="Calibri" w:hAnsi="Calibri"/>
                <w:b/>
                <w:color w:val="FFFFFF"/>
                <w:sz w:val="17"/>
              </w:rPr>
              <w:t>First response</w:t>
            </w:r>
          </w:p>
        </w:tc>
      </w:tr>
      <w:tr>
        <w:tc>
          <w:tcPr>
            <w:tcW w:type="dxa" w:w="2880"/>
            <w:vAlign w:val="center"/>
          </w:tcPr>
          <w:p>
            <w:pPr>
              <w:spacing w:after="40"/>
            </w:pPr>
            <w:r/>
            <w:r>
              <w:rPr>
                <w:rFonts w:ascii="Calibri" w:hAnsi="Calibri"/>
                <w:b w:val="0"/>
                <w:color w:val="263746"/>
                <w:sz w:val="17"/>
              </w:rPr>
              <w:t>Dockerfile missing in Jenkins</w:t>
            </w:r>
          </w:p>
        </w:tc>
        <w:tc>
          <w:tcPr>
            <w:tcW w:type="dxa" w:w="7272"/>
            <w:vAlign w:val="center"/>
          </w:tcPr>
          <w:p>
            <w:pPr>
              <w:spacing w:after="40"/>
            </w:pPr>
            <w:r/>
            <w:r>
              <w:rPr>
                <w:rFonts w:ascii="Calibri" w:hAnsi="Calibri"/>
                <w:b w:val="0"/>
                <w:color w:val="263746"/>
                <w:sz w:val="17"/>
              </w:rPr>
              <w:t>Confirm Dockerfile and .dockerignore are tracked in the checked-out commit.</w:t>
            </w:r>
          </w:p>
        </w:tc>
      </w:tr>
      <w:tr>
        <w:tc>
          <w:tcPr>
            <w:tcW w:type="dxa" w:w="2880"/>
            <w:shd w:fill="F3F5F6"/>
            <w:vAlign w:val="center"/>
          </w:tcPr>
          <w:p>
            <w:pPr>
              <w:spacing w:after="40"/>
            </w:pPr>
            <w:r/>
            <w:r>
              <w:rPr>
                <w:rFonts w:ascii="Calibri" w:hAnsi="Calibri"/>
                <w:b w:val="0"/>
                <w:color w:val="263746"/>
                <w:sz w:val="17"/>
              </w:rPr>
              <w:t>Docker pull/push fails</w:t>
            </w:r>
          </w:p>
        </w:tc>
        <w:tc>
          <w:tcPr>
            <w:tcW w:type="dxa" w:w="7272"/>
            <w:shd w:fill="F3F5F6"/>
            <w:vAlign w:val="center"/>
          </w:tcPr>
          <w:p>
            <w:pPr>
              <w:spacing w:after="40"/>
            </w:pPr>
            <w:r/>
            <w:r>
              <w:rPr>
                <w:rFonts w:ascii="Calibri" w:hAnsi="Calibri"/>
                <w:b w:val="0"/>
                <w:color w:val="263746"/>
                <w:sz w:val="17"/>
              </w:rPr>
              <w:t>Check authorized network access, registry namespace, and Jenkins token credential without printing secrets.</w:t>
            </w:r>
          </w:p>
        </w:tc>
      </w:tr>
      <w:tr>
        <w:tc>
          <w:tcPr>
            <w:tcW w:type="dxa" w:w="2880"/>
            <w:vAlign w:val="center"/>
          </w:tcPr>
          <w:p>
            <w:pPr>
              <w:spacing w:after="40"/>
            </w:pPr>
            <w:r/>
            <w:r>
              <w:rPr>
                <w:rFonts w:ascii="Calibri" w:hAnsi="Calibri"/>
                <w:b w:val="0"/>
                <w:color w:val="263746"/>
                <w:sz w:val="17"/>
              </w:rPr>
              <w:t>Container unhealthy / Nginx 502</w:t>
            </w:r>
          </w:p>
        </w:tc>
        <w:tc>
          <w:tcPr>
            <w:tcW w:type="dxa" w:w="7272"/>
            <w:vAlign w:val="center"/>
          </w:tcPr>
          <w:p>
            <w:pPr>
              <w:spacing w:after="40"/>
            </w:pPr>
            <w:r/>
            <w:r>
              <w:rPr>
                <w:rFonts w:ascii="Calibri" w:hAnsi="Calibri"/>
                <w:b w:val="0"/>
                <w:color w:val="263746"/>
                <w:sz w:val="17"/>
              </w:rPr>
              <w:t>Inspect container logs and backend health on 8085; validate Nginx proxy target and port 8090.</w:t>
            </w:r>
          </w:p>
        </w:tc>
      </w:tr>
      <w:tr>
        <w:tc>
          <w:tcPr>
            <w:tcW w:type="dxa" w:w="2880"/>
            <w:shd w:fill="F3F5F6"/>
            <w:vAlign w:val="center"/>
          </w:tcPr>
          <w:p>
            <w:pPr>
              <w:spacing w:after="40"/>
            </w:pPr>
            <w:r/>
            <w:r>
              <w:rPr>
                <w:rFonts w:ascii="Calibri" w:hAnsi="Calibri"/>
                <w:b w:val="0"/>
                <w:color w:val="263746"/>
                <w:sz w:val="17"/>
              </w:rPr>
              <w:t>Chrome session cannot start</w:t>
            </w:r>
          </w:p>
        </w:tc>
        <w:tc>
          <w:tcPr>
            <w:tcW w:type="dxa" w:w="7272"/>
            <w:shd w:fill="F3F5F6"/>
            <w:vAlign w:val="center"/>
          </w:tcPr>
          <w:p>
            <w:pPr>
              <w:spacing w:after="40"/>
            </w:pPr>
            <w:r/>
            <w:r>
              <w:rPr>
                <w:rFonts w:ascii="Calibri" w:hAnsi="Calibri"/>
                <w:b w:val="0"/>
                <w:color w:val="263746"/>
                <w:sz w:val="17"/>
              </w:rPr>
              <w:t>Check Chrome/ChromeDriver compatibility and use the approved cached driver path.</w:t>
            </w:r>
          </w:p>
        </w:tc>
      </w:tr>
      <w:tr>
        <w:tc>
          <w:tcPr>
            <w:tcW w:type="dxa" w:w="2880"/>
            <w:vAlign w:val="center"/>
          </w:tcPr>
          <w:p>
            <w:pPr>
              <w:spacing w:after="40"/>
            </w:pPr>
            <w:r/>
            <w:r>
              <w:rPr>
                <w:rFonts w:ascii="Calibri" w:hAnsi="Calibri"/>
                <w:b w:val="0"/>
                <w:color w:val="263746"/>
                <w:sz w:val="17"/>
              </w:rPr>
              <w:t>Ansible host unreachable</w:t>
            </w:r>
          </w:p>
        </w:tc>
        <w:tc>
          <w:tcPr>
            <w:tcW w:type="dxa" w:w="7272"/>
            <w:vAlign w:val="center"/>
          </w:tcPr>
          <w:p>
            <w:pPr>
              <w:spacing w:after="40"/>
            </w:pPr>
            <w:r/>
            <w:r>
              <w:rPr>
                <w:rFonts w:ascii="Calibri" w:hAnsi="Calibri"/>
                <w:b w:val="0"/>
                <w:color w:val="263746"/>
                <w:sz w:val="17"/>
              </w:rPr>
              <w:t>Replace 192.0.2.10, verify SSH with the inventory, and check sudo/become setup.</w:t>
            </w:r>
          </w:p>
        </w:tc>
      </w:tr>
      <w:tr>
        <w:tc>
          <w:tcPr>
            <w:tcW w:type="dxa" w:w="2880"/>
            <w:shd w:fill="F3F5F6"/>
            <w:vAlign w:val="center"/>
          </w:tcPr>
          <w:p>
            <w:pPr>
              <w:spacing w:after="40"/>
            </w:pPr>
            <w:r/>
            <w:r>
              <w:rPr>
                <w:rFonts w:ascii="Calibri" w:hAnsi="Calibri"/>
                <w:b w:val="0"/>
                <w:color w:val="263746"/>
                <w:sz w:val="17"/>
              </w:rPr>
              <w:t>Second Ansible run changes tasks</w:t>
            </w:r>
          </w:p>
        </w:tc>
        <w:tc>
          <w:tcPr>
            <w:tcW w:type="dxa" w:w="7272"/>
            <w:shd w:fill="F3F5F6"/>
            <w:vAlign w:val="center"/>
          </w:tcPr>
          <w:p>
            <w:pPr>
              <w:spacing w:after="40"/>
            </w:pPr>
            <w:r/>
            <w:r>
              <w:rPr>
                <w:rFonts w:ascii="Calibri" w:hAnsi="Calibri"/>
                <w:b w:val="0"/>
                <w:color w:val="263746"/>
                <w:sz w:val="17"/>
              </w:rPr>
              <w:t>Use the same immutable tag; compare --diff and investigate drift before asserting idempotency.</w:t>
            </w:r>
          </w:p>
        </w:tc>
      </w:tr>
      <w:tr>
        <w:tc>
          <w:tcPr>
            <w:tcW w:type="dxa" w:w="2880"/>
            <w:vAlign w:val="center"/>
          </w:tcPr>
          <w:p>
            <w:pPr>
              <w:spacing w:after="40"/>
            </w:pPr>
            <w:r/>
            <w:r>
              <w:rPr>
                <w:rFonts w:ascii="Calibri" w:hAnsi="Calibri"/>
                <w:b w:val="0"/>
                <w:color w:val="263746"/>
                <w:sz w:val="17"/>
              </w:rPr>
              <w:t>Rollback rehearsal fails early</w:t>
            </w:r>
          </w:p>
        </w:tc>
        <w:tc>
          <w:tcPr>
            <w:tcW w:type="dxa" w:w="7272"/>
            <w:vAlign w:val="center"/>
          </w:tcPr>
          <w:p>
            <w:pPr>
              <w:spacing w:after="40"/>
            </w:pPr>
            <w:r/>
            <w:r>
              <w:rPr>
                <w:rFonts w:ascii="Calibri" w:hAnsi="Calibri"/>
                <w:b w:val="0"/>
                <w:color w:val="263746"/>
                <w:sz w:val="17"/>
              </w:rPr>
              <w:t>Ensure a different candidate tag and a healthy prior image exist on the non-production target.</w:t>
            </w:r>
          </w:p>
        </w:tc>
      </w:tr>
    </w:tbl>
    <w:p>
      <w:pPr>
        <w:spacing w:after="20"/>
      </w:pPr>
    </w:p>
    <w:p>
      <w:pPr>
        <w:pStyle w:val="Heading1"/>
      </w:pPr>
      <w:r>
        <w:t>7. Limitations and future plan</w:t>
      </w:r>
    </w:p>
    <w:p>
      <w:pPr>
        <w:pStyle w:val="ListBullet"/>
        <w:spacing w:after="60"/>
      </w:pPr>
      <w:r>
        <w:t>Complaint data is in memory and is lost on application restart or container replacement.</w:t>
      </w:r>
    </w:p>
    <w:p>
      <w:pPr>
        <w:pStyle w:val="ListBullet"/>
        <w:spacing w:after="60"/>
      </w:pPr>
      <w:r>
        <w:t>Production authentication/authorization, TLS, rate limits, privacy controls, and audit retention are not delivered.</w:t>
      </w:r>
    </w:p>
    <w:p>
      <w:pPr>
        <w:pStyle w:val="ListBullet"/>
        <w:spacing w:after="60"/>
      </w:pPr>
      <w:r>
        <w:t>Durable attachment storage, malware scanning, and an operational database are not configured.</w:t>
      </w:r>
    </w:p>
    <w:p>
      <w:pPr>
        <w:pStyle w:val="ListBullet"/>
        <w:spacing w:after="60"/>
      </w:pPr>
      <w:r>
        <w:t>There is no centralized observability, autoscaling, multi-node failover, or rolling deployment.</w:t>
      </w:r>
    </w:p>
    <w:p>
      <w:pPr>
        <w:pStyle w:val="ListBullet"/>
        <w:spacing w:after="60"/>
      </w:pPr>
      <w:r>
        <w:t>Container base images are not digest-pinned; SBOM, image signing, and vulnerability gates are future work.</w:t>
      </w:r>
    </w:p>
    <w:tbl>
      <w:tblPr>
        <w:tblStyle w:val="TableGrid"/>
        <w:tblW w:type="auto" w:w="0"/>
        <w:jc w:val="center"/>
        <w:tblLook w:firstColumn="1" w:firstRow="1" w:lastColumn="0" w:lastRow="0" w:noHBand="0" w:noVBand="1" w:val="04A0"/>
      </w:tblPr>
      <w:tblGrid>
        <w:gridCol w:w="5083"/>
        <w:gridCol w:w="5083"/>
      </w:tblGrid>
      <w:tr>
        <w:tc>
          <w:tcPr>
            <w:tcW w:type="dxa" w:w="1224"/>
            <w:shd w:fill="19324A"/>
            <w:vAlign w:val="center"/>
          </w:tcPr>
          <w:p>
            <w:pPr>
              <w:spacing w:after="40"/>
            </w:pPr>
            <w:r/>
            <w:r>
              <w:rPr>
                <w:rFonts w:ascii="Calibri" w:hAnsi="Calibri"/>
                <w:b/>
                <w:color w:val="FFFFFF"/>
                <w:sz w:val="17"/>
              </w:rPr>
              <w:t>Priority</w:t>
            </w:r>
          </w:p>
        </w:tc>
        <w:tc>
          <w:tcPr>
            <w:tcW w:type="dxa" w:w="8928"/>
            <w:shd w:fill="19324A"/>
            <w:vAlign w:val="center"/>
          </w:tcPr>
          <w:p>
            <w:pPr>
              <w:spacing w:after="40"/>
            </w:pPr>
            <w:r/>
            <w:r>
              <w:rPr>
                <w:rFonts w:ascii="Calibri" w:hAnsi="Calibri"/>
                <w:b/>
                <w:color w:val="FFFFFF"/>
                <w:sz w:val="17"/>
              </w:rPr>
              <w:t>Enhancement</w:t>
            </w:r>
          </w:p>
        </w:tc>
      </w:tr>
      <w:tr>
        <w:tc>
          <w:tcPr>
            <w:tcW w:type="dxa" w:w="1224"/>
            <w:vAlign w:val="center"/>
          </w:tcPr>
          <w:p>
            <w:pPr>
              <w:spacing w:after="40"/>
            </w:pPr>
            <w:r/>
            <w:r>
              <w:rPr>
                <w:rFonts w:ascii="Calibri" w:hAnsi="Calibri"/>
                <w:b w:val="0"/>
                <w:color w:val="263746"/>
                <w:sz w:val="17"/>
              </w:rPr>
              <w:t>P0</w:t>
            </w:r>
          </w:p>
        </w:tc>
        <w:tc>
          <w:tcPr>
            <w:tcW w:type="dxa" w:w="8928"/>
            <w:vAlign w:val="center"/>
          </w:tcPr>
          <w:p>
            <w:pPr>
              <w:spacing w:after="40"/>
            </w:pPr>
            <w:r/>
            <w:r>
              <w:rPr>
                <w:rFonts w:ascii="Calibri" w:hAnsi="Calibri"/>
                <w:b w:val="0"/>
                <w:color w:val="263746"/>
                <w:sz w:val="17"/>
              </w:rPr>
              <w:t>Track Docker build context; run the current Docker Jenkins pipeline and an authorized non-production Ansible rollout.</w:t>
            </w:r>
          </w:p>
        </w:tc>
      </w:tr>
      <w:tr>
        <w:tc>
          <w:tcPr>
            <w:tcW w:type="dxa" w:w="1224"/>
            <w:shd w:fill="F3F5F6"/>
            <w:vAlign w:val="center"/>
          </w:tcPr>
          <w:p>
            <w:pPr>
              <w:spacing w:after="40"/>
            </w:pPr>
            <w:r/>
            <w:r>
              <w:rPr>
                <w:rFonts w:ascii="Calibri" w:hAnsi="Calibri"/>
                <w:b w:val="0"/>
                <w:color w:val="263746"/>
                <w:sz w:val="17"/>
              </w:rPr>
              <w:t>P1</w:t>
            </w:r>
          </w:p>
        </w:tc>
        <w:tc>
          <w:tcPr>
            <w:tcW w:type="dxa" w:w="8928"/>
            <w:shd w:fill="F3F5F6"/>
            <w:vAlign w:val="center"/>
          </w:tcPr>
          <w:p>
            <w:pPr>
              <w:spacing w:after="40"/>
            </w:pPr>
            <w:r/>
            <w:r>
              <w:rPr>
                <w:rFonts w:ascii="Calibri" w:hAnsi="Calibri"/>
                <w:b w:val="0"/>
                <w:color w:val="263746"/>
                <w:sz w:val="17"/>
              </w:rPr>
              <w:t>Add relational persistence, migrations, backup/restore; add reviewer identity and authorization.</w:t>
            </w:r>
          </w:p>
        </w:tc>
      </w:tr>
      <w:tr>
        <w:tc>
          <w:tcPr>
            <w:tcW w:type="dxa" w:w="1224"/>
            <w:vAlign w:val="center"/>
          </w:tcPr>
          <w:p>
            <w:pPr>
              <w:spacing w:after="40"/>
            </w:pPr>
            <w:r/>
            <w:r>
              <w:rPr>
                <w:rFonts w:ascii="Calibri" w:hAnsi="Calibri"/>
                <w:b w:val="0"/>
                <w:color w:val="263746"/>
                <w:sz w:val="17"/>
              </w:rPr>
              <w:t>P1</w:t>
            </w:r>
          </w:p>
        </w:tc>
        <w:tc>
          <w:tcPr>
            <w:tcW w:type="dxa" w:w="8928"/>
            <w:vAlign w:val="center"/>
          </w:tcPr>
          <w:p>
            <w:pPr>
              <w:spacing w:after="40"/>
            </w:pPr>
            <w:r/>
            <w:r>
              <w:rPr>
                <w:rFonts w:ascii="Calibri" w:hAnsi="Calibri"/>
                <w:b w:val="0"/>
                <w:color w:val="263746"/>
                <w:sz w:val="17"/>
              </w:rPr>
              <w:t>Pin image digests; generate SBOM; scan dependencies/images; sign and verify provenance.</w:t>
            </w:r>
          </w:p>
        </w:tc>
      </w:tr>
      <w:tr>
        <w:tc>
          <w:tcPr>
            <w:tcW w:type="dxa" w:w="1224"/>
            <w:shd w:fill="F3F5F6"/>
            <w:vAlign w:val="center"/>
          </w:tcPr>
          <w:p>
            <w:pPr>
              <w:spacing w:after="40"/>
            </w:pPr>
            <w:r/>
            <w:r>
              <w:rPr>
                <w:rFonts w:ascii="Calibri" w:hAnsi="Calibri"/>
                <w:b w:val="0"/>
                <w:color w:val="263746"/>
                <w:sz w:val="17"/>
              </w:rPr>
              <w:t>P2</w:t>
            </w:r>
          </w:p>
        </w:tc>
        <w:tc>
          <w:tcPr>
            <w:tcW w:type="dxa" w:w="8928"/>
            <w:shd w:fill="F3F5F6"/>
            <w:vAlign w:val="center"/>
          </w:tcPr>
          <w:p>
            <w:pPr>
              <w:spacing w:after="40"/>
            </w:pPr>
            <w:r/>
            <w:r>
              <w:rPr>
                <w:rFonts w:ascii="Calibri" w:hAnsi="Calibri"/>
                <w:b w:val="0"/>
                <w:color w:val="263746"/>
                <w:sz w:val="17"/>
              </w:rPr>
              <w:t>Add structured observability, SLOs, alerting, rolling delivery, security/load/accessibility tests.</w:t>
            </w:r>
          </w:p>
        </w:tc>
      </w:tr>
    </w:tbl>
    <w:p>
      <w:pPr>
        <w:spacing w:after="20"/>
      </w:pPr>
    </w:p>
    <w:p>
      <w:pPr>
        <w:pStyle w:val="Heading1"/>
      </w:pPr>
      <w:r>
        <w:t>8. Demonstration and viva</w:t>
      </w:r>
    </w:p>
    <w:p>
      <w:r>
        <w:t>The attached portal screenshot was captured from the local application on a temporary loopback port. A browser-based presentation and viva question set accompany this report. A screen recording is not included; record the live Jenkins, registry, and target steps after the pending credentials and target are available.</w:t>
      </w:r>
    </w:p>
    <w:p>
      <w:r>
        <w:drawing>
          <wp:inline xmlns:a="http://schemas.openxmlformats.org/drawingml/2006/main" xmlns:pic="http://schemas.openxmlformats.org/drawingml/2006/picture">
            <wp:extent cx="6217920" cy="5181600"/>
            <wp:docPr id="3" name="Picture 3"/>
            <wp:cNvGraphicFramePr>
              <a:graphicFrameLocks noChangeAspect="1"/>
            </wp:cNvGraphicFramePr>
            <a:graphic>
              <a:graphicData uri="http://schemas.openxmlformats.org/drawingml/2006/picture">
                <pic:pic>
                  <pic:nvPicPr>
                    <pic:cNvPr id="0" name="Task15_local_live_portal.png"/>
                    <pic:cNvPicPr/>
                  </pic:nvPicPr>
                  <pic:blipFill>
                    <a:blip r:embed="rId13"/>
                    <a:stretch>
                      <a:fillRect/>
                    </a:stretch>
                  </pic:blipFill>
                  <pic:spPr>
                    <a:xfrm>
                      <a:off x="0" y="0"/>
                      <a:ext cx="6217920" cy="5181600"/>
                    </a:xfrm>
                    <a:prstGeom prst="rect"/>
                  </pic:spPr>
                </pic:pic>
              </a:graphicData>
            </a:graphic>
          </wp:inline>
        </w:drawing>
      </w:r>
    </w:p>
    <w:p>
      <w:pPr>
        <w:pStyle w:val="Caption"/>
      </w:pPr>
      <w:r>
        <w:t>Figure 3. Local portal smoke-test screenshot. This is not a Docker or remote-host deployment screenshot.</w:t>
      </w:r>
    </w:p>
    <w:p>
      <w:r>
        <w:t>The viva guide is TASKS_REPORTS/Task15_Viva_QA.md. The HTML presentation is TASKS_REPORTS/Task15_Viva_Presentation.html. The operator runbook is TASK15_FINAL_RELEASE.md.</w:t>
      </w:r>
    </w:p>
    <w:sectPr w:rsidR="00FC693F" w:rsidRPr="0006063C" w:rsidSect="00034616">
      <w:headerReference w:type="default" r:id="rId9"/>
      <w:footerReference w:type="default" r:id="rId10"/>
      <w:pgSz w:w="12240" w:h="15840"/>
      <w:pgMar w:top="979"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Municipal Complaint Portal  |  Task 15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b/>
        <w:color w:val="237C78"/>
        <w:sz w:val="16"/>
      </w:rPr>
      <w:t>MUNICIPAL COMPLAINT PORTAL  /  FINAL RELEASE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color w:val="26374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9324A"/>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37C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9324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15 - Final Release, Documentation, and Viva</dc:title>
  <dc:subject>Municipal Complaint Portal end-to-end release evidence</dc:subject>
  <dc:creator>Municipal Complaint Portal DevOps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