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8A04A"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xmlns:w16sdtfl="http://schemas.microsoft.com/office/word/2024/wordml/sdtformatlock" xmlns:w16du="http://schemas.microsoft.com/office/word/2023/wordml/word16du" xmlns:oel="http://schemas.microsoft.com/office/2019/extlst">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3ADA038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875" w:type="dxa"/>
        <w:tblInd w:w="105" w:type="dxa"/>
        <w:tblCellMar>
          <w:left w:w="105" w:type="dxa"/>
          <w:right w:w="105" w:type="dxa"/>
        </w:tblCellMar>
        <w:tblLook w:val="0400" w:firstRow="0" w:lastRow="0" w:firstColumn="0" w:lastColumn="0" w:noHBand="0" w:noVBand="1"/>
      </w:tblPr>
      <w:tblGrid>
        <w:gridCol w:w="3053"/>
        <w:gridCol w:w="6822"/>
      </w:tblGrid>
      <w:tr w:rsidR="009B1007" w14:paraId="0983F388"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8C671A4"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822" w:type="dxa"/>
            <w:tcBorders>
              <w:top w:val="single" w:sz="6" w:space="0" w:color="000000"/>
              <w:left w:val="single" w:sz="6" w:space="0" w:color="000000"/>
              <w:bottom w:val="single" w:sz="6" w:space="0" w:color="000000"/>
              <w:right w:val="single" w:sz="6" w:space="0" w:color="000000"/>
            </w:tcBorders>
          </w:tcPr>
          <w:p w14:paraId="5002765F" w14:textId="77777777" w:rsidR="009B1007" w:rsidRDefault="0075203E">
            <w:pPr>
              <w:spacing w:after="0" w:line="240" w:lineRule="auto"/>
              <w:rPr>
                <w:rFonts w:asciiTheme="majorHAnsi" w:hAnsiTheme="majorHAnsi"/>
                <w:sz w:val="24"/>
                <w:szCs w:val="24"/>
              </w:rPr>
            </w:pPr>
            <w:r>
              <w:rPr>
                <w:rFonts w:asciiTheme="majorHAnsi" w:hAnsiTheme="majorHAnsi"/>
                <w:sz w:val="24"/>
                <w:szCs w:val="24"/>
              </w:rPr>
              <w:t>B</w:t>
            </w:r>
            <w:r w:rsidR="00C85BD0">
              <w:rPr>
                <w:rFonts w:asciiTheme="majorHAnsi" w:hAnsiTheme="majorHAnsi"/>
                <w:sz w:val="24"/>
                <w:szCs w:val="24"/>
              </w:rPr>
              <w:t>.E. Semester VI</w:t>
            </w:r>
            <w:r>
              <w:rPr>
                <w:rFonts w:asciiTheme="majorHAnsi" w:hAnsiTheme="majorHAnsi"/>
                <w:sz w:val="24"/>
                <w:szCs w:val="24"/>
              </w:rPr>
              <w:t>I</w:t>
            </w:r>
            <w:r w:rsidR="00C85BD0">
              <w:rPr>
                <w:rFonts w:asciiTheme="majorHAnsi" w:hAnsiTheme="majorHAnsi"/>
                <w:sz w:val="24"/>
                <w:szCs w:val="24"/>
              </w:rPr>
              <w:t xml:space="preserve"> – Computer Engineering</w:t>
            </w:r>
          </w:p>
        </w:tc>
      </w:tr>
      <w:tr w:rsidR="009B1007" w14:paraId="168DDF21"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262253C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822" w:type="dxa"/>
            <w:tcBorders>
              <w:top w:val="single" w:sz="6" w:space="0" w:color="000000"/>
              <w:left w:val="single" w:sz="6" w:space="0" w:color="000000"/>
              <w:bottom w:val="single" w:sz="6" w:space="0" w:color="000000"/>
              <w:right w:val="single" w:sz="6" w:space="0" w:color="000000"/>
            </w:tcBorders>
          </w:tcPr>
          <w:p w14:paraId="0DF54CBE" w14:textId="77777777" w:rsidR="009B1007" w:rsidRDefault="001F5E9C">
            <w:pPr>
              <w:spacing w:after="0" w:line="240" w:lineRule="auto"/>
              <w:rPr>
                <w:rFonts w:asciiTheme="majorHAnsi" w:hAnsiTheme="majorHAnsi"/>
                <w:sz w:val="24"/>
                <w:szCs w:val="24"/>
              </w:rPr>
            </w:pPr>
            <w:r>
              <w:rPr>
                <w:rFonts w:asciiTheme="majorHAnsi" w:hAnsiTheme="majorHAnsi"/>
                <w:sz w:val="24"/>
                <w:szCs w:val="24"/>
              </w:rPr>
              <w:t>DevOps Lab</w:t>
            </w:r>
          </w:p>
        </w:tc>
      </w:tr>
      <w:tr w:rsidR="009B1007" w14:paraId="311CC356"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BB5C11D"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822" w:type="dxa"/>
            <w:tcBorders>
              <w:top w:val="single" w:sz="6" w:space="0" w:color="000000"/>
              <w:left w:val="single" w:sz="6" w:space="0" w:color="000000"/>
              <w:bottom w:val="single" w:sz="6" w:space="0" w:color="000000"/>
              <w:right w:val="single" w:sz="6" w:space="0" w:color="000000"/>
            </w:tcBorders>
          </w:tcPr>
          <w:p w14:paraId="66BE645A" w14:textId="77777777" w:rsidR="009B1007" w:rsidRDefault="001F5E9C">
            <w:pPr>
              <w:tabs>
                <w:tab w:val="left" w:pos="2430"/>
              </w:tabs>
              <w:spacing w:after="0" w:line="240" w:lineRule="auto"/>
              <w:rPr>
                <w:rFonts w:asciiTheme="majorHAnsi" w:hAnsiTheme="majorHAnsi"/>
                <w:sz w:val="24"/>
                <w:szCs w:val="24"/>
              </w:rPr>
            </w:pPr>
            <w:r>
              <w:rPr>
                <w:rFonts w:asciiTheme="majorHAnsi" w:hAnsiTheme="majorHAnsi"/>
                <w:sz w:val="24"/>
                <w:szCs w:val="24"/>
              </w:rPr>
              <w:t xml:space="preserve">Dr. </w:t>
            </w:r>
            <w:proofErr w:type="spellStart"/>
            <w:r>
              <w:rPr>
                <w:rFonts w:asciiTheme="majorHAnsi" w:hAnsiTheme="majorHAnsi"/>
                <w:sz w:val="24"/>
                <w:szCs w:val="24"/>
              </w:rPr>
              <w:t>Snehal</w:t>
            </w:r>
            <w:proofErr w:type="spellEnd"/>
            <w:r>
              <w:rPr>
                <w:rFonts w:asciiTheme="majorHAnsi" w:hAnsiTheme="majorHAnsi"/>
                <w:sz w:val="24"/>
                <w:szCs w:val="24"/>
              </w:rPr>
              <w:t xml:space="preserve"> </w:t>
            </w:r>
            <w:proofErr w:type="spellStart"/>
            <w:r>
              <w:rPr>
                <w:rFonts w:asciiTheme="majorHAnsi" w:hAnsiTheme="majorHAnsi"/>
                <w:sz w:val="24"/>
                <w:szCs w:val="24"/>
              </w:rPr>
              <w:t>Andhare</w:t>
            </w:r>
            <w:proofErr w:type="spellEnd"/>
          </w:p>
        </w:tc>
      </w:tr>
    </w:tbl>
    <w:p w14:paraId="377E90A3" w14:textId="77777777" w:rsidR="009B1007" w:rsidRDefault="009B1007">
      <w:pPr>
        <w:spacing w:after="0" w:line="240" w:lineRule="auto"/>
        <w:rPr>
          <w:rFonts w:asciiTheme="majorHAnsi" w:hAnsiTheme="majorHAnsi"/>
          <w:sz w:val="24"/>
          <w:szCs w:val="24"/>
        </w:rPr>
      </w:pPr>
    </w:p>
    <w:tbl>
      <w:tblPr>
        <w:tblW w:w="9922" w:type="dxa"/>
        <w:tblInd w:w="105" w:type="dxa"/>
        <w:tblCellMar>
          <w:left w:w="105" w:type="dxa"/>
          <w:right w:w="105" w:type="dxa"/>
        </w:tblCellMar>
        <w:tblLook w:val="0400" w:firstRow="0" w:lastRow="0" w:firstColumn="0" w:lastColumn="0" w:noHBand="0" w:noVBand="1"/>
      </w:tblPr>
      <w:tblGrid>
        <w:gridCol w:w="3068"/>
        <w:gridCol w:w="6854"/>
      </w:tblGrid>
      <w:tr w:rsidR="009B1007" w14:paraId="40EF1EAF" w14:textId="77777777" w:rsidTr="00E329AF">
        <w:trPr>
          <w:trHeight w:val="337"/>
        </w:trPr>
        <w:tc>
          <w:tcPr>
            <w:tcW w:w="3068" w:type="dxa"/>
            <w:tcBorders>
              <w:top w:val="single" w:sz="6" w:space="0" w:color="000000"/>
              <w:left w:val="single" w:sz="6" w:space="0" w:color="000000"/>
              <w:bottom w:val="single" w:sz="6" w:space="0" w:color="000000"/>
              <w:right w:val="single" w:sz="6" w:space="0" w:color="000000"/>
            </w:tcBorders>
          </w:tcPr>
          <w:p w14:paraId="0D7F8141"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854" w:type="dxa"/>
            <w:tcBorders>
              <w:top w:val="single" w:sz="6" w:space="0" w:color="000000"/>
              <w:left w:val="single" w:sz="6" w:space="0" w:color="000000"/>
              <w:bottom w:val="single" w:sz="6" w:space="0" w:color="000000"/>
              <w:right w:val="single" w:sz="6" w:space="0" w:color="000000"/>
            </w:tcBorders>
          </w:tcPr>
          <w:p w14:paraId="6F8E4B64" w14:textId="6684DDC7" w:rsidR="009B1007" w:rsidRDefault="008F5BB7">
            <w:pPr>
              <w:spacing w:after="0" w:line="240" w:lineRule="auto"/>
              <w:rPr>
                <w:rFonts w:asciiTheme="majorHAnsi" w:hAnsiTheme="majorHAnsi"/>
                <w:color w:val="000000"/>
                <w:sz w:val="24"/>
                <w:szCs w:val="24"/>
              </w:rPr>
            </w:pPr>
            <w:r>
              <w:rPr>
                <w:rFonts w:asciiTheme="majorHAnsi" w:hAnsiTheme="majorHAnsi"/>
                <w:color w:val="000000"/>
                <w:sz w:val="24"/>
                <w:szCs w:val="24"/>
              </w:rPr>
              <w:t>S</w:t>
            </w:r>
            <w:r w:rsidR="00223320">
              <w:rPr>
                <w:rFonts w:asciiTheme="majorHAnsi" w:hAnsiTheme="majorHAnsi"/>
                <w:color w:val="000000"/>
                <w:sz w:val="24"/>
                <w:szCs w:val="24"/>
              </w:rPr>
              <w:t>iddhi Gawade</w:t>
            </w:r>
          </w:p>
        </w:tc>
      </w:tr>
      <w:tr w:rsidR="009B1007" w14:paraId="593BDAF9" w14:textId="77777777" w:rsidTr="00E329AF">
        <w:trPr>
          <w:trHeight w:val="316"/>
        </w:trPr>
        <w:tc>
          <w:tcPr>
            <w:tcW w:w="3068" w:type="dxa"/>
            <w:tcBorders>
              <w:top w:val="single" w:sz="6" w:space="0" w:color="000000"/>
              <w:left w:val="single" w:sz="6" w:space="0" w:color="000000"/>
              <w:bottom w:val="single" w:sz="6" w:space="0" w:color="000000"/>
              <w:right w:val="single" w:sz="6" w:space="0" w:color="000000"/>
            </w:tcBorders>
          </w:tcPr>
          <w:p w14:paraId="3078F405"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854" w:type="dxa"/>
            <w:tcBorders>
              <w:top w:val="single" w:sz="6" w:space="0" w:color="000000"/>
              <w:left w:val="single" w:sz="6" w:space="0" w:color="000000"/>
              <w:bottom w:val="single" w:sz="6" w:space="0" w:color="000000"/>
              <w:right w:val="single" w:sz="6" w:space="0" w:color="000000"/>
            </w:tcBorders>
          </w:tcPr>
          <w:p w14:paraId="2B36327E" w14:textId="493494B2" w:rsidR="009B1007" w:rsidRDefault="001F5E9C">
            <w:pPr>
              <w:spacing w:after="0" w:line="240" w:lineRule="auto"/>
              <w:rPr>
                <w:rFonts w:asciiTheme="majorHAnsi" w:hAnsiTheme="majorHAnsi"/>
                <w:sz w:val="24"/>
                <w:szCs w:val="24"/>
              </w:rPr>
            </w:pPr>
            <w:r>
              <w:rPr>
                <w:rFonts w:asciiTheme="majorHAnsi" w:hAnsiTheme="majorHAnsi"/>
                <w:sz w:val="24"/>
                <w:szCs w:val="24"/>
              </w:rPr>
              <w:t>2</w:t>
            </w:r>
            <w:r w:rsidR="008F6FCB">
              <w:rPr>
                <w:rFonts w:asciiTheme="majorHAnsi" w:hAnsiTheme="majorHAnsi"/>
                <w:sz w:val="24"/>
                <w:szCs w:val="24"/>
              </w:rPr>
              <w:t>4102A2001</w:t>
            </w:r>
          </w:p>
        </w:tc>
      </w:tr>
      <w:tr w:rsidR="009F238A" w14:paraId="2085787A" w14:textId="77777777" w:rsidTr="00E329AF">
        <w:trPr>
          <w:trHeight w:val="695"/>
        </w:trPr>
        <w:tc>
          <w:tcPr>
            <w:tcW w:w="3068" w:type="dxa"/>
            <w:tcBorders>
              <w:top w:val="single" w:sz="6" w:space="0" w:color="000000"/>
              <w:left w:val="single" w:sz="6" w:space="0" w:color="000000"/>
              <w:bottom w:val="single" w:sz="6" w:space="0" w:color="000000"/>
              <w:right w:val="single" w:sz="6" w:space="0" w:color="000000"/>
            </w:tcBorders>
          </w:tcPr>
          <w:p w14:paraId="684C5C12"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547501AB"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854" w:type="dxa"/>
            <w:tcBorders>
              <w:top w:val="single" w:sz="6" w:space="0" w:color="000000"/>
              <w:left w:val="single" w:sz="6" w:space="0" w:color="000000"/>
              <w:bottom w:val="single" w:sz="6" w:space="0" w:color="000000"/>
              <w:right w:val="single" w:sz="6" w:space="0" w:color="000000"/>
            </w:tcBorders>
          </w:tcPr>
          <w:p w14:paraId="27CDE2E0" w14:textId="77777777" w:rsidR="009F238A" w:rsidRDefault="009F238A">
            <w:pPr>
              <w:spacing w:after="0" w:line="240" w:lineRule="auto"/>
              <w:rPr>
                <w:rFonts w:asciiTheme="majorHAnsi" w:hAnsiTheme="majorHAnsi"/>
                <w:sz w:val="24"/>
                <w:szCs w:val="24"/>
              </w:rPr>
            </w:pPr>
          </w:p>
        </w:tc>
      </w:tr>
    </w:tbl>
    <w:p w14:paraId="3B6BB6A3"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8222"/>
      </w:tblGrid>
      <w:tr w:rsidR="009B1007" w14:paraId="69802CDE"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2E4A6EA5" w14:textId="26BE0D44"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Number</w:t>
            </w:r>
          </w:p>
        </w:tc>
        <w:tc>
          <w:tcPr>
            <w:tcW w:w="8222" w:type="dxa"/>
            <w:tcBorders>
              <w:top w:val="single" w:sz="6" w:space="0" w:color="000000"/>
              <w:left w:val="single" w:sz="6" w:space="0" w:color="000000"/>
              <w:bottom w:val="single" w:sz="6" w:space="0" w:color="000000"/>
              <w:right w:val="single" w:sz="6" w:space="0" w:color="000000"/>
            </w:tcBorders>
          </w:tcPr>
          <w:p w14:paraId="78838B33" w14:textId="77777777" w:rsidR="009B1007" w:rsidRDefault="00654D14">
            <w:pPr>
              <w:spacing w:after="0" w:line="240" w:lineRule="auto"/>
              <w:rPr>
                <w:rFonts w:asciiTheme="majorHAnsi" w:hAnsiTheme="majorHAnsi"/>
                <w:sz w:val="24"/>
                <w:szCs w:val="24"/>
              </w:rPr>
            </w:pPr>
            <w:r>
              <w:rPr>
                <w:rFonts w:asciiTheme="majorHAnsi" w:hAnsiTheme="majorHAnsi"/>
                <w:sz w:val="24"/>
                <w:szCs w:val="24"/>
              </w:rPr>
              <w:t>1</w:t>
            </w:r>
          </w:p>
        </w:tc>
      </w:tr>
      <w:tr w:rsidR="009B1007" w14:paraId="395DA8E2"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75463EE6" w14:textId="640FA3B2"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Title</w:t>
            </w:r>
          </w:p>
        </w:tc>
        <w:tc>
          <w:tcPr>
            <w:tcW w:w="8222" w:type="dxa"/>
            <w:tcBorders>
              <w:top w:val="single" w:sz="6" w:space="0" w:color="000000"/>
              <w:left w:val="single" w:sz="6" w:space="0" w:color="000000"/>
              <w:bottom w:val="single" w:sz="6" w:space="0" w:color="000000"/>
              <w:right w:val="single" w:sz="6" w:space="0" w:color="000000"/>
            </w:tcBorders>
          </w:tcPr>
          <w:p w14:paraId="5E3256FA" w14:textId="77777777" w:rsidR="0050241B" w:rsidRPr="0050241B" w:rsidRDefault="0050241B" w:rsidP="005D6BE3">
            <w:pPr>
              <w:spacing w:after="0" w:line="240" w:lineRule="auto"/>
              <w:jc w:val="both"/>
              <w:rPr>
                <w:rFonts w:asciiTheme="majorHAnsi" w:hAnsiTheme="majorHAnsi"/>
                <w:sz w:val="24"/>
                <w:szCs w:val="24"/>
                <w:lang w:val="en-IN"/>
              </w:rPr>
            </w:pPr>
            <w:r w:rsidRPr="0050241B">
              <w:rPr>
                <w:rFonts w:asciiTheme="majorHAnsi" w:hAnsiTheme="majorHAnsi"/>
                <w:sz w:val="24"/>
                <w:szCs w:val="24"/>
                <w:lang w:val="en-IN"/>
              </w:rPr>
              <w:t>Problem Definition and Scope: Study the real-time need for the Municipal Complaint Portal. Identify target users, existing pain points, stakeholders, constraints and measurable success criteria. Freeze a small 15-Task MVP scope.</w:t>
            </w:r>
          </w:p>
          <w:p w14:paraId="4C3FAF2E" w14:textId="77777777" w:rsidR="0050241B" w:rsidRPr="0050241B" w:rsidRDefault="0050241B" w:rsidP="005D6BE3">
            <w:pPr>
              <w:spacing w:after="0" w:line="240" w:lineRule="auto"/>
              <w:jc w:val="both"/>
              <w:rPr>
                <w:rFonts w:asciiTheme="majorHAnsi" w:hAnsiTheme="majorHAnsi"/>
                <w:sz w:val="24"/>
                <w:szCs w:val="24"/>
                <w:lang w:val="en-IN"/>
              </w:rPr>
            </w:pPr>
            <w:r w:rsidRPr="0050241B">
              <w:rPr>
                <w:rFonts w:asciiTheme="majorHAnsi" w:hAnsiTheme="majorHAnsi"/>
                <w:sz w:val="24"/>
                <w:szCs w:val="24"/>
                <w:lang w:val="en-IN"/>
              </w:rPr>
              <w:t>Deliverable: Problem statement, stakeholder list, objectives, constraints and approved MVP scope.</w:t>
            </w:r>
          </w:p>
          <w:p w14:paraId="22E8003B" w14:textId="6AD252A2" w:rsidR="009B1007" w:rsidRDefault="009B1007">
            <w:pPr>
              <w:spacing w:after="0" w:line="240" w:lineRule="auto"/>
              <w:rPr>
                <w:rFonts w:asciiTheme="majorHAnsi" w:hAnsiTheme="majorHAnsi"/>
                <w:sz w:val="24"/>
                <w:szCs w:val="24"/>
              </w:rPr>
            </w:pPr>
          </w:p>
        </w:tc>
      </w:tr>
      <w:tr w:rsidR="009B1007" w14:paraId="1E6CB567" w14:textId="77777777" w:rsidTr="00302CE1">
        <w:trPr>
          <w:trHeight w:val="3215"/>
        </w:trPr>
        <w:tc>
          <w:tcPr>
            <w:tcW w:w="9952" w:type="dxa"/>
            <w:gridSpan w:val="2"/>
            <w:tcBorders>
              <w:top w:val="single" w:sz="6" w:space="0" w:color="000000"/>
              <w:left w:val="single" w:sz="6" w:space="0" w:color="000000"/>
              <w:bottom w:val="single" w:sz="6" w:space="0" w:color="000000"/>
              <w:right w:val="single" w:sz="6" w:space="0" w:color="000000"/>
            </w:tcBorders>
          </w:tcPr>
          <w:p w14:paraId="023BC818" w14:textId="77777777" w:rsidR="004954B3" w:rsidRDefault="004954B3">
            <w:pPr>
              <w:shd w:val="clear" w:color="auto" w:fill="FFFFFF"/>
              <w:spacing w:after="80" w:line="240" w:lineRule="auto" w:before="80"/>
              <w:jc w:val="center"/>
              <w:rPr>
                <w:rFonts w:asciiTheme="majorHAnsi" w:hAnsiTheme="majorHAnsi"/>
                <w:color w:val="000000"/>
                <w:sz w:val="24"/>
                <w:szCs w:val="24"/>
                <w:lang w:val="en-IN"/>
              </w:rPr>
            </w:pPr>
            <w:r/>
            <w:r>
              <w:rPr>
                <w:rFonts w:ascii="Calibri" w:hAnsi="Calibri"/>
                <w:b/>
                <w:color w:val="1F497D"/>
                <w:sz w:val="28"/>
              </w:rPr>
              <w:t>TASK 1 REPORT: PROBLEM DEFINITION AND MVP SCOPE FREEZING</w:t>
            </w:r>
          </w:p>
          <w:p w14:paraId="6FC973CF" w14:textId="77777777" w:rsidR="004954B3" w:rsidRDefault="004954B3" w:rsidP="009603DB">
            <w:pPr>
              <w:shd w:val="clear" w:color="auto" w:fill="FFFFFF"/>
              <w:spacing w:after="0" w:line="240" w:lineRule="auto" w:before="0"/>
              <w:jc w:val="both"/>
              <w:rPr>
                <w:rFonts w:asciiTheme="majorHAnsi" w:hAnsiTheme="majorHAnsi"/>
                <w:color w:val="000000"/>
                <w:sz w:val="24"/>
                <w:szCs w:val="24"/>
                <w:lang w:val="en-IN"/>
              </w:rPr>
            </w:pPr>
            <w:r/>
          </w:p>
          <w:p>
            <w:pPr>
              <w:keepNext/>
              <w:spacing w:before="240" w:after="80"/>
            </w:pPr>
            <w:r>
              <w:rPr>
                <w:rFonts w:ascii="Calibri" w:hAnsi="Calibri"/>
                <w:b/>
                <w:color w:val="1F497D"/>
                <w:sz w:val="26"/>
              </w:rPr>
              <w:t>1. Real-Time Need Analysis and Civic Background</w:t>
            </w:r>
          </w:p>
          <w:p>
            <w:pPr>
              <w:spacing w:before="0" w:after="80" w:line="276" w:lineRule="auto"/>
              <w:jc w:val="both"/>
            </w:pPr>
            <w:r>
              <w:rPr>
                <w:rFonts w:ascii="Calibri" w:hAnsi="Calibri"/>
                <w:b/>
                <w:color w:val="222222"/>
                <w:sz w:val="22"/>
              </w:rPr>
              <w:t xml:space="preserve">Civic Context: </w:t>
            </w:r>
            <w:r>
              <w:rPr>
                <w:rFonts w:ascii="Calibri" w:hAnsi="Calibri"/>
                <w:color w:val="333333"/>
                <w:sz w:val="22"/>
              </w:rPr>
              <w:t>Rapid urbanization across metropolitan and municipal jurisdictions has placed unprecedented pressure on civic infrastructure and public service delivery. Municipal Corporations (such as BMC, PMC, and municipal councils) are constitutionally tasked with administering essential civil amenities, including municipal solid waste management, stormwater drainage, potable water distribution, road maintenance, street illumination, public health hygiene, and pest vector control.</w:t>
            </w:r>
          </w:p>
          <w:p>
            <w:pPr>
              <w:spacing w:before="0" w:after="80" w:line="276" w:lineRule="auto"/>
              <w:jc w:val="both"/>
            </w:pPr>
            <w:r>
              <w:rPr>
                <w:rFonts w:ascii="Calibri" w:hAnsi="Calibri"/>
                <w:b/>
                <w:color w:val="222222"/>
                <w:sz w:val="22"/>
              </w:rPr>
              <w:t xml:space="preserve">Current System Deficiencies: </w:t>
            </w:r>
            <w:r>
              <w:rPr>
                <w:rFonts w:ascii="Calibri" w:hAnsi="Calibri"/>
                <w:color w:val="333333"/>
                <w:sz w:val="22"/>
              </w:rPr>
              <w:t>In the conventional operational model, citizens face severe impediments when attempting to register grievances. The existing channels primarily rely on in-person visits to ward offices during limited working hours, physical paper registers, or scattered telephone helplines. These obsolete mechanisms suffer from acute systemic vulnerabilities: lack of automated acknowledgment, absence of unique tracking identifiers, zero visibility into grievance escalation, and frequent loss of physical complaint records.</w:t>
            </w:r>
          </w:p>
          <w:p>
            <w:pPr>
              <w:spacing w:before="0" w:after="80" w:line="276" w:lineRule="auto"/>
              <w:jc w:val="both"/>
            </w:pPr>
            <w:r>
              <w:rPr>
                <w:rFonts w:ascii="Calibri" w:hAnsi="Calibri"/>
                <w:b/>
                <w:color w:val="222222"/>
                <w:sz w:val="22"/>
              </w:rPr>
              <w:t xml:space="preserve">DevOps Imperative: </w:t>
            </w:r>
            <w:r>
              <w:rPr>
                <w:rFonts w:ascii="Calibri" w:hAnsi="Calibri"/>
                <w:color w:val="333333"/>
                <w:sz w:val="22"/>
              </w:rPr>
              <w:t>From an administrative standpoint, municipal ward engineers and reviewers are overwhelmed by unstructured submissions, duplicate complaints lodged by multiple residents for the same localized incident, and a total absence of digitized SLA (Service Level Agreement) enforcement. To overcome these limitations, there is a vital, time-critical need for an automated, cloud-ready, web-based Municipal Complaint Portal backed by modern DevOps engineering practices.</w:t>
            </w:r>
          </w:p>
          <w:p>
            <w:pPr>
              <w:keepNext/>
              <w:spacing w:before="240" w:after="80"/>
            </w:pPr>
            <w:r>
              <w:rPr>
                <w:rFonts w:ascii="Calibri" w:hAnsi="Calibri"/>
                <w:b/>
                <w:color w:val="1F497D"/>
                <w:sz w:val="26"/>
              </w:rPr>
              <w:t>2. Formal Problem Statement</w:t>
            </w:r>
          </w:p>
          <w:p>
            <w:pPr>
              <w:spacing w:before="0" w:after="80" w:line="276" w:lineRule="auto"/>
              <w:jc w:val="both"/>
            </w:pPr>
            <w:r>
              <w:rPr>
                <w:rFonts w:ascii="Calibri" w:hAnsi="Calibri"/>
                <w:b/>
                <w:color w:val="222222"/>
                <w:sz w:val="22"/>
              </w:rPr>
              <w:t xml:space="preserve">Core Statement: </w:t>
            </w:r>
            <w:r>
              <w:rPr>
                <w:rFonts w:ascii="Calibri" w:hAnsi="Calibri"/>
                <w:color w:val="333333"/>
                <w:sz w:val="22"/>
              </w:rPr>
              <w:t>Municipal corporations lack a standardized, auditable, and automated digital grievance workflow, leading to severe communication breakdown between citizens and municipal authorities. Citizens experience prolonged complaint resolution lifecycles with no transparent tracking mechanism, while municipal reviewers lack structured validation pipelines to triage, verify, and resolve issues efficiently. Concurrently, public sector software deployments suffer from manual, error-prone release procedures, configuration drift, and lengthy recovery times during software failures.</w:t>
              <w:br/>
              <w:br/>
              <w:t>To resolve this twofold dilemma, this project designs and implements the Municipal Complaint Portal while establishing a robust, production-grade DevOps Continuous Integration and Continuous Deployment (CI/CD) lifecycle. The target platform guarantees real-time complaint submission, automated data validation, reviewer decision tracking, containerized application delivery, automated regression test quality gates, and idempotent infrastructure configuration management.</w:t>
            </w:r>
          </w:p>
          <w:p>
            <w:pPr>
              <w:keepNext/>
              <w:spacing w:before="240" w:after="80"/>
            </w:pPr>
            <w:r>
              <w:rPr>
                <w:rFonts w:ascii="Calibri" w:hAnsi="Calibri"/>
                <w:b/>
                <w:color w:val="1F497D"/>
                <w:sz w:val="26"/>
              </w:rPr>
              <w:t>3. Target Users and Persona Profiles</w:t>
            </w:r>
          </w:p>
          <w:p>
            <w:pPr>
              <w:spacing w:before="0" w:after="80" w:line="276" w:lineRule="auto"/>
              <w:jc w:val="both"/>
            </w:pPr>
            <w:r>
              <w:rPr>
                <w:rFonts w:ascii="Calibri" w:hAnsi="Calibri"/>
                <w:color w:val="333333"/>
                <w:sz w:val="22"/>
              </w:rPr>
              <w:t>The Municipal Complaint Portal serves diverse user groups spanning the civic community, municipal administration, field engineering units, and IT operations. The primary personas are detailed below:</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3317"/>
              <w:gridCol w:w="3317"/>
              <w:gridCol w:w="3317"/>
            </w:tblGrid>
            <w:tr>
              <w:tc>
                <w:tcPr>
                  <w:tcW w:type="dxa" w:w="2160"/>
                  <w:shd w:fill="1F497D"/>
                  <w:tcMar>
                    <w:top w:w="120" w:type="dxa"/>
                    <w:bottom w:w="120" w:type="dxa"/>
                    <w:left w:w="140" w:type="dxa"/>
                    <w:right w:w="140" w:type="dxa"/>
                  </w:tcMar>
                </w:tcPr>
                <w:p>
                  <w:pPr>
                    <w:spacing w:before="40" w:after="40"/>
                    <w:jc w:val="center"/>
                  </w:pPr>
                  <w:r>
                    <w:rPr>
                      <w:rFonts w:ascii="Calibri" w:hAnsi="Calibri"/>
                      <w:b/>
                      <w:color w:val="FFFFFF"/>
                      <w:sz w:val="20"/>
                    </w:rPr>
                    <w:t>User Role / Persona</w:t>
                  </w:r>
                </w:p>
              </w:tc>
              <w:tc>
                <w:tcPr>
                  <w:tcW w:type="dxa" w:w="3600"/>
                  <w:shd w:fill="1F497D"/>
                  <w:tcMar>
                    <w:top w:w="120" w:type="dxa"/>
                    <w:bottom w:w="120" w:type="dxa"/>
                    <w:left w:w="140" w:type="dxa"/>
                    <w:right w:w="140" w:type="dxa"/>
                  </w:tcMar>
                </w:tcPr>
                <w:p>
                  <w:pPr>
                    <w:spacing w:before="40" w:after="40"/>
                    <w:jc w:val="center"/>
                  </w:pPr>
                  <w:r>
                    <w:rPr>
                      <w:rFonts w:ascii="Calibri" w:hAnsi="Calibri"/>
                      <w:b/>
                      <w:color w:val="FFFFFF"/>
                      <w:sz w:val="20"/>
                    </w:rPr>
                    <w:t>Primary Objectives</w:t>
                  </w:r>
                </w:p>
              </w:tc>
              <w:tc>
                <w:tcPr>
                  <w:tcW w:type="dxa" w:w="4176"/>
                  <w:shd w:fill="1F497D"/>
                  <w:tcMar>
                    <w:top w:w="120" w:type="dxa"/>
                    <w:bottom w:w="120" w:type="dxa"/>
                    <w:left w:w="140" w:type="dxa"/>
                    <w:right w:w="140" w:type="dxa"/>
                  </w:tcMar>
                </w:tcPr>
                <w:p>
                  <w:pPr>
                    <w:spacing w:before="40" w:after="40"/>
                    <w:jc w:val="center"/>
                  </w:pPr>
                  <w:r>
                    <w:rPr>
                      <w:rFonts w:ascii="Calibri" w:hAnsi="Calibri"/>
                      <w:b/>
                      <w:color w:val="FFFFFF"/>
                      <w:sz w:val="20"/>
                    </w:rPr>
                    <w:t>Key Responsibilities in System</w:t>
                  </w:r>
                </w:p>
              </w:tc>
            </w:tr>
            <w:tr>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Citizen</w:t>
                    <w:br/>
                    <w:t>(Complainant)</w:t>
                  </w:r>
                </w:p>
              </w:tc>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Quickly report civic failures (potholes, garbage, water leaks) with proof and track resolution status in real time.</w:t>
                  </w:r>
                </w:p>
              </w:tc>
              <w:tc>
                <w:tcPr>
                  <w:tcW w:type="dxa" w:w="417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Submits complaints, attaches evidence/images, views tokenized status updates, and submits feedback upon resolution.</w:t>
                  </w:r>
                </w:p>
              </w:tc>
            </w:tr>
            <w:tr>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Intake / Helpdesk Clerk</w:t>
                    <w:br/>
                    <w:t>(Front-Office)</w:t>
                  </w:r>
                </w:p>
              </w:tc>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Screen inbound grievances for preliminary completeness and prevent fraudulent/spam submissions.</w:t>
                  </w:r>
                </w:p>
              </w:tc>
              <w:tc>
                <w:tcPr>
                  <w:tcW w:type="dxa" w:w="417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Reviews initial submissions, verifies mandatory data fields, and dispatches tickets to ward engineering reviewers.</w:t>
                  </w:r>
                </w:p>
              </w:tc>
            </w:tr>
            <w:tr>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Municipal Reviewer</w:t>
                    <w:br/>
                    <w:t>(Ward Officer)</w:t>
                  </w:r>
                </w:p>
              </w:tc>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Assess validity, prioritize urgency, allocate municipal field resources, and enforce resolution SLAs.</w:t>
                  </w:r>
                </w:p>
              </w:tc>
              <w:tc>
                <w:tcPr>
                  <w:tcW w:type="dxa" w:w="417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Performs official verification, approves or rejects complaints with justification, assigns priority, and updates operational status.</w:t>
                  </w:r>
                </w:p>
              </w:tc>
            </w:tr>
            <w:tr>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Field Maintenance Crew</w:t>
                    <w:br/>
                    <w:t>(Contractor/Technician)</w:t>
                  </w:r>
                </w:p>
              </w:tc>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Receive clear work orders, inspect the physical site, execute repairs, and upload resolution proof.</w:t>
                  </w:r>
                </w:p>
              </w:tc>
              <w:tc>
                <w:tcPr>
                  <w:tcW w:type="dxa" w:w="417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Resolves civic grievances on ground, provides work-completion evidence, and triggers final closure review.</w:t>
                  </w:r>
                </w:p>
              </w:tc>
            </w:tr>
            <w:tr>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Municipal Commissioner</w:t>
                    <w:br/>
                    <w:t>(Super Administrator)</w:t>
                  </w:r>
                </w:p>
              </w:tc>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Supervise ward-level performance metrics, monitor systemic bottlenecks, and evaluate civic satisfaction.</w:t>
                  </w:r>
                </w:p>
              </w:tc>
              <w:tc>
                <w:tcPr>
                  <w:tcW w:type="dxa" w:w="417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Audits resolution rates, reviews department SLA compliance, and oversees municipal grievance analytics.</w:t>
                  </w:r>
                </w:p>
              </w:tc>
            </w:tr>
            <w:tr>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DevOps &amp; SRE Engineer</w:t>
                    <w:br/>
                    <w:t>(Technical Custodian)</w:t>
                  </w:r>
                </w:p>
              </w:tc>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Ensure 99.9% portal uptime, automate deployment pipelines, prevent regression failures, and manage container lifecycle.</w:t>
                  </w:r>
                </w:p>
              </w:tc>
              <w:tc>
                <w:tcPr>
                  <w:tcW w:type="dxa" w:w="417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Maintains Git workflows, manages Jenkins CI/CD jobs, automates Docker deployments, and executes Ansible provisioning.</w:t>
                  </w:r>
                </w:p>
              </w:tc>
            </w:tr>
          </w:tbl>
          <w:p/>
          <w:p>
            <w:pPr>
              <w:keepNext/>
              <w:spacing w:before="240" w:after="80"/>
            </w:pPr>
            <w:r>
              <w:rPr>
                <w:rFonts w:ascii="Calibri" w:hAnsi="Calibri"/>
                <w:b/>
                <w:color w:val="1F497D"/>
                <w:sz w:val="26"/>
              </w:rPr>
              <w:t>4. Baseline Pain Points Analysis</w:t>
            </w:r>
          </w:p>
          <w:p>
            <w:pPr>
              <w:spacing w:before="0" w:after="80" w:line="276" w:lineRule="auto"/>
              <w:jc w:val="both"/>
            </w:pPr>
            <w:r>
              <w:rPr>
                <w:rFonts w:ascii="Calibri" w:hAnsi="Calibri"/>
                <w:color w:val="333333"/>
                <w:sz w:val="22"/>
              </w:rPr>
              <w:t>A detailed empirical breakdown of operational and technical bottlenecks in the pre-DevOps municipal workflow reveals three major pain zones: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Citizen Disconnect &amp; Opacity: </w:t>
            </w:r>
            <w:r>
              <w:rPr>
                <w:rFonts w:ascii="Calibri" w:hAnsi="Calibri"/>
                <w:color w:val="333333"/>
                <w:sz w:val="22"/>
              </w:rPr>
              <w:t>Absence of digitized tracking means citizens must repeatedly contact ward offices. No automated notifications (email/portal status) are provided when complaints transition between states.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Inefficient Manual Triage &amp; Duplication: </w:t>
            </w:r>
            <w:r>
              <w:rPr>
                <w:rFonts w:ascii="Calibri" w:hAnsi="Calibri"/>
                <w:color w:val="333333"/>
                <w:sz w:val="22"/>
              </w:rPr>
              <w:t>Paper forms and manual logging result in redundant entries for community-wide issues (e.g., 20 independent complaints for a single water main burst), diluting staff bandwidth.</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Lack of Auditability &amp; Arbitrary Closure: </w:t>
            </w:r>
            <w:r>
              <w:rPr>
                <w:rFonts w:ascii="Calibri" w:hAnsi="Calibri"/>
                <w:color w:val="333333"/>
                <w:sz w:val="22"/>
              </w:rPr>
              <w:t>Municipal staff frequently mark tickets as resolved without mandatory verification or photo evidence, eroding public trust.</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Fragile Manual Deployments &amp; Release Downtime: </w:t>
            </w:r>
            <w:r>
              <w:rPr>
                <w:rFonts w:ascii="Calibri" w:hAnsi="Calibri"/>
                <w:color w:val="333333"/>
                <w:sz w:val="22"/>
              </w:rPr>
              <w:t>IT deployments previously involved manual FTP file transfers and manual Tomcat configuration changes, causing frequent downtime, deployment mismatches, and protracted rollbacks.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Absence of Automated Quality Gates: </w:t>
            </w:r>
            <w:r>
              <w:rPr>
                <w:rFonts w:ascii="Calibri" w:hAnsi="Calibri"/>
                <w:color w:val="333333"/>
                <w:sz w:val="22"/>
              </w:rPr>
              <w:t>Manual software testing failed to catch regressions before production updates, introducing critical defects directly into the municipal public interface.</w:t>
            </w:r>
          </w:p>
          <w:p>
            <w:pPr>
              <w:keepNext/>
              <w:spacing w:before="240" w:after="80"/>
            </w:pPr>
            <w:r>
              <w:rPr>
                <w:rFonts w:ascii="Calibri" w:hAnsi="Calibri"/>
                <w:b/>
                <w:color w:val="1F497D"/>
                <w:sz w:val="26"/>
              </w:rPr>
              <w:t>5. Stakeholder List and Governance Matrix</w:t>
            </w:r>
          </w:p>
          <w:p>
            <w:pPr>
              <w:spacing w:before="0" w:after="80" w:line="276" w:lineRule="auto"/>
              <w:jc w:val="both"/>
            </w:pPr>
            <w:r>
              <w:rPr>
                <w:rFonts w:ascii="Calibri" w:hAnsi="Calibri"/>
                <w:color w:val="333333"/>
                <w:sz w:val="22"/>
              </w:rPr>
              <w:t>Successful delivery requires structured alignment across all municipal, public, and technical stakeholders:</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1990"/>
              <w:gridCol w:w="1990"/>
              <w:gridCol w:w="1990"/>
              <w:gridCol w:w="1990"/>
              <w:gridCol w:w="1990"/>
            </w:tblGrid>
            <w:tr>
              <w:tc>
                <w:tcPr>
                  <w:tcW w:type="dxa" w:w="2016"/>
                  <w:shd w:fill="1F497D"/>
                  <w:tcMar>
                    <w:top w:w="120" w:type="dxa"/>
                    <w:bottom w:w="120" w:type="dxa"/>
                    <w:left w:w="140" w:type="dxa"/>
                    <w:right w:w="140" w:type="dxa"/>
                  </w:tcMar>
                </w:tcPr>
                <w:p>
                  <w:pPr>
                    <w:spacing w:before="40" w:after="40"/>
                    <w:jc w:val="center"/>
                  </w:pPr>
                  <w:r>
                    <w:rPr>
                      <w:rFonts w:ascii="Calibri" w:hAnsi="Calibri"/>
                      <w:b/>
                      <w:color w:val="FFFFFF"/>
                      <w:sz w:val="20"/>
                    </w:rPr>
                    <w:t>Stakeholder Group</w:t>
                  </w:r>
                </w:p>
              </w:tc>
              <w:tc>
                <w:tcPr>
                  <w:tcW w:type="dxa" w:w="1584"/>
                  <w:shd w:fill="1F497D"/>
                  <w:tcMar>
                    <w:top w:w="120" w:type="dxa"/>
                    <w:bottom w:w="120" w:type="dxa"/>
                    <w:left w:w="140" w:type="dxa"/>
                    <w:right w:w="140" w:type="dxa"/>
                  </w:tcMar>
                </w:tcPr>
                <w:p>
                  <w:pPr>
                    <w:spacing w:before="40" w:after="40"/>
                    <w:jc w:val="center"/>
                  </w:pPr>
                  <w:r>
                    <w:rPr>
                      <w:rFonts w:ascii="Calibri" w:hAnsi="Calibri"/>
                      <w:b/>
                      <w:color w:val="FFFFFF"/>
                      <w:sz w:val="20"/>
                    </w:rPr>
                    <w:t>Category</w:t>
                  </w:r>
                </w:p>
              </w:tc>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Key Interest / Expectation</w:t>
                  </w:r>
                </w:p>
              </w:tc>
              <w:tc>
                <w:tcPr>
                  <w:tcW w:type="dxa" w:w="1584"/>
                  <w:shd w:fill="1F497D"/>
                  <w:tcMar>
                    <w:top w:w="120" w:type="dxa"/>
                    <w:bottom w:w="120" w:type="dxa"/>
                    <w:left w:w="140" w:type="dxa"/>
                    <w:right w:w="140" w:type="dxa"/>
                  </w:tcMar>
                </w:tcPr>
                <w:p>
                  <w:pPr>
                    <w:spacing w:before="40" w:after="40"/>
                    <w:jc w:val="center"/>
                  </w:pPr>
                  <w:r>
                    <w:rPr>
                      <w:rFonts w:ascii="Calibri" w:hAnsi="Calibri"/>
                      <w:b/>
                      <w:color w:val="FFFFFF"/>
                      <w:sz w:val="20"/>
                    </w:rPr>
                    <w:t>Impact / Influence</w:t>
                  </w:r>
                </w:p>
              </w:tc>
              <w:tc>
                <w:tcPr>
                  <w:tcW w:type="dxa" w:w="2160"/>
                  <w:shd w:fill="1F497D"/>
                  <w:tcMar>
                    <w:top w:w="120" w:type="dxa"/>
                    <w:bottom w:w="120" w:type="dxa"/>
                    <w:left w:w="140" w:type="dxa"/>
                    <w:right w:w="140" w:type="dxa"/>
                  </w:tcMar>
                </w:tcPr>
                <w:p>
                  <w:pPr>
                    <w:spacing w:before="40" w:after="40"/>
                    <w:jc w:val="center"/>
                  </w:pPr>
                  <w:r>
                    <w:rPr>
                      <w:rFonts w:ascii="Calibri" w:hAnsi="Calibri"/>
                      <w:b/>
                      <w:color w:val="FFFFFF"/>
                      <w:sz w:val="20"/>
                    </w:rPr>
                    <w:t>Engagement Mechanism</w:t>
                  </w:r>
                </w:p>
              </w:tc>
            </w:tr>
            <w:tr>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Citizens &amp; Resident Welfare Associations (RWAs)</w:t>
                  </w:r>
                </w:p>
              </w:tc>
              <w:tc>
                <w:tcPr>
                  <w:tcW w:type="dxa" w:w="158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External Public</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High transparency, fast redressal, ease of mobile/web access</w:t>
                  </w:r>
                </w:p>
              </w:tc>
              <w:tc>
                <w:tcPr>
                  <w:tcW w:type="dxa" w:w="158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High / High</w:t>
                  </w:r>
                </w:p>
              </w:tc>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Portal notifications, feedback forms, public status inquiry</w:t>
                  </w:r>
                </w:p>
              </w:tc>
            </w:tr>
            <w:tr>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Municipal Ward Administrative Officers</w:t>
                  </w:r>
                </w:p>
              </w:tc>
              <w:tc>
                <w:tcPr>
                  <w:tcW w:type="dxa" w:w="158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Internal Core</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Workload reduction, organized queues, SLA adherence tracking</w:t>
                  </w:r>
                </w:p>
              </w:tc>
              <w:tc>
                <w:tcPr>
                  <w:tcW w:type="dxa" w:w="158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High / High</w:t>
                  </w:r>
                </w:p>
              </w:tc>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Reviewer portal dashboard, email alert summaries</w:t>
                  </w:r>
                </w:p>
              </w:tc>
            </w:tr>
            <w:tr>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Field Engineering &amp; Sanitary Inspectors</w:t>
                  </w:r>
                </w:p>
              </w:tc>
              <w:tc>
                <w:tcPr>
                  <w:tcW w:type="dxa" w:w="158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Internal Operational</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Accurate incident location, clear complaint categorization</w:t>
                  </w:r>
                </w:p>
              </w:tc>
              <w:tc>
                <w:tcPr>
                  <w:tcW w:type="dxa" w:w="158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Medium / High</w:t>
                  </w:r>
                </w:p>
              </w:tc>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Work-order tickets, mobile-responsive field status updates</w:t>
                  </w:r>
                </w:p>
              </w:tc>
            </w:tr>
            <w:tr>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Municipal Corporation Leadership (Mayor/Commissioner)</w:t>
                  </w:r>
                </w:p>
              </w:tc>
              <w:tc>
                <w:tcPr>
                  <w:tcW w:type="dxa" w:w="158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Executive Governance</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Citizen satisfaction indices, public accountability, audit trails</w:t>
                  </w:r>
                </w:p>
              </w:tc>
              <w:tc>
                <w:tcPr>
                  <w:tcW w:type="dxa" w:w="158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High / Medium</w:t>
                  </w:r>
                </w:p>
              </w:tc>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Executive BI reports, quarterly compliance analytics</w:t>
                  </w:r>
                </w:p>
              </w:tc>
            </w:tr>
            <w:tr>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DevOps &amp; Infrastructure Team</w:t>
                  </w:r>
                </w:p>
              </w:tc>
              <w:tc>
                <w:tcPr>
                  <w:tcW w:type="dxa" w:w="158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Technical Implementation</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Automated builds, zero-downtime releases, automated rollbacks</w:t>
                  </w:r>
                </w:p>
              </w:tc>
              <w:tc>
                <w:tcPr>
                  <w:tcW w:type="dxa" w:w="158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High / High</w:t>
                  </w:r>
                </w:p>
              </w:tc>
              <w:tc>
                <w:tcPr>
                  <w:tcW w:type="dxa" w:w="216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GitHub PR reviews, Jenkins pipelines, Docker monitoring</w:t>
                  </w:r>
                </w:p>
              </w:tc>
            </w:tr>
            <w:tr>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Regulatory &amp; Audit Authorities</w:t>
                  </w:r>
                </w:p>
              </w:tc>
              <w:tc>
                <w:tcPr>
                  <w:tcW w:type="dxa" w:w="158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Governance / Compliance</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Adherence to Municipal Disclosure Act and Right to Public Services</w:t>
                  </w:r>
                </w:p>
              </w:tc>
              <w:tc>
                <w:tcPr>
                  <w:tcW w:type="dxa" w:w="158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High / Low</w:t>
                  </w:r>
                </w:p>
              </w:tc>
              <w:tc>
                <w:tcPr>
                  <w:tcW w:type="dxa" w:w="216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Immutable audit logs, timestamped review records</w:t>
                  </w:r>
                </w:p>
              </w:tc>
            </w:tr>
          </w:tbl>
          <w:p/>
          <w:p>
            <w:pPr>
              <w:keepNext/>
              <w:spacing w:before="240" w:after="80"/>
            </w:pPr>
            <w:r>
              <w:rPr>
                <w:rFonts w:ascii="Calibri" w:hAnsi="Calibri"/>
                <w:b/>
                <w:color w:val="1F497D"/>
                <w:sz w:val="26"/>
              </w:rPr>
              <w:t>6. Project Objectives and Measurable Success Criteria</w:t>
            </w:r>
          </w:p>
          <w:p>
            <w:pPr>
              <w:keepNext/>
              <w:spacing w:before="160" w:after="60"/>
            </w:pPr>
            <w:r>
              <w:rPr>
                <w:rFonts w:ascii="Calibri" w:hAnsi="Calibri"/>
                <w:b/>
                <w:color w:val="2E5B82"/>
                <w:sz w:val="23"/>
              </w:rPr>
              <w:t>6.1 Core Project Objectives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Functional Objective 1: </w:t>
            </w:r>
            <w:r>
              <w:rPr>
                <w:rFonts w:ascii="Calibri" w:hAnsi="Calibri"/>
                <w:color w:val="333333"/>
                <w:sz w:val="22"/>
              </w:rPr>
              <w:t>Develop a lightweight, responsive web portal enabling citizens to submit complaints across five predefined municipal categories (Roads, Waste, Water, Streetlights, Sanitation) with mandatory input validation.</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Functional Objective 2: </w:t>
            </w:r>
            <w:r>
              <w:rPr>
                <w:rFonts w:ascii="Calibri" w:hAnsi="Calibri"/>
                <w:color w:val="333333"/>
                <w:sz w:val="22"/>
              </w:rPr>
              <w:t>Implement an authenticated Reviewer Module allowing municipal officials to inspect submissions, verify supporting documentation, and execute Approve / Reject / In-Progress actions with mandatory audit notes.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Functional Objective 3: </w:t>
            </w:r>
            <w:r>
              <w:rPr>
                <w:rFonts w:ascii="Calibri" w:hAnsi="Calibri"/>
                <w:color w:val="333333"/>
                <w:sz w:val="22"/>
              </w:rPr>
              <w:t>Provide a zero-friction public Status Tracking module utilizing a deterministic Complaint Reference Token (e.g., CMP-XXXXXX).</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DevOps Objective 1: </w:t>
            </w:r>
            <w:r>
              <w:rPr>
                <w:rFonts w:ascii="Calibri" w:hAnsi="Calibri"/>
                <w:color w:val="333333"/>
                <w:sz w:val="22"/>
              </w:rPr>
              <w:t>Establish end-to-end continuous integration and continuous deployment pipelines (Git -&gt; Jenkins -&gt; Maven -&gt; Selenium -&gt; Docker -&gt; Ansible) eliminating all manual release steps.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DevOps Objective 2: </w:t>
            </w:r>
            <w:r>
              <w:rPr>
                <w:rFonts w:ascii="Calibri" w:hAnsi="Calibri"/>
                <w:color w:val="333333"/>
                <w:sz w:val="22"/>
              </w:rPr>
              <w:t>Enforce strict quality gates using automated Selenium WebDriver test suites and containerized staging environments prior to production rollout.</w:t>
            </w:r>
          </w:p>
          <w:p>
            <w:pPr>
              <w:keepNext/>
              <w:spacing w:before="160" w:after="60"/>
            </w:pPr>
            <w:r>
              <w:rPr>
                <w:rFonts w:ascii="Calibri" w:hAnsi="Calibri"/>
                <w:b/>
                <w:color w:val="2E5B82"/>
                <w:sz w:val="23"/>
              </w:rPr>
              <w:t>6.2 Measurable Success Criteria (KPIs)</w:t>
            </w:r>
          </w:p>
          <w:p>
            <w:pPr>
              <w:spacing w:before="0" w:after="80" w:line="276" w:lineRule="auto"/>
              <w:jc w:val="both"/>
            </w:pPr>
            <w:r>
              <w:rPr>
                <w:rFonts w:ascii="Calibri" w:hAnsi="Calibri"/>
                <w:color w:val="333333"/>
                <w:sz w:val="22"/>
              </w:rPr>
              <w:t>The success of the Municipal Complaint Portal and its CI/CD architecture is evaluated through quantitative service and engineering metrics:</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2488"/>
              <w:gridCol w:w="2488"/>
              <w:gridCol w:w="2488"/>
              <w:gridCol w:w="2488"/>
            </w:tblGrid>
            <w:tr>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Key Performance Indicator (KPI)</w:t>
                  </w:r>
                </w:p>
              </w:tc>
              <w:tc>
                <w:tcPr>
                  <w:tcW w:type="dxa" w:w="2448"/>
                  <w:shd w:fill="1F497D"/>
                  <w:tcMar>
                    <w:top w:w="120" w:type="dxa"/>
                    <w:bottom w:w="120" w:type="dxa"/>
                    <w:left w:w="140" w:type="dxa"/>
                    <w:right w:w="140" w:type="dxa"/>
                  </w:tcMar>
                </w:tcPr>
                <w:p>
                  <w:pPr>
                    <w:spacing w:before="40" w:after="40"/>
                    <w:jc w:val="center"/>
                  </w:pPr>
                  <w:r>
                    <w:rPr>
                      <w:rFonts w:ascii="Calibri" w:hAnsi="Calibri"/>
                      <w:b/>
                      <w:color w:val="FFFFFF"/>
                      <w:sz w:val="20"/>
                    </w:rPr>
                    <w:t>Pre-DevOps Baseline</w:t>
                  </w:r>
                </w:p>
              </w:tc>
              <w:tc>
                <w:tcPr>
                  <w:tcW w:type="dxa" w:w="2304"/>
                  <w:shd w:fill="1F497D"/>
                  <w:tcMar>
                    <w:top w:w="120" w:type="dxa"/>
                    <w:bottom w:w="120" w:type="dxa"/>
                    <w:left w:w="140" w:type="dxa"/>
                    <w:right w:w="140" w:type="dxa"/>
                  </w:tcMar>
                </w:tcPr>
                <w:p>
                  <w:pPr>
                    <w:spacing w:before="40" w:after="40"/>
                    <w:jc w:val="center"/>
                  </w:pPr>
                  <w:r>
                    <w:rPr>
                      <w:rFonts w:ascii="Calibri" w:hAnsi="Calibri"/>
                      <w:b/>
                      <w:color w:val="FFFFFF"/>
                      <w:sz w:val="20"/>
                    </w:rPr>
                    <w:t>Target MVP Metric</w:t>
                  </w:r>
                </w:p>
              </w:tc>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Evaluation Methodology</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Complaint Lodging Turnaround</w:t>
                  </w:r>
                </w:p>
              </w:tc>
              <w:tc>
                <w:tcPr>
                  <w:tcW w:type="dxa" w:w="244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15 - 45 minutes (physical visit/queue)</w:t>
                  </w:r>
                </w:p>
              </w:tc>
              <w:tc>
                <w:tcPr>
                  <w:tcW w:type="dxa" w:w="230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&lt; 2 minutes online</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End-to-end user submission time tracking</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Complaint Triage Latency</w:t>
                  </w:r>
                </w:p>
              </w:tc>
              <w:tc>
                <w:tcPr>
                  <w:tcW w:type="dxa" w:w="244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3 - 5 business days</w:t>
                  </w:r>
                </w:p>
              </w:tc>
              <w:tc>
                <w:tcPr>
                  <w:tcW w:type="dxa" w:w="230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&lt; 4 hours post-submission</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Timestamp difference (Submitted to Under Review)</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Deployment Cycle Time</w:t>
                  </w:r>
                </w:p>
              </w:tc>
              <w:tc>
                <w:tcPr>
                  <w:tcW w:type="dxa" w:w="244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4 - 8 hours manual deployment</w:t>
                  </w:r>
                </w:p>
              </w:tc>
              <w:tc>
                <w:tcPr>
                  <w:tcW w:type="dxa" w:w="230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&lt; 5 minutes automated CI/CD</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Jenkins build-to-deploy pipeline execution log</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Automated Test Pass Rate</w:t>
                  </w:r>
                </w:p>
              </w:tc>
              <w:tc>
                <w:tcPr>
                  <w:tcW w:type="dxa" w:w="244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0% (Manual ad-hoc testing)</w:t>
                  </w:r>
                </w:p>
              </w:tc>
              <w:tc>
                <w:tcPr>
                  <w:tcW w:type="dxa" w:w="230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100% automated Selenium pass</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Jenkins JUnit / TestNG test report publishing</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Production Deployment Downtime</w:t>
                  </w:r>
                </w:p>
              </w:tc>
              <w:tc>
                <w:tcPr>
                  <w:tcW w:type="dxa" w:w="244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30 - 60 minutes maintenance window</w:t>
                  </w:r>
                </w:p>
              </w:tc>
              <w:tc>
                <w:tcPr>
                  <w:tcW w:type="dxa" w:w="230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Zero downtime (&lt; 5s container swap)</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Uptime monitoring during Docker container redeployment</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Mean Time to Recovery (MTTR)</w:t>
                  </w:r>
                </w:p>
              </w:tc>
              <w:tc>
                <w:tcPr>
                  <w:tcW w:type="dxa" w:w="244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&gt; 3 hours manual rollback</w:t>
                  </w:r>
                </w:p>
              </w:tc>
              <w:tc>
                <w:tcPr>
                  <w:tcW w:type="dxa" w:w="230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&lt; 3 minutes automated rollback</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Ansible/Docker automated rollback validation test</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Configuration Idempotency</w:t>
                  </w:r>
                </w:p>
              </w:tc>
              <w:tc>
                <w:tcPr>
                  <w:tcW w:type="dxa" w:w="244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High configuration drift across nodes</w:t>
                  </w:r>
                </w:p>
              </w:tc>
              <w:tc>
                <w:tcPr>
                  <w:tcW w:type="dxa" w:w="230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100% idempotent configuration</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Ansible/Puppet zero-change secondary execution run</w:t>
                  </w:r>
                </w:p>
              </w:tc>
            </w:tr>
          </w:tbl>
          <w:p/>
          <w:p>
            <w:pPr>
              <w:keepNext/>
              <w:spacing w:before="240" w:after="80"/>
            </w:pPr>
            <w:r>
              <w:rPr>
                <w:rFonts w:ascii="Calibri" w:hAnsi="Calibri"/>
                <w:b/>
                <w:color w:val="1F497D"/>
                <w:sz w:val="26"/>
              </w:rPr>
              <w:t>7. System Constraints, Dependencies, and Assumptions</w:t>
            </w:r>
          </w:p>
          <w:p>
            <w:pPr>
              <w:keepNext/>
              <w:spacing w:before="160" w:after="60"/>
            </w:pPr>
            <w:r>
              <w:rPr>
                <w:rFonts w:ascii="Calibri" w:hAnsi="Calibri"/>
                <w:b/>
                <w:color w:val="2E5B82"/>
                <w:sz w:val="23"/>
              </w:rPr>
              <w:t>7.1 Technical and Architectural Constraints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Technology Stack: </w:t>
            </w:r>
            <w:r>
              <w:rPr>
                <w:rFonts w:ascii="Calibri" w:hAnsi="Calibri"/>
                <w:color w:val="333333"/>
                <w:sz w:val="22"/>
              </w:rPr>
              <w:t>The core web application must be developed using standard Java / Web technologies (Java Servlets / JSP or Spring Boot lightweight baseline) with Maven build tooling.</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Server Infrastructure: </w:t>
            </w:r>
            <w:r>
              <w:rPr>
                <w:rFonts w:ascii="Calibri" w:hAnsi="Calibri"/>
                <w:color w:val="333333"/>
                <w:sz w:val="22"/>
              </w:rPr>
              <w:t>Target deployment environment utilizes Apache Tomcat 9/10 servlet container or Nginx reverse proxy, accessible over port 8080/80.</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Containerization Constraints: </w:t>
            </w:r>
            <w:r>
              <w:rPr>
                <w:rFonts w:ascii="Calibri" w:hAnsi="Calibri"/>
                <w:color w:val="333333"/>
                <w:sz w:val="22"/>
              </w:rPr>
              <w:t>Docker images must be lightweight (multi-stage build based on Alpine / OpenJDK JRE) and publishable to Docker Hub.</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Automation Tools: </w:t>
            </w:r>
            <w:r>
              <w:rPr>
                <w:rFonts w:ascii="Calibri" w:hAnsi="Calibri"/>
                <w:color w:val="333333"/>
                <w:sz w:val="22"/>
              </w:rPr>
              <w:t>Pipeline orchestration is restricted to Jenkins Pipeline-as-Code (declarative Jenkinsfile), and configuration management must use Ansible YAML playbooks or Puppet manifests.</w:t>
            </w:r>
          </w:p>
          <w:p>
            <w:pPr>
              <w:keepNext/>
              <w:spacing w:before="160" w:after="60"/>
            </w:pPr>
            <w:r>
              <w:rPr>
                <w:rFonts w:ascii="Calibri" w:hAnsi="Calibri"/>
                <w:b/>
                <w:color w:val="2E5B82"/>
                <w:sz w:val="23"/>
              </w:rPr>
              <w:t>7.2 Operational and Environmental Constraints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Local Sandbox Constraints: </w:t>
            </w:r>
            <w:r>
              <w:rPr>
                <w:rFonts w:ascii="Calibri" w:hAnsi="Calibri"/>
                <w:color w:val="333333"/>
                <w:sz w:val="22"/>
              </w:rPr>
              <w:t>The complete toolchain must run reliably on the local laboratory host machine (Windows 10/11 environment with WSL2 / virtualized Linux nodes).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Resource Allocation: </w:t>
            </w:r>
            <w:r>
              <w:rPr>
                <w:rFonts w:ascii="Calibri" w:hAnsi="Calibri"/>
                <w:color w:val="333333"/>
                <w:sz w:val="22"/>
              </w:rPr>
              <w:t>System memory usage for Jenkins, Tomcat, and Docker containers must remain constrained within available workstation RAM (&lt; 6 GB aggregate).</w:t>
            </w:r>
          </w:p>
          <w:p>
            <w:pPr>
              <w:keepNext/>
              <w:spacing w:before="160" w:after="60"/>
            </w:pPr>
            <w:r>
              <w:rPr>
                <w:rFonts w:ascii="Calibri" w:hAnsi="Calibri"/>
                <w:b/>
                <w:color w:val="2E5B82"/>
                <w:sz w:val="23"/>
              </w:rPr>
              <w:t>7.3 Assumptions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Connectivity: </w:t>
            </w:r>
            <w:r>
              <w:rPr>
                <w:rFonts w:ascii="Calibri" w:hAnsi="Calibri"/>
                <w:color w:val="333333"/>
                <w:sz w:val="22"/>
              </w:rPr>
              <w:t>Continuous outbound internet access is available for pulling Maven dependencies, Docker base images, and GitHub remote pushes.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Citizen Accessibility: </w:t>
            </w:r>
            <w:r>
              <w:rPr>
                <w:rFonts w:ascii="Calibri" w:hAnsi="Calibri"/>
                <w:color w:val="333333"/>
                <w:sz w:val="22"/>
              </w:rPr>
              <w:t>Citizens access the application through modern evergreen browsers (Chrome, Edge, Firefox) without requiring specialized client plugins.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Single-Node Dev Target: </w:t>
            </w:r>
            <w:r>
              <w:rPr>
                <w:rFonts w:ascii="Calibri" w:hAnsi="Calibri"/>
                <w:color w:val="333333"/>
                <w:sz w:val="22"/>
              </w:rPr>
              <w:t>For the MVP phase, staging and production are simulated on distinct port-mapped containerized instances on the target host.</w:t>
            </w:r>
          </w:p>
          <w:p>
            <w:pPr>
              <w:keepNext/>
              <w:spacing w:before="240" w:after="80"/>
            </w:pPr>
            <w:r>
              <w:rPr>
                <w:rFonts w:ascii="Calibri" w:hAnsi="Calibri"/>
                <w:b/>
                <w:color w:val="1F497D"/>
                <w:sz w:val="26"/>
              </w:rPr>
              <w:t>8. Approved 15-Task MVP Scope (Freezing the Scope)</w:t>
            </w:r>
          </w:p>
          <w:p>
            <w:pPr>
              <w:spacing w:before="0" w:after="80" w:line="276" w:lineRule="auto"/>
              <w:jc w:val="both"/>
            </w:pPr>
            <w:r>
              <w:rPr>
                <w:rFonts w:ascii="Calibri" w:hAnsi="Calibri"/>
                <w:b/>
                <w:color w:val="222222"/>
                <w:sz w:val="22"/>
              </w:rPr>
              <w:t xml:space="preserve">Scope Boundary Definition: </w:t>
            </w:r>
            <w:r>
              <w:rPr>
                <w:rFonts w:ascii="Calibri" w:hAnsi="Calibri"/>
                <w:color w:val="333333"/>
                <w:sz w:val="22"/>
              </w:rPr>
              <w:t>To ensure rapid, defect-free delivery within academic and engineering timelines, the project scope is frozen strictly to a 15-Task Minimum Viable Product (MVP). Complex out-of-scope features (such as GIS geospatial mapping, AI automatic duplicate detection, payment gateways, and multilingual localization) are deferred to Post-MVP releases.</w:t>
            </w:r>
          </w:p>
          <w:p>
            <w:pPr>
              <w:keepNext/>
              <w:spacing w:before="160" w:after="60"/>
            </w:pPr>
            <w:r>
              <w:rPr>
                <w:rFonts w:ascii="Calibri" w:hAnsi="Calibri"/>
                <w:b/>
                <w:color w:val="2E5B82"/>
                <w:sz w:val="23"/>
              </w:rPr>
              <w:t>8.1 In-Scope vs. Out-of-Scope Boundary</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3317"/>
              <w:gridCol w:w="3317"/>
              <w:gridCol w:w="3317"/>
            </w:tblGrid>
            <w:tr>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Functional / DevOps Dimension</w:t>
                  </w:r>
                </w:p>
              </w:tc>
              <w:tc>
                <w:tcPr>
                  <w:tcW w:type="dxa" w:w="3744"/>
                  <w:shd w:fill="1F497D"/>
                  <w:tcMar>
                    <w:top w:w="120" w:type="dxa"/>
                    <w:bottom w:w="120" w:type="dxa"/>
                    <w:left w:w="140" w:type="dxa"/>
                    <w:right w:w="140" w:type="dxa"/>
                  </w:tcMar>
                </w:tcPr>
                <w:p>
                  <w:pPr>
                    <w:spacing w:before="40" w:after="40"/>
                    <w:jc w:val="center"/>
                  </w:pPr>
                  <w:r>
                    <w:rPr>
                      <w:rFonts w:ascii="Calibri" w:hAnsi="Calibri"/>
                      <w:b/>
                      <w:color w:val="FFFFFF"/>
                      <w:sz w:val="20"/>
                    </w:rPr>
                    <w:t>In-Scope for 15-Task MVP</w:t>
                  </w:r>
                </w:p>
              </w:tc>
              <w:tc>
                <w:tcPr>
                  <w:tcW w:type="dxa" w:w="3600"/>
                  <w:shd w:fill="1F497D"/>
                  <w:tcMar>
                    <w:top w:w="120" w:type="dxa"/>
                    <w:bottom w:w="120" w:type="dxa"/>
                    <w:left w:w="140" w:type="dxa"/>
                    <w:right w:w="140" w:type="dxa"/>
                  </w:tcMar>
                </w:tcPr>
                <w:p>
                  <w:pPr>
                    <w:spacing w:before="40" w:after="40"/>
                    <w:jc w:val="center"/>
                  </w:pPr>
                  <w:r>
                    <w:rPr>
                      <w:rFonts w:ascii="Calibri" w:hAnsi="Calibri"/>
                      <w:b/>
                      <w:color w:val="FFFFFF"/>
                      <w:sz w:val="20"/>
                    </w:rPr>
                    <w:t>Out-of-Scope (Future Releases)</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Complaint Lodging</w:t>
                  </w:r>
                </w:p>
              </w:tc>
              <w:tc>
                <w:tcPr>
                  <w:tcW w:type="dxa" w:w="374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Web form for 5 core civic categories with text/attachment upload</w:t>
                  </w:r>
                </w:p>
              </w:tc>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Mobile native app (iOS/Android), Voice-based IVR filing</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Validation Engine</w:t>
                  </w:r>
                </w:p>
              </w:tc>
              <w:tc>
                <w:tcPr>
                  <w:tcW w:type="dxa" w:w="374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Client-side and server-side data sanitization and format checks</w:t>
                  </w:r>
                </w:p>
              </w:tc>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AI-based computer vision analysis of pothole/garbage photos</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Reviewer Operations</w:t>
                  </w:r>
                </w:p>
              </w:tc>
              <w:tc>
                <w:tcPr>
                  <w:tcW w:type="dxa" w:w="374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Authenticated dashboard for Approve, Reject, In-Progress status</w:t>
                  </w:r>
                </w:p>
              </w:tc>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Multi-tiered inter-departmental auto-escalation engine</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Status Inquiry</w:t>
                  </w:r>
                </w:p>
              </w:tc>
              <w:tc>
                <w:tcPr>
                  <w:tcW w:type="dxa" w:w="374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Real-time tokenized search with color-coded status badges</w:t>
                  </w:r>
                </w:p>
              </w:tc>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Automated SMS gateway dispatch and WhatsApp chatbot</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CI/CD Automation</w:t>
                  </w:r>
                </w:p>
              </w:tc>
              <w:tc>
                <w:tcPr>
                  <w:tcW w:type="dxa" w:w="374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Automated Git push trigger -&gt; Jenkins build -&gt; Selenium -&gt; Deploy</w:t>
                  </w:r>
                </w:p>
              </w:tc>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Multi-region Kubernetes deployment, Cloud Auto-scaling</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Config Management</w:t>
                  </w:r>
                </w:p>
              </w:tc>
              <w:tc>
                <w:tcPr>
                  <w:tcW w:type="dxa" w:w="374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Ansible playbook / Puppet manifest for node setup and idempotency</w:t>
                  </w:r>
                </w:p>
              </w:tc>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Bare-metal PXE provisioning, Terraform multi-cloud IaC</w:t>
                  </w:r>
                </w:p>
              </w:tc>
            </w:tr>
          </w:tbl>
          <w:p/>
          <w:p>
            <w:pPr>
              <w:keepNext/>
              <w:spacing w:before="160" w:after="60"/>
            </w:pPr>
            <w:r>
              <w:rPr>
                <w:rFonts w:ascii="Calibri" w:hAnsi="Calibri"/>
                <w:b/>
                <w:color w:val="2E5B82"/>
                <w:sz w:val="23"/>
              </w:rPr>
              <w:t>8.2 The Approved 15-Task End-to-End DevOps Roadmap</w:t>
            </w:r>
          </w:p>
          <w:p>
            <w:pPr>
              <w:spacing w:before="0" w:after="80" w:line="276" w:lineRule="auto"/>
              <w:jc w:val="both"/>
            </w:pPr>
            <w:r>
              <w:rPr>
                <w:rFonts w:ascii="Calibri" w:hAnsi="Calibri"/>
                <w:color w:val="333333"/>
                <w:sz w:val="22"/>
              </w:rPr>
              <w:t>The complete project lifecycle is broken down into 15 structured, sequential tasks spanning agile planning, version control, CI/CD pipelines, automated testing, container lifecycle, and automated provisioning:</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2488"/>
              <w:gridCol w:w="2488"/>
              <w:gridCol w:w="2488"/>
              <w:gridCol w:w="2488"/>
            </w:tblGrid>
            <w:tr>
              <w:tc>
                <w:tcPr>
                  <w:tcW w:type="dxa" w:w="1008"/>
                  <w:shd w:fill="1F497D"/>
                  <w:tcMar>
                    <w:top w:w="120" w:type="dxa"/>
                    <w:bottom w:w="120" w:type="dxa"/>
                    <w:left w:w="140" w:type="dxa"/>
                    <w:right w:w="140" w:type="dxa"/>
                  </w:tcMar>
                </w:tcPr>
                <w:p>
                  <w:pPr>
                    <w:spacing w:before="40" w:after="40"/>
                    <w:jc w:val="center"/>
                  </w:pPr>
                  <w:r>
                    <w:rPr>
                      <w:rFonts w:ascii="Calibri" w:hAnsi="Calibri"/>
                      <w:b/>
                      <w:color w:val="FFFFFF"/>
                      <w:sz w:val="20"/>
                    </w:rPr>
                    <w:t>Task #</w:t>
                  </w:r>
                </w:p>
              </w:tc>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Task Title &amp; Phase</w:t>
                  </w:r>
                </w:p>
              </w:tc>
              <w:tc>
                <w:tcPr>
                  <w:tcW w:type="dxa" w:w="3600"/>
                  <w:shd w:fill="1F497D"/>
                  <w:tcMar>
                    <w:top w:w="120" w:type="dxa"/>
                    <w:bottom w:w="120" w:type="dxa"/>
                    <w:left w:w="140" w:type="dxa"/>
                    <w:right w:w="140" w:type="dxa"/>
                  </w:tcMar>
                </w:tcPr>
                <w:p>
                  <w:pPr>
                    <w:spacing w:before="40" w:after="40"/>
                    <w:jc w:val="center"/>
                  </w:pPr>
                  <w:r>
                    <w:rPr>
                      <w:rFonts w:ascii="Calibri" w:hAnsi="Calibri"/>
                      <w:b/>
                      <w:color w:val="FFFFFF"/>
                      <w:sz w:val="20"/>
                    </w:rPr>
                    <w:t>Key Operational Activities</w:t>
                  </w:r>
                </w:p>
              </w:tc>
              <w:tc>
                <w:tcPr>
                  <w:tcW w:type="dxa" w:w="2736"/>
                  <w:shd w:fill="1F497D"/>
                  <w:tcMar>
                    <w:top w:w="120" w:type="dxa"/>
                    <w:bottom w:w="120" w:type="dxa"/>
                    <w:left w:w="140" w:type="dxa"/>
                    <w:right w:w="140" w:type="dxa"/>
                  </w:tcMar>
                </w:tcPr>
                <w:p>
                  <w:pPr>
                    <w:spacing w:before="40" w:after="40"/>
                    <w:jc w:val="center"/>
                  </w:pPr>
                  <w:r>
                    <w:rPr>
                      <w:rFonts w:ascii="Calibri" w:hAnsi="Calibri"/>
                      <w:b/>
                      <w:color w:val="FFFFFF"/>
                      <w:sz w:val="20"/>
                    </w:rPr>
                    <w:t>Deliverable Artifact</w:t>
                  </w:r>
                </w:p>
              </w:tc>
            </w:tr>
            <w:tr>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Task 1</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Problem Definition &amp; Scope Freezing</w:t>
                  </w:r>
                </w:p>
              </w:tc>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Study civic grievance challenges, identify personas, freeze 15-Task MVP boundary, document measurable criteria.</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Approved Problem Statement, Stakeholder Matrix, MVP Scope Document.</w:t>
                  </w:r>
                </w:p>
              </w:tc>
            </w:tr>
            <w:tr>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Task 2</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Agile Planning &amp; DevOps Workflow</w:t>
                  </w:r>
                </w:p>
              </w:tc>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Create user stories, acceptance criteria, Product Backlog, 15-Task Kanban board, DoD, and DevOps lifecycle diagram.</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Agile Product Backlog, Sprint Plan, Kanban Board, DoD, DevOps Diagram.</w:t>
                  </w:r>
                </w:p>
              </w:tc>
            </w:tr>
            <w:tr>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Task 3</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Requirements, Architecture &amp; Setup</w:t>
                  </w:r>
                </w:p>
              </w:tc>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Draft SRS summary, Use-Case diagram, architecture diagram, REST/MVC data model, and local developer environment.</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SRS Document, Architecture Blueprint, Data Model/API spec, Local Setup.</w:t>
                  </w:r>
                </w:p>
              </w:tc>
            </w:tr>
            <w:tr>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Task 4</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Git &amp; GitHub Repo Initialization</w:t>
                  </w:r>
                </w:p>
              </w:tc>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Initialize GitHub repository, add README.md, .gitignore, folder structure, issue templates, branch policy, initial commit.</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GitHub Repository URL, Initial Application Skeleton, Branch Policies.</w:t>
                  </w:r>
                </w:p>
              </w:tc>
            </w:tr>
            <w:tr>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Task 5</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Feature Development with Branching</w:t>
                  </w:r>
                </w:p>
              </w:tc>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Implement Feature 1 (Complaint Submission) on git branch, commit, push, create Pull Request, review, merge.</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Feature Branch, PR with Review Evidence, Merged Code in dev branch.</w:t>
                  </w:r>
                </w:p>
              </w:tc>
            </w:tr>
            <w:tr>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Task 6</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MVP Completion &amp; Collaboration</w:t>
                  </w:r>
                </w:p>
              </w:tc>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Implement remaining MVP workflows, demonstrate merge conflict creation/resolution, tag release v1.0 baseline.</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Functional MVP Codebase, Conflict Resolution Evidence, Tagged Release v1.0.</w:t>
                  </w:r>
                </w:p>
              </w:tc>
            </w:tr>
            <w:tr>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Task 7</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Jenkins CI Job Configuration</w:t>
                  </w:r>
                </w:p>
              </w:tc>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Install Jenkins, connect GitHub webhook/polling, configure Maven build job, compile code, archive artifacts.</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Configured Jenkins CI Job, Successful Console Build Log, Archived WAR/JAR.</w:t>
                  </w:r>
                </w:p>
              </w:tc>
            </w:tr>
            <w:tr>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Task 8</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Pipeline as Code &amp; Server Deploy</w:t>
                  </w:r>
                </w:p>
              </w:tc>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Write declarative Jenkinsfile (Checkout, Build, Package, Deploy), deploy to Tomcat/Nginx with parameterized settings.</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Declarative Jenkinsfile, Automated Pipeline Run, Live Deployed Portal URL.</w:t>
                  </w:r>
                </w:p>
              </w:tc>
            </w:tr>
            <w:tr>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Task 9</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Selenium Test Suite &amp; Local Run</w:t>
                  </w:r>
                </w:p>
              </w:tc>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Design 3-5 end-to-end user journeys (submission, review, tracking), write Selenium test scripts, assertions, failure captures.</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Selenium WebDriver Test Plan, Test Code, Local Execution Report, Screenshots.</w:t>
                  </w:r>
                </w:p>
              </w:tc>
            </w:tr>
            <w:tr>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Task 10</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Continuous Testing in Jenkins</w:t>
                  </w:r>
                </w:p>
              </w:tc>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Integrate Selenium suite into Jenkins pipeline, publish JUnit reports, demonstrate quality gate failure and defect fix.</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Jenkins Test Report, Pipeline Quality Gate Evidence, Fixed Defect Commit.</w:t>
                  </w:r>
                </w:p>
              </w:tc>
            </w:tr>
            <w:tr>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Task 11</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Docker Image &amp; Container Lifecycle</w:t>
                  </w:r>
                </w:p>
              </w:tc>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Create optimized Dockerfile, build/tag image, execute container lifecycle (run, port map, logs, inspect, stop, rm).</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Dockerfile, Versioned Docker Image, Running Container Evidence, Command Logs.</w:t>
                  </w:r>
                </w:p>
              </w:tc>
            </w:tr>
            <w:tr>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Task 12</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Jenkins-Docker Continuous Delivery</w:t>
                  </w:r>
                </w:p>
              </w:tc>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Extend Jenkinsfile to build versioned Docker image, publish to Docker Hub, deploy fresh container automatically on test pass.</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Automated Docker Build Pipeline, Published Docker Hub Image, Live Container.</w:t>
                  </w:r>
                </w:p>
              </w:tc>
            </w:tr>
            <w:tr>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Task 13</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Configuration Management Script</w:t>
                  </w:r>
                </w:p>
              </w:tc>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Identify server prerequisites (packages, users, ports, directories), write Ansible YAML playbook or Puppet manifest.</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Ansible Playbook / Puppet Manifest, Inventory File, Initial Execution Log.</w:t>
                  </w:r>
                </w:p>
              </w:tc>
            </w:tr>
            <w:tr>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Task 14</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Automated Provisioning &amp; Reliability</w:t>
                  </w:r>
                </w:p>
              </w:tc>
              <w:tc>
                <w:tcPr>
                  <w:tcW w:type="dxa" w:w="360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Provision clean target node via Ansible/Puppet, demonstrate idempotency on re-run, execute health check, test rollback.</w:t>
                  </w:r>
                </w:p>
              </w:tc>
              <w:tc>
                <w:tcPr>
                  <w:tcW w:type="dxa" w:w="273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Idempotency Execution Evidence, Service Health Check, Rollback Test Log.</w:t>
                  </w:r>
                </w:p>
              </w:tc>
            </w:tr>
            <w:tr>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Task 15</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End-to-End Release &amp; Viva</w:t>
                  </w:r>
                </w:p>
              </w:tc>
              <w:tc>
                <w:tcPr>
                  <w:tcW w:type="dxa" w:w="360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Execute complete commit-to-production workflow, compile full documentation, troubleshooting guide, viva presentation.</w:t>
                  </w:r>
                </w:p>
              </w:tc>
              <w:tc>
                <w:tcPr>
                  <w:tcW w:type="dxa" w:w="273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Final Production Release, Comprehensive Report, Video/Screenshots, Viva.</w:t>
                  </w:r>
                </w:p>
              </w:tc>
            </w:tr>
          </w:tbl>
          <w:p/>
        </w:tc>
      </w:tr>
      <w:tr w:rsidR="001C48C7" w14:paraId="5D174241"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4B77E4CB"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t>Conclusion:</w:t>
            </w:r>
          </w:p>
        </w:tc>
        <w:tc>
          <w:tcPr>
            <w:tcW w:w="8222" w:type="dxa"/>
            <w:tcBorders>
              <w:top w:val="single" w:sz="6" w:space="0" w:color="000000"/>
              <w:left w:val="single" w:sz="6" w:space="0" w:color="000000"/>
              <w:bottom w:val="single" w:sz="6" w:space="0" w:color="000000"/>
              <w:right w:val="single" w:sz="6" w:space="0" w:color="000000"/>
            </w:tcBorders>
          </w:tcPr>
          <w:p w14:paraId="77824ED5" w14:textId="77777777" w:rsidR="004954B3" w:rsidRDefault="004954B3" w:rsidP="009603DB">
            <w:pPr>
              <w:shd w:val="clear" w:color="auto" w:fill="FFFFFF"/>
              <w:spacing w:after="60" w:line="276" w:lineRule="auto" w:before="60"/>
              <w:jc w:val="both"/>
              <w:rPr>
                <w:rFonts w:asciiTheme="majorHAnsi" w:hAnsiTheme="majorHAnsi"/>
                <w:color w:val="000000"/>
                <w:sz w:val="24"/>
                <w:szCs w:val="24"/>
                <w:lang w:val="en-IN"/>
              </w:rPr>
            </w:pPr>
            <w:r/>
            <w:r>
              <w:rPr>
                <w:rFonts w:ascii="Calibri" w:hAnsi="Calibri"/>
                <w:color w:val="333333"/>
                <w:sz w:val="22"/>
              </w:rPr>
              <w:t>Task 1 successfully establishes the operational baseline and foundational engineering scope for the Municipal Complaint Portal. Through comprehensive real-time need analysis, civic pain points—including lack of tracking transparency, manual triage bottlenecks, and fragile deployment practices—have been formally articulated into a rigorous Problem Statement. Key user personas (Citizens, Intake Clerks, Reviewers, Field Crews, Administrators, and DevOps Engineers) and governance stakeholders have been systematically identified with clear RACI mappings. Measurable success criteria and quantitative KPIs (such as reducing complaint intake to under 2 minutes, achieving zero-downtime automated deployments, and guaranteeing 100% configuration idempotency) have been defined to benchmark subsequent phases. Crucially, the functional and operational boundary has been frozen into an approved 15-Task MVP scope, providing an unambiguous roadmap from Agile planning and Git branching through Jenkins CI/CD, Selenium automated testing, Docker containerization, and Ansible configuration management.</w:t>
            </w:r>
          </w:p>
        </w:tc>
      </w:tr>
    </w:tbl>
    <w:p w14:paraId="6055A1A3" w14:textId="77777777" w:rsidR="009B1007" w:rsidRDefault="009B1007">
      <w:pPr>
        <w:spacing w:after="0" w:line="240" w:lineRule="auto"/>
      </w:pPr>
    </w:p>
    <w:sectPr w:rsidR="009B1007">
      <w:headerReference w:type="default" r:id="rId1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4636D" w14:textId="77777777" w:rsidR="0041276F" w:rsidRDefault="0041276F">
      <w:pPr>
        <w:spacing w:after="0" w:line="240" w:lineRule="auto"/>
      </w:pPr>
      <w:r>
        <w:separator/>
      </w:r>
    </w:p>
  </w:endnote>
  <w:endnote w:type="continuationSeparator" w:id="0">
    <w:p w14:paraId="1CBFE1A3" w14:textId="77777777" w:rsidR="0041276F" w:rsidRDefault="00412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7935A" w14:textId="77777777" w:rsidR="0041276F" w:rsidRDefault="0041276F">
      <w:pPr>
        <w:spacing w:after="0" w:line="240" w:lineRule="auto"/>
      </w:pPr>
      <w:r>
        <w:separator/>
      </w:r>
    </w:p>
  </w:footnote>
  <w:footnote w:type="continuationSeparator" w:id="0">
    <w:p w14:paraId="7E9A48DA" w14:textId="77777777" w:rsidR="0041276F" w:rsidRDefault="00412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028BD"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2227D1B9"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042BA"/>
    <w:rsid w:val="000530E9"/>
    <w:rsid w:val="00096961"/>
    <w:rsid w:val="000B6D96"/>
    <w:rsid w:val="000C041D"/>
    <w:rsid w:val="000C099A"/>
    <w:rsid w:val="00117E45"/>
    <w:rsid w:val="001553D5"/>
    <w:rsid w:val="001C48C7"/>
    <w:rsid w:val="001D7303"/>
    <w:rsid w:val="001F5E9C"/>
    <w:rsid w:val="00223320"/>
    <w:rsid w:val="00244841"/>
    <w:rsid w:val="00262B2C"/>
    <w:rsid w:val="00292335"/>
    <w:rsid w:val="002A071E"/>
    <w:rsid w:val="002D4308"/>
    <w:rsid w:val="00302CE1"/>
    <w:rsid w:val="0032070A"/>
    <w:rsid w:val="00351455"/>
    <w:rsid w:val="00353E29"/>
    <w:rsid w:val="0035617E"/>
    <w:rsid w:val="003D53E0"/>
    <w:rsid w:val="0041276F"/>
    <w:rsid w:val="0045787B"/>
    <w:rsid w:val="004617E7"/>
    <w:rsid w:val="00477D43"/>
    <w:rsid w:val="004954B3"/>
    <w:rsid w:val="004D5CE0"/>
    <w:rsid w:val="004F3E86"/>
    <w:rsid w:val="0050241B"/>
    <w:rsid w:val="005C46D4"/>
    <w:rsid w:val="005D4250"/>
    <w:rsid w:val="005D6BE3"/>
    <w:rsid w:val="005E1276"/>
    <w:rsid w:val="00621979"/>
    <w:rsid w:val="00651B03"/>
    <w:rsid w:val="00654D14"/>
    <w:rsid w:val="00657971"/>
    <w:rsid w:val="0066555A"/>
    <w:rsid w:val="006A3C41"/>
    <w:rsid w:val="006B39A6"/>
    <w:rsid w:val="006C7070"/>
    <w:rsid w:val="007000CD"/>
    <w:rsid w:val="00707A3F"/>
    <w:rsid w:val="0075203E"/>
    <w:rsid w:val="00787574"/>
    <w:rsid w:val="007D58C9"/>
    <w:rsid w:val="00844EAF"/>
    <w:rsid w:val="0084628A"/>
    <w:rsid w:val="008670A6"/>
    <w:rsid w:val="008817F2"/>
    <w:rsid w:val="008B2F96"/>
    <w:rsid w:val="008F5BB7"/>
    <w:rsid w:val="008F6FCB"/>
    <w:rsid w:val="009531C6"/>
    <w:rsid w:val="009603DB"/>
    <w:rsid w:val="009B1007"/>
    <w:rsid w:val="009F238A"/>
    <w:rsid w:val="00A46C31"/>
    <w:rsid w:val="00AC48CB"/>
    <w:rsid w:val="00B2213C"/>
    <w:rsid w:val="00B4716E"/>
    <w:rsid w:val="00BC5BED"/>
    <w:rsid w:val="00C20263"/>
    <w:rsid w:val="00C61394"/>
    <w:rsid w:val="00C85BD0"/>
    <w:rsid w:val="00CA2E1E"/>
    <w:rsid w:val="00D206FA"/>
    <w:rsid w:val="00D24392"/>
    <w:rsid w:val="00D35A93"/>
    <w:rsid w:val="00D665C7"/>
    <w:rsid w:val="00D83828"/>
    <w:rsid w:val="00DE043E"/>
    <w:rsid w:val="00DF0515"/>
    <w:rsid w:val="00DF0C80"/>
    <w:rsid w:val="00E008CA"/>
    <w:rsid w:val="00E2794D"/>
    <w:rsid w:val="00E329AF"/>
    <w:rsid w:val="00E47E4A"/>
    <w:rsid w:val="00EB242D"/>
    <w:rsid w:val="00F11C80"/>
    <w:rsid w:val="00F21266"/>
    <w:rsid w:val="00F44247"/>
    <w:rsid w:val="00F47C39"/>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EA7E4"/>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011766">
      <w:bodyDiv w:val="1"/>
      <w:marLeft w:val="0"/>
      <w:marRight w:val="0"/>
      <w:marTop w:val="0"/>
      <w:marBottom w:val="0"/>
      <w:divBdr>
        <w:top w:val="none" w:sz="0" w:space="0" w:color="auto"/>
        <w:left w:val="none" w:sz="0" w:space="0" w:color="auto"/>
        <w:bottom w:val="none" w:sz="0" w:space="0" w:color="auto"/>
        <w:right w:val="none" w:sz="0" w:space="0" w:color="auto"/>
      </w:divBdr>
    </w:div>
    <w:div w:id="1461068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86</Words>
  <Characters>495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Siddhi Gawade</cp:lastModifiedBy>
  <cp:revision>11</cp:revision>
  <cp:lastPrinted>2026-09-22T09:44:00Z</cp:lastPrinted>
  <dcterms:created xsi:type="dcterms:W3CDTF">2026-09-29T09:18:00Z</dcterms:created>
  <dcterms:modified xsi:type="dcterms:W3CDTF">2026-10-13T09:09:00Z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