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68A04A" w14:textId="77777777" w:rsidR="009B1007" w:rsidRDefault="00C85BD0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  <w:r>
        <w:rPr>
          <w:noProof/>
        </w:rPr>
        <mc:AlternateContent>
          <mc:Choice Requires="wps">
            <w:drawing>
              <wp:inline distT="0" distB="0" distL="0" distR="0" wp14:anchorId="15756B67" wp14:editId="54A61599">
                <wp:extent cx="6192520" cy="19685"/>
                <wp:effectExtent l="0" t="0" r="0" b="0"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200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inline>
            </w:drawing>
          </mc:Choice>
          <mc:Fallback xmlns:oel="http://schemas.microsoft.com/office/2019/extlst" xmlns:w16du="http://schemas.microsoft.com/office/word/2023/wordml/word16du" xmlns:w16sdtfl="http://schemas.microsoft.com/office/word/2024/wordml/sdtformatlock" xmlns:w16cei="http://schemas.microsoft.com/office/word/2026/wordml/cei">
            <w:pict>
              <v:rect w14:anchorId="1DE9EC1D" id="Rectangle 1" o:spid="_x0000_s1026" style="width:487.6pt;height:1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" fillcolor="#a0a0a0" stroked="f">
                <w10:anchorlock/>
              </v:rect>
            </w:pict>
          </mc:Fallback>
        </mc:AlternateContent>
      </w:r>
    </w:p>
    <w:p w14:paraId="3ADA0389" w14:textId="77777777" w:rsidR="009B1007" w:rsidRDefault="009B1007">
      <w:pPr>
        <w:tabs>
          <w:tab w:val="center" w:pos="4513"/>
          <w:tab w:val="right" w:pos="9026"/>
        </w:tabs>
        <w:spacing w:after="0" w:line="240" w:lineRule="auto"/>
        <w:rPr>
          <w:rFonts w:asciiTheme="majorHAnsi" w:hAnsiTheme="majorHAnsi"/>
          <w:color w:val="000000"/>
          <w:sz w:val="24"/>
          <w:szCs w:val="24"/>
        </w:rPr>
      </w:pPr>
    </w:p>
    <w:tbl>
      <w:tblPr>
        <w:tblW w:w="9875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3053"/>
        <w:gridCol w:w="6822"/>
      </w:tblGrid>
      <w:tr w:rsidR="009B1007" w14:paraId="0983F388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C671A4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Semester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002765F" w14:textId="77777777" w:rsidR="009B1007" w:rsidRDefault="0075203E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B</w:t>
            </w:r>
            <w:r w:rsidR="00C85BD0">
              <w:rPr>
                <w:rFonts w:asciiTheme="majorHAnsi" w:hAnsiTheme="majorHAnsi"/>
                <w:sz w:val="24"/>
                <w:szCs w:val="24"/>
              </w:rPr>
              <w:t>.E. Semester VI</w:t>
            </w:r>
            <w:r>
              <w:rPr>
                <w:rFonts w:asciiTheme="majorHAnsi" w:hAnsiTheme="majorHAnsi"/>
                <w:sz w:val="24"/>
                <w:szCs w:val="24"/>
              </w:rPr>
              <w:t>I</w:t>
            </w:r>
            <w:r w:rsidR="00C85BD0">
              <w:rPr>
                <w:rFonts w:asciiTheme="majorHAnsi" w:hAnsiTheme="majorHAnsi"/>
                <w:sz w:val="24"/>
                <w:szCs w:val="24"/>
              </w:rPr>
              <w:t xml:space="preserve"> – Computer Engineering</w:t>
            </w:r>
          </w:p>
        </w:tc>
      </w:tr>
      <w:tr w:rsidR="009B1007" w14:paraId="168DDF21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2253CB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F54CBE" w14:textId="77777777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DevOps Lab</w:t>
            </w:r>
          </w:p>
        </w:tc>
      </w:tr>
      <w:tr w:rsidR="009B1007" w14:paraId="311CC356" w14:textId="77777777" w:rsidTr="00E329AF">
        <w:trPr>
          <w:trHeight w:val="355"/>
        </w:trPr>
        <w:tc>
          <w:tcPr>
            <w:tcW w:w="30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BB5C11D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Subject In-charge</w:t>
            </w:r>
          </w:p>
        </w:tc>
        <w:tc>
          <w:tcPr>
            <w:tcW w:w="68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6BE645A" w14:textId="77777777" w:rsidR="009B1007" w:rsidRDefault="001F5E9C">
            <w:pPr>
              <w:tabs>
                <w:tab w:val="left" w:pos="2430"/>
              </w:tabs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Dr.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Snehal</w:t>
            </w:r>
            <w:proofErr w:type="spellEnd"/>
            <w:r>
              <w:rPr>
                <w:rFonts w:asciiTheme="majorHAnsi" w:hAnsiTheme="majorHAnsi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Theme="majorHAnsi" w:hAnsiTheme="majorHAnsi"/>
                <w:sz w:val="24"/>
                <w:szCs w:val="24"/>
              </w:rPr>
              <w:t>Andhare</w:t>
            </w:r>
            <w:proofErr w:type="spellEnd"/>
          </w:p>
        </w:tc>
      </w:tr>
    </w:tbl>
    <w:p w14:paraId="377E90A3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22" w:type="dxa"/>
        <w:tblInd w:w="105" w:type="dxa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3068"/>
        <w:gridCol w:w="6854"/>
      </w:tblGrid>
      <w:tr w:rsidR="009B1007" w14:paraId="40EF1EAF" w14:textId="77777777" w:rsidTr="00E329AF">
        <w:trPr>
          <w:trHeight w:val="337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7F8141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Student Name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8E4B64" w14:textId="6684DDC7" w:rsidR="009B1007" w:rsidRDefault="008F5BB7">
            <w:pPr>
              <w:spacing w:after="0" w:line="240" w:lineRule="auto"/>
              <w:rPr>
                <w:rFonts w:asciiTheme="majorHAnsi" w:hAnsiTheme="majorHAnsi"/>
                <w:color w:val="000000"/>
                <w:sz w:val="24"/>
                <w:szCs w:val="24"/>
              </w:rPr>
            </w:pPr>
            <w:r>
              <w:rPr>
                <w:rFonts w:asciiTheme="majorHAnsi" w:hAnsiTheme="majorHAnsi"/>
                <w:color w:val="000000"/>
                <w:sz w:val="24"/>
                <w:szCs w:val="24"/>
              </w:rPr>
              <w:t>S</w:t>
            </w:r>
            <w:r w:rsidR="00223320">
              <w:rPr>
                <w:rFonts w:asciiTheme="majorHAnsi" w:hAnsiTheme="majorHAnsi"/>
                <w:color w:val="000000"/>
                <w:sz w:val="24"/>
                <w:szCs w:val="24"/>
              </w:rPr>
              <w:t>iddhi Gawade</w:t>
            </w:r>
          </w:p>
        </w:tc>
      </w:tr>
      <w:tr w:rsidR="009B1007" w14:paraId="593BDAF9" w14:textId="77777777" w:rsidTr="00E329AF">
        <w:trPr>
          <w:trHeight w:val="316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078F405" w14:textId="77777777" w:rsidR="009B1007" w:rsidRDefault="00C85BD0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Roll Number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36327E" w14:textId="493494B2" w:rsidR="009B1007" w:rsidRDefault="001F5E9C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2</w:t>
            </w:r>
            <w:r w:rsidR="008F6FCB">
              <w:rPr>
                <w:rFonts w:asciiTheme="majorHAnsi" w:hAnsiTheme="majorHAnsi"/>
                <w:sz w:val="24"/>
                <w:szCs w:val="24"/>
              </w:rPr>
              <w:t>4102A2001</w:t>
            </w:r>
          </w:p>
        </w:tc>
      </w:tr>
      <w:tr w:rsidR="009F238A" w14:paraId="2085787A" w14:textId="77777777" w:rsidTr="00E329AF">
        <w:trPr>
          <w:trHeight w:val="695"/>
        </w:trPr>
        <w:tc>
          <w:tcPr>
            <w:tcW w:w="3068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C5C12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Grade and Subject </w:t>
            </w:r>
          </w:p>
          <w:p w14:paraId="547501AB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Teacher’s Signature</w:t>
            </w:r>
          </w:p>
        </w:tc>
        <w:tc>
          <w:tcPr>
            <w:tcW w:w="685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CDE2E0" w14:textId="77777777" w:rsidR="009F238A" w:rsidRDefault="009F238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</w:p>
        </w:tc>
      </w:tr>
    </w:tbl>
    <w:p w14:paraId="3B6BB6A3" w14:textId="77777777" w:rsidR="009B1007" w:rsidRDefault="009B1007">
      <w:pPr>
        <w:spacing w:after="0" w:line="240" w:lineRule="auto"/>
        <w:rPr>
          <w:rFonts w:asciiTheme="majorHAnsi" w:hAnsiTheme="majorHAnsi"/>
          <w:sz w:val="24"/>
          <w:szCs w:val="24"/>
        </w:rPr>
      </w:pPr>
    </w:p>
    <w:tbl>
      <w:tblPr>
        <w:tblW w:w="9952" w:type="dxa"/>
        <w:tblInd w:w="105" w:type="dxa"/>
        <w:tblLayout w:type="fixed"/>
        <w:tblCellMar>
          <w:left w:w="105" w:type="dxa"/>
          <w:right w:w="105" w:type="dxa"/>
        </w:tblCellMar>
        <w:tblLook w:val="0400" w:firstRow="0" w:lastRow="0" w:firstColumn="0" w:lastColumn="0" w:noHBand="0" w:noVBand="1"/>
      </w:tblPr>
      <w:tblGrid>
        <w:gridCol w:w="1730"/>
        <w:gridCol w:w="8222"/>
      </w:tblGrid>
      <w:tr w:rsidR="009B1007" w14:paraId="69802CDE" w14:textId="77777777" w:rsidTr="00302CE1">
        <w:trPr>
          <w:trHeight w:val="54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A6EA5" w14:textId="26BE0D44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Number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13</w:t>
            </w:r>
          </w:p>
        </w:tc>
      </w:tr>
      <w:tr w:rsidR="009B1007" w14:paraId="395DA8E2" w14:textId="77777777" w:rsidTr="00302CE1">
        <w:trPr>
          <w:trHeight w:val="260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463EE6" w14:textId="640FA3B2" w:rsidR="009B1007" w:rsidRDefault="000042BA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Task </w:t>
            </w:r>
            <w:r w:rsidR="00C85BD0">
              <w:rPr>
                <w:rFonts w:asciiTheme="majorHAnsi" w:hAnsiTheme="majorHAnsi"/>
                <w:sz w:val="24"/>
                <w:szCs w:val="24"/>
              </w:rPr>
              <w:t>Title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r>
              <w:t>TASK 13: Configuration Management Script: Identify the Municipal Complaint Portal server prerequisites and configure the target node with Ansible.</w:t>
              <w:br/>
              <w:t>Deliverable: Configuration specification, playbook, inventory and first execution log.</w:t>
            </w:r>
          </w:p>
        </w:tc>
      </w:tr>
      <w:tr w:rsidR="009B1007" w14:paraId="1E6CB567" w14:textId="77777777" w:rsidTr="00302CE1">
        <w:trPr>
          <w:trHeight w:val="3215"/>
        </w:trPr>
        <w:tc>
          <w:tcPr>
            <w:tcW w:w="9952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jc w:val="center"/>
            </w:pPr>
            <w:r>
              <w:rPr>
                <w:rFonts w:ascii="Calibri" w:hAnsi="Calibri"/>
                <w:b/>
                <w:color w:val="1F497D"/>
                <w:sz w:val="28"/>
              </w:rPr>
              <w:t>TASK 13 REPORT: ANSIBLE CONFIGURATION MANAGEMENT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1. Objective and Scope</w:t>
            </w:r>
          </w:p>
          <w:p>
            <w:pPr>
              <w:spacing w:after="80" w:line="259" w:lineRule="auto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Objective: </w:t>
            </w:r>
            <w:r>
              <w:rPr>
                <w:rFonts w:ascii="Calibri" w:hAnsi="Calibri"/>
                <w:color w:val="333333"/>
                <w:sz w:val="20"/>
              </w:rPr>
              <w:t>The objective is to define and automate the Linux host prerequisites for the Municipal Complaint Portal using Ansible. The playbook prepares packages, a restricted deployment identity, filesystem paths, runtime configuration, the Nginx reverse proxy, and the Docker/Nginx services.</w:t>
            </w:r>
          </w:p>
          <w:p>
            <w:pPr>
              <w:spacing w:after="80" w:line="259" w:lineRule="auto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Scope boundary: </w:t>
            </w:r>
            <w:r>
              <w:rPr>
                <w:rFonts w:ascii="Calibri" w:hAnsi="Calibri"/>
                <w:color w:val="333333"/>
                <w:sz w:val="20"/>
              </w:rPr>
              <w:t>This is a prerequisite configuration baseline for the existing Jenkins-built Docker image. It does not deploy an image or replace an application container; those rollout and recovery actions belong to Task 14.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2. Application and Host Design</w:t>
            </w:r>
          </w:p>
          <w:p>
            <w:pPr>
              <w:spacing w:after="80" w:line="259" w:lineRule="auto"/>
            </w:pPr>
            <w:r>
              <w:rPr>
                <w:rFonts w:ascii="Calibri" w:hAnsi="Calibri"/>
                <w:color w:val="333333"/>
                <w:sz w:val="20"/>
              </w:rPr>
              <w:t>The portal is a Java 17 executable JAR. The repository Dockerfile builds it into an Eclipse Temurin 17 JRE image and runs it as UID/GID 10001. Nginx is the host-facing reverse proxy; the Jenkins deployment maps container TCP 8085 to host loopback 127.0.0.1:8085 and defaults the proxy ingress to TCP 8090.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Host packages: docker.io, nginx, ca-certificates, curl, python3, python3-apt. A host JDK, Maven, and Tomcat are unnecessary.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The current ComplaintService uses an in-memory ConcurrentHashMap. There is no database service, and complaint state is not durable across container restarts.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Target OS: Debian-family Linux (Ubuntu or Debian) using APT. The Ansible controller and the remote SSH/sudo account must be provisioned separately.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3. Configuration Specification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color="B0B7BD"/>
                <w:left w:val="single" w:sz="4" w:color="B0B7BD"/>
                <w:bottom w:val="single" w:sz="4" w:color="B0B7BD"/>
                <w:right w:val="single" w:sz="4" w:color="B0B7BD"/>
                <w:insideH w:val="single" w:sz="4" w:color="B0B7BD"/>
                <w:insideV w:val="single" w:sz="4" w:color="B0B7BD"/>
              </w:tblBorders>
            </w:tblPr>
            <w:tblGrid>
              <w:gridCol w:w="4976"/>
              <w:gridCol w:w="4976"/>
            </w:tblGrid>
            <w:tr>
              <w:tc>
                <w:tcPr>
                  <w:tcW w:type="dxa" w:w="1800"/>
                  <w:shd w:fill="1F497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Category</w:t>
                  </w:r>
                </w:p>
              </w:tc>
              <w:tc>
                <w:tcPr>
                  <w:tcW w:type="dxa" w:w="8568"/>
                  <w:shd w:fill="1F497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Managed configuration</w:t>
                  </w:r>
                </w:p>
              </w:tc>
            </w:tr>
            <w:tr>
              <w:tc>
                <w:tcPr>
                  <w:tcW w:type="dxa" w:w="1800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Packages</w:t>
                  </w:r>
                </w:p>
              </w:tc>
              <w:tc>
                <w:tcPr>
                  <w:tcW w:type="dxa" w:w="8568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docker.io; nginx; ca-certificates; curl; python3; python3-apt</w:t>
                  </w:r>
                </w:p>
              </w:tc>
            </w:tr>
            <w:tr>
              <w:tc>
                <w:tcPr>
                  <w:tcW w:type="dxa" w:w="1800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Account</w:t>
                  </w:r>
                </w:p>
              </w:tc>
              <w:tc>
                <w:tcPr>
                  <w:tcW w:type="dxa" w:w="8568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System group municipal-portal and locked portal-deploy user with /usr/sbin/nologin; no Docker-group membership</w:t>
                  </w:r>
                </w:p>
              </w:tc>
            </w:tr>
            <w:tr>
              <w:tc>
                <w:tcPr>
                  <w:tcW w:type="dxa" w:w="1800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Directories</w:t>
                  </w:r>
                </w:p>
              </w:tc>
              <w:tc>
                <w:tcPr>
                  <w:tcW w:type="dxa" w:w="8568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/opt/municipal-portal/releases; /var/lib/municipal-portal; /var/log/municipal-portal; /etc/municipal-portal</w:t>
                  </w:r>
                </w:p>
              </w:tc>
            </w:tr>
            <w:tr>
              <w:tc>
                <w:tcPr>
                  <w:tcW w:type="dxa" w:w="1800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Files</w:t>
                  </w:r>
                </w:p>
              </w:tc>
              <w:tc>
                <w:tcPr>
                  <w:tcW w:type="dxa" w:w="8568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/etc/municipal-portal/portal.env (0640); /etc/nginx/conf.d/municipal-complaint-portal.conf (0644)</w:t>
                  </w:r>
                </w:p>
              </w:tc>
            </w:tr>
            <w:tr>
              <w:tc>
                <w:tcPr>
                  <w:tcW w:type="dxa" w:w="1800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Services</w:t>
                  </w:r>
                </w:p>
              </w:tc>
              <w:tc>
                <w:tcPr>
                  <w:tcW w:type="dxa" w:w="8568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docker.service and nginx.service enabled and started; Nginx reloads after config validation</w:t>
                  </w:r>
                </w:p>
              </w:tc>
            </w:tr>
            <w:tr>
              <w:tc>
                <w:tcPr>
                  <w:tcW w:type="dxa" w:w="1800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Ports</w:t>
                  </w:r>
                </w:p>
              </w:tc>
              <w:tc>
                <w:tcPr>
                  <w:tcW w:type="dxa" w:w="8568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22/SSH from management network; 8090/Nginx ingress; 8085/backend on loopback only; outbound HTTPS/DNS for packages/images</w:t>
                  </w:r>
                </w:p>
              </w:tc>
            </w:tr>
          </w:tbl>
          <w:p/>
          <w:p>
            <w:pPr>
              <w:spacing w:after="80" w:line="259" w:lineRule="auto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Privilege model: </w:t>
            </w:r>
            <w:r>
              <w:rPr>
                <w:rFonts w:ascii="Calibri" w:hAnsi="Calibri"/>
                <w:color w:val="333333"/>
                <w:sz w:val="20"/>
              </w:rPr>
              <w:t>Directory ownership is assigned to the non-interactive portal-deploy account and municipal-portal group. The separate Ansible SSH account must already exist and have sudo/become permission. Firewall rules are documented but not altered automatically. The target must also have /usr/bin/python3 and python3-apt available before Ansible gathers facts and runs APT modules; minimal images need a one-time bootstrap.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4. Ansible Implementation</w:t>
            </w:r>
          </w:p>
          <w:p>
            <w:pPr>
              <w:spacing w:after="80" w:line="259" w:lineRule="auto"/>
            </w:pPr>
            <w:r>
              <w:rPr>
                <w:rFonts w:ascii="Calibri" w:hAnsi="Calibri"/>
                <w:color w:val="333333"/>
                <w:sz w:val="20"/>
              </w:rPr>
              <w:t>The inventory uses a reserved documentation IP (192.0.2.10) as an explicit placeholder. Replace it and the SSH account with real target values before running. site.yml checks for a Debian-family host, installs prerequisites, creates the system account and directories, renders the runtime and proxy files, validates Nginx, then enables and starts Docker and Nginx.</w:t>
            </w:r>
          </w:p>
          <w:p>
            <w:pPr>
              <w:spacing w:before="40" w:after="100" w:line="240" w:lineRule="auto"/>
              <w:ind w:left="144"/>
            </w:pPr>
            <w:r>
              <w:rPr>
                <w:rFonts w:ascii="Consolas" w:hAnsi="Consolas"/>
                <w:color w:val="1E293B"/>
                <w:sz w:val="14"/>
              </w:rPr>
              <w:t>ansible-playbook -i ansible/inventory.ini ansible/site.yml --syntax-check</w:t>
              <w:br/>
              <w:t>ansible-playbook -i ansible/inventory.ini ansible/site.yml --check --diff</w:t>
              <w:br/>
              <w:t>ansible-playbook -i ansible/inventory.ini ansible/site.yml --diff</w:t>
            </w:r>
          </w:p>
          <w:p>
            <w:pPr>
              <w:spacing w:after="80" w:line="259" w:lineRule="auto"/>
            </w:pPr>
            <w:r>
              <w:rPr>
                <w:rFonts w:ascii="Calibri" w:hAnsi="Calibri"/>
                <w:color w:val="333333"/>
                <w:sz w:val="20"/>
              </w:rPr>
              <w:t>Managed sources: ansible/inventory.ini, ansible/site.yml, ansible/templates/municipal-complaint-portal.conf.j2 and ansible/templates/portal.env.j2. The complete specification and network assumptions are recorded in ansible/CONFIGURATION_SPEC.md.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5. First Execution Log and Validation</w:t>
            </w:r>
          </w:p>
          <w:tbl>
            <w:tblPr>
              <w:tblW w:type="auto" w:w="0"/>
              <w:jc w:val="center"/>
              <w:tblLook w:firstColumn="1" w:firstRow="1" w:lastColumn="0" w:lastRow="0" w:noHBand="0" w:noVBand="1" w:val="04A0"/>
              <w:tblBorders>
                <w:top w:val="single" w:sz="4" w:color="B0B7BD"/>
                <w:left w:val="single" w:sz="4" w:color="B0B7BD"/>
                <w:bottom w:val="single" w:sz="4" w:color="B0B7BD"/>
                <w:right w:val="single" w:sz="4" w:color="B0B7BD"/>
                <w:insideH w:val="single" w:sz="4" w:color="B0B7BD"/>
                <w:insideV w:val="single" w:sz="4" w:color="B0B7BD"/>
              </w:tblBorders>
            </w:tblPr>
            <w:tblGrid>
              <w:gridCol w:w="4976"/>
              <w:gridCol w:w="4976"/>
            </w:tblGrid>
            <w:tr>
              <w:tc>
                <w:tcPr>
                  <w:tcW w:type="dxa" w:w="2376"/>
                  <w:shd w:fill="1F497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Check</w:t>
                  </w:r>
                </w:p>
              </w:tc>
              <w:tc>
                <w:tcPr>
                  <w:tcW w:type="dxa" w:w="7992"/>
                  <w:shd w:fill="1F497D"/>
                </w:tcPr>
                <w:p>
                  <w:r>
                    <w:rPr>
                      <w:rFonts w:ascii="Calibri" w:hAnsi="Calibri"/>
                      <w:b/>
                      <w:color w:val="FFFFFF"/>
                      <w:sz w:val="17"/>
                    </w:rPr>
                    <w:t>First-run result</w:t>
                  </w:r>
                </w:p>
              </w:tc>
            </w:tr>
            <w:tr>
              <w:tc>
                <w:tcPr>
                  <w:tcW w:type="dxa" w:w="2376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Ansible playbook syntax check</w:t>
                  </w:r>
                </w:p>
              </w:tc>
              <w:tc>
                <w:tcPr>
                  <w:tcW w:type="dxa" w:w="7992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Blocked: ansible-playbook is not installed in this Windows control environment (exit 127); no remote tasks ran.</w:t>
                  </w:r>
                </w:p>
              </w:tc>
            </w:tr>
            <w:tr>
              <w:tc>
                <w:tcPr>
                  <w:tcW w:type="dxa" w:w="2376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Local YAML parse</w:t>
                  </w:r>
                </w:p>
              </w:tc>
              <w:tc>
                <w:tcPr>
                  <w:tcW w:type="dxa" w:w="7992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Passed with the installed PyYAML parser; one play and the declared task structure were loaded.</w:t>
                  </w:r>
                </w:p>
              </w:tc>
            </w:tr>
            <w:tr>
              <w:tc>
                <w:tcPr>
                  <w:tcW w:type="dxa" w:w="2376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Remote provisioning</w:t>
                  </w:r>
                </w:p>
              </w:tc>
              <w:tc>
                <w:tcPr>
                  <w:tcW w:type="dxa" w:w="7992"/>
                  <w:shd w:fill="FFFFFF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Not run: inventory address is a TEST-NET placeholder and no Linux target/SSH credentials were supplied.</w:t>
                  </w:r>
                </w:p>
              </w:tc>
            </w:tr>
            <w:tr>
              <w:tc>
                <w:tcPr>
                  <w:tcW w:type="dxa" w:w="2376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Changes to a server</w:t>
                  </w:r>
                </w:p>
              </w:tc>
              <w:tc>
                <w:tcPr>
                  <w:tcW w:type="dxa" w:w="7992"/>
                  <w:shd w:fill="F7F9FB"/>
                </w:tcPr>
                <w:p>
                  <w:r>
                    <w:rPr>
                      <w:rFonts w:ascii="Calibri" w:hAnsi="Calibri"/>
                      <w:color w:val="333333"/>
                      <w:sz w:val="15"/>
                    </w:rPr>
                    <w:t>None. First controller-side attempt and its limitations are captured in ansible/first_execution.log.</w:t>
                  </w:r>
                </w:p>
              </w:tc>
            </w:tr>
          </w:tbl>
          <w:p/>
          <w:p>
            <w:pPr>
              <w:spacing w:after="80" w:line="259" w:lineRule="auto"/>
            </w:pPr>
            <w:r>
              <w:rPr>
                <w:rFonts w:ascii="Calibri" w:hAnsi="Calibri"/>
                <w:b/>
                <w:color w:val="333333"/>
                <w:sz w:val="20"/>
              </w:rPr>
              <w:t xml:space="preserve">Execution note: </w:t>
            </w:r>
            <w:r>
              <w:rPr>
                <w:rFonts w:ascii="Calibri" w:hAnsi="Calibri"/>
                <w:color w:val="333333"/>
                <w:sz w:val="20"/>
              </w:rPr>
              <w:t>This log is transparent about the environment limitation: it is not evidence of a successful remote Ansible apply. On an Ansible-capable Linux/WSL controller, run syntax-check and --check/--diff first, then apply to a real host and retain the resulting PLAY RECAP for the successful first configuration execution.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6. Security and Operational Notes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Only the Nginx public port should be allowed from approved clients; 8085 remains loopback-only. Restrict SSH to the automation/administrator network.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The playbook does not store Docker Hub credentials, manipulate firewall rules, remove the distribution's default Nginx site, or configure TLS.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The portal-deploy account is not placed in the Docker group because Docker socket access is effectively root-level access.</w:t>
            </w:r>
          </w:p>
          <w:p>
            <w:pPr>
              <w:spacing w:after="60"/>
              <w:ind w:left="259" w:hanging="216"/>
            </w:pPr>
            <w:r>
              <w:rPr>
                <w:rFonts w:ascii="Calibri" w:hAnsi="Calibri"/>
                <w:color w:val="333333"/>
                <w:sz w:val="19"/>
              </w:rPr>
              <w:t>- Review the MVP's in-memory data model before production use; persistence, backups, TLS certificates, monitoring, and resource sizing need separate design and validation.</w:t>
            </w:r>
          </w:p>
          <w:p>
            <w:pPr>
              <w:keepNext/>
              <w:spacing w:before="180" w:after="80"/>
            </w:pPr>
            <w:r>
              <w:rPr>
                <w:rFonts w:ascii="Calibri" w:hAnsi="Calibri"/>
                <w:b/>
                <w:color w:val="1F497D"/>
                <w:sz w:val="24"/>
              </w:rPr>
              <w:t>Conclusion</w:t>
            </w:r>
          </w:p>
          <w:p>
            <w:pPr>
              <w:spacing w:after="80" w:line="259" w:lineRule="auto"/>
            </w:pPr>
            <w:r>
              <w:rPr>
                <w:rFonts w:ascii="Calibri" w:hAnsi="Calibri"/>
                <w:color w:val="333333"/>
                <w:sz w:val="20"/>
              </w:rPr>
              <w:t>The Task 13 configuration specification, Ansible inventory, playbook, templates, and first controller-side execution log are prepared. Local YAML validation passed, but a true Ansible syntax check and remote provisioning run remain pending an Ansible-capable controller and a reachable Linux target. No remote host changes are claimed.</w:t>
            </w:r>
          </w:p>
        </w:tc>
      </w:tr>
      <w:tr w:rsidR="001C48C7" w14:paraId="5D174241" w14:textId="77777777" w:rsidTr="00302CE1">
        <w:trPr>
          <w:trHeight w:val="1291"/>
        </w:trPr>
        <w:tc>
          <w:tcPr>
            <w:tcW w:w="17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B77E4CB" w14:textId="77777777" w:rsidR="001C48C7" w:rsidRDefault="001C48C7">
            <w:pPr>
              <w:spacing w:after="0" w:line="240" w:lineRule="auto"/>
              <w:rPr>
                <w:rFonts w:asciiTheme="majorHAnsi" w:hAnsiTheme="majorHAnsi"/>
                <w:sz w:val="24"/>
                <w:szCs w:val="24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>Conclusion:</w:t>
            </w:r>
          </w:p>
        </w:tc>
        <w:tc>
          <w:tcPr>
            <w:tcW w:w="822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824ED5" w14:textId="77777777" w:rsidR="004954B3" w:rsidRDefault="004954B3" w:rsidP="009603DB">
            <w:pPr>
              <w:shd w:val="clear" w:color="auto" w:fill="FFFFFF"/>
              <w:spacing w:after="0" w:line="240" w:lineRule="auto"/>
              <w:jc w:val="both"/>
              <w:rPr>
                <w:rFonts w:asciiTheme="majorHAnsi" w:hAnsiTheme="majorHAnsi"/>
                <w:color w:val="000000"/>
                <w:sz w:val="24"/>
                <w:szCs w:val="24"/>
                <w:lang w:val="en-IN"/>
              </w:rPr>
            </w:pPr>
          </w:p>
        </w:tc>
      </w:tr>
    </w:tbl>
    <w:p w14:paraId="6055A1A3" w14:textId="77777777" w:rsidR="009B1007" w:rsidRDefault="009B1007">
      <w:pPr>
        <w:spacing w:after="0" w:line="240" w:lineRule="auto"/>
      </w:pPr>
    </w:p>
    <w:sectPr w:rsidR="009B1007">
      <w:headerReference w:type="default" r:id="rId10"/>
      <w:pgSz w:w="11906" w:h="16838"/>
      <w:pgMar w:top="766" w:right="1077" w:bottom="720" w:left="1077" w:header="709" w:footer="0" w:gutter="0"/>
      <w:pgNumType w:start="1"/>
      <w:cols w:space="720"/>
      <w:formProt w:val="0"/>
      <w:docGrid w:linePitch="10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E06293" w14:textId="77777777" w:rsidR="0007074D" w:rsidRDefault="0007074D">
      <w:pPr>
        <w:spacing w:after="0" w:line="240" w:lineRule="auto"/>
      </w:pPr>
      <w:r>
        <w:separator/>
      </w:r>
    </w:p>
  </w:endnote>
  <w:endnote w:type="continuationSeparator" w:id="0">
    <w:p w14:paraId="59F3458F" w14:textId="77777777" w:rsidR="0007074D" w:rsidRDefault="000707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oto Sans Symbols"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7519AF0" w14:textId="77777777" w:rsidR="0007074D" w:rsidRDefault="0007074D">
      <w:pPr>
        <w:spacing w:after="0" w:line="240" w:lineRule="auto"/>
      </w:pPr>
      <w:r>
        <w:separator/>
      </w:r>
    </w:p>
  </w:footnote>
  <w:footnote w:type="continuationSeparator" w:id="0">
    <w:p w14:paraId="710D88A9" w14:textId="77777777" w:rsidR="0007074D" w:rsidRDefault="000707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0028BD" w14:textId="77777777" w:rsidR="009F238A" w:rsidRPr="009F238A" w:rsidRDefault="009F238A" w:rsidP="009F238A">
    <w:pPr>
      <w:tabs>
        <w:tab w:val="center" w:pos="4513"/>
        <w:tab w:val="right" w:pos="9026"/>
      </w:tabs>
      <w:spacing w:after="0" w:line="240" w:lineRule="auto"/>
      <w:jc w:val="right"/>
      <w:rPr>
        <w:b/>
        <w:bCs/>
        <w:color w:val="000000"/>
        <w:sz w:val="32"/>
        <w:szCs w:val="32"/>
      </w:rPr>
    </w:pPr>
    <w:r w:rsidRPr="009F238A">
      <w:rPr>
        <w:b/>
        <w:bCs/>
        <w:noProof/>
        <w:color w:val="000000"/>
        <w:sz w:val="32"/>
        <w:szCs w:val="32"/>
      </w:rPr>
      <w:drawing>
        <wp:anchor distT="0" distB="0" distL="114300" distR="114300" simplePos="0" relativeHeight="251658240" behindDoc="0" locked="0" layoutInCell="1" allowOverlap="1" wp14:anchorId="505C71F3" wp14:editId="7D21B329">
          <wp:simplePos x="0" y="0"/>
          <wp:positionH relativeFrom="column">
            <wp:posOffset>1905</wp:posOffset>
          </wp:positionH>
          <wp:positionV relativeFrom="paragraph">
            <wp:posOffset>-635</wp:posOffset>
          </wp:positionV>
          <wp:extent cx="1231265" cy="426720"/>
          <wp:effectExtent l="0" t="0" r="6985" b="0"/>
          <wp:wrapThrough wrapText="bothSides">
            <wp:wrapPolygon edited="0">
              <wp:start x="0" y="0"/>
              <wp:lineTo x="0" y="20250"/>
              <wp:lineTo x="21388" y="20250"/>
              <wp:lineTo x="21388" y="0"/>
              <wp:lineTo x="0" y="0"/>
            </wp:wrapPolygon>
          </wp:wrapThrough>
          <wp:docPr id="145100167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31265" cy="42672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 w:rsidRPr="009F238A">
      <w:rPr>
        <w:b/>
        <w:bCs/>
        <w:color w:val="000000"/>
        <w:sz w:val="32"/>
        <w:szCs w:val="32"/>
      </w:rPr>
      <w:t xml:space="preserve">                             </w:t>
    </w:r>
    <w:r w:rsidR="00C85BD0" w:rsidRPr="009F238A">
      <w:rPr>
        <w:b/>
        <w:bCs/>
        <w:color w:val="000000"/>
        <w:sz w:val="32"/>
        <w:szCs w:val="32"/>
      </w:rPr>
      <w:t xml:space="preserve">Department of Computer Engineering </w:t>
    </w:r>
  </w:p>
  <w:p w14:paraId="2227D1B9" w14:textId="77777777" w:rsidR="009B1007" w:rsidRDefault="00C85BD0" w:rsidP="009F238A">
    <w:pPr>
      <w:tabs>
        <w:tab w:val="center" w:pos="4513"/>
        <w:tab w:val="right" w:pos="9026"/>
      </w:tabs>
      <w:spacing w:after="0" w:line="240" w:lineRule="auto"/>
      <w:jc w:val="right"/>
    </w:pPr>
    <w:r>
      <w:rPr>
        <w:color w:val="000000"/>
        <w:sz w:val="32"/>
        <w:szCs w:val="32"/>
      </w:rPr>
      <w:t xml:space="preserve"> </w:t>
    </w:r>
    <w:r w:rsidR="009F238A">
      <w:rPr>
        <w:color w:val="000000"/>
        <w:sz w:val="32"/>
        <w:szCs w:val="32"/>
      </w:rPr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361D33"/>
    <w:multiLevelType w:val="multilevel"/>
    <w:tmpl w:val="AB3A6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777EC0"/>
    <w:multiLevelType w:val="multilevel"/>
    <w:tmpl w:val="BA001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DF1526"/>
    <w:multiLevelType w:val="multilevel"/>
    <w:tmpl w:val="1ADCB00C"/>
    <w:lvl w:ilvl="0">
      <w:start w:val="1"/>
      <w:numFmt w:val="none"/>
      <w:suff w:val="nothing"/>
      <w:lvlText w:val=""/>
      <w:lvlJc w:val="left"/>
      <w:pPr>
        <w:ind w:left="0" w:firstLine="0"/>
      </w:pPr>
    </w:lvl>
    <w:lvl w:ilvl="1">
      <w:start w:val="1"/>
      <w:numFmt w:val="none"/>
      <w:suff w:val="nothing"/>
      <w:lvlText w:val=""/>
      <w:lvlJc w:val="left"/>
      <w:pPr>
        <w:ind w:left="0" w:firstLine="0"/>
      </w:pPr>
    </w:lvl>
    <w:lvl w:ilvl="2">
      <w:start w:val="1"/>
      <w:numFmt w:val="none"/>
      <w:suff w:val="nothing"/>
      <w:lvlText w:val=""/>
      <w:lvlJc w:val="left"/>
      <w:pPr>
        <w:ind w:left="0" w:firstLine="0"/>
      </w:pPr>
    </w:lvl>
    <w:lvl w:ilvl="3">
      <w:start w:val="1"/>
      <w:numFmt w:val="none"/>
      <w:suff w:val="nothing"/>
      <w:lvlText w:val=""/>
      <w:lvlJc w:val="left"/>
      <w:pPr>
        <w:ind w:left="0" w:firstLine="0"/>
      </w:pPr>
    </w:lvl>
    <w:lvl w:ilvl="4">
      <w:start w:val="1"/>
      <w:numFmt w:val="none"/>
      <w:suff w:val="nothing"/>
      <w:lvlText w:val=""/>
      <w:lvlJc w:val="left"/>
      <w:pPr>
        <w:ind w:left="0" w:firstLine="0"/>
      </w:pPr>
    </w:lvl>
    <w:lvl w:ilvl="5">
      <w:start w:val="1"/>
      <w:numFmt w:val="none"/>
      <w:suff w:val="nothing"/>
      <w:lvlText w:val=""/>
      <w:lvlJc w:val="left"/>
      <w:pPr>
        <w:ind w:left="0" w:firstLine="0"/>
      </w:pPr>
    </w:lvl>
    <w:lvl w:ilvl="6">
      <w:start w:val="1"/>
      <w:numFmt w:val="none"/>
      <w:suff w:val="nothing"/>
      <w:lvlText w:val=""/>
      <w:lvlJc w:val="left"/>
      <w:pPr>
        <w:ind w:left="0" w:firstLine="0"/>
      </w:pPr>
    </w:lvl>
    <w:lvl w:ilvl="7">
      <w:start w:val="1"/>
      <w:numFmt w:val="none"/>
      <w:suff w:val="nothing"/>
      <w:lvlText w:val=""/>
      <w:lvlJc w:val="left"/>
      <w:pPr>
        <w:ind w:left="0" w:firstLine="0"/>
      </w:pPr>
    </w:lvl>
    <w:lvl w:ilvl="8">
      <w:start w:val="1"/>
      <w:numFmt w:val="none"/>
      <w:suff w:val="nothing"/>
      <w:lvlText w:val=""/>
      <w:lvlJc w:val="left"/>
      <w:pPr>
        <w:ind w:left="0" w:firstLine="0"/>
      </w:pPr>
    </w:lvl>
  </w:abstractNum>
  <w:abstractNum w:abstractNumId="3" w15:restartNumberingAfterBreak="0">
    <w:nsid w:val="49B85EAE"/>
    <w:multiLevelType w:val="multilevel"/>
    <w:tmpl w:val="1A12812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4C981B59"/>
    <w:multiLevelType w:val="hybridMultilevel"/>
    <w:tmpl w:val="12AEED2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6D150A6"/>
    <w:multiLevelType w:val="multilevel"/>
    <w:tmpl w:val="867257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97502B5"/>
    <w:multiLevelType w:val="multilevel"/>
    <w:tmpl w:val="FB1A9D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  <w:num w:numId="5">
    <w:abstractNumId w:val="6"/>
  </w:num>
  <w:num w:numId="6">
    <w:abstractNumId w:val="4"/>
  </w:num>
  <w:num w:numId="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1007"/>
    <w:rsid w:val="000042BA"/>
    <w:rsid w:val="000530E9"/>
    <w:rsid w:val="0007074D"/>
    <w:rsid w:val="00096961"/>
    <w:rsid w:val="000B6D96"/>
    <w:rsid w:val="000C041D"/>
    <w:rsid w:val="000C099A"/>
    <w:rsid w:val="00117E45"/>
    <w:rsid w:val="001452A7"/>
    <w:rsid w:val="001553D5"/>
    <w:rsid w:val="001C48C7"/>
    <w:rsid w:val="001D7303"/>
    <w:rsid w:val="001F5E9C"/>
    <w:rsid w:val="00223320"/>
    <w:rsid w:val="00242736"/>
    <w:rsid w:val="00244841"/>
    <w:rsid w:val="00262B2C"/>
    <w:rsid w:val="00292335"/>
    <w:rsid w:val="002A071E"/>
    <w:rsid w:val="002D4308"/>
    <w:rsid w:val="00302CE1"/>
    <w:rsid w:val="0032070A"/>
    <w:rsid w:val="00351455"/>
    <w:rsid w:val="00353E29"/>
    <w:rsid w:val="0035617E"/>
    <w:rsid w:val="003D53E0"/>
    <w:rsid w:val="003D6C5A"/>
    <w:rsid w:val="0041276F"/>
    <w:rsid w:val="0045787B"/>
    <w:rsid w:val="004617E7"/>
    <w:rsid w:val="00477D43"/>
    <w:rsid w:val="004954B3"/>
    <w:rsid w:val="004D5CE0"/>
    <w:rsid w:val="004F3E86"/>
    <w:rsid w:val="00501A36"/>
    <w:rsid w:val="0050241B"/>
    <w:rsid w:val="00516ACF"/>
    <w:rsid w:val="005A1E13"/>
    <w:rsid w:val="005C46D4"/>
    <w:rsid w:val="005D4250"/>
    <w:rsid w:val="005D6BE3"/>
    <w:rsid w:val="005E1276"/>
    <w:rsid w:val="005F794C"/>
    <w:rsid w:val="00621979"/>
    <w:rsid w:val="0062753E"/>
    <w:rsid w:val="00651B03"/>
    <w:rsid w:val="00654D14"/>
    <w:rsid w:val="00657971"/>
    <w:rsid w:val="00660CA5"/>
    <w:rsid w:val="0066555A"/>
    <w:rsid w:val="006A3C41"/>
    <w:rsid w:val="006B39A6"/>
    <w:rsid w:val="006C7070"/>
    <w:rsid w:val="007000CD"/>
    <w:rsid w:val="00707A3F"/>
    <w:rsid w:val="0075203E"/>
    <w:rsid w:val="007773C6"/>
    <w:rsid w:val="00787574"/>
    <w:rsid w:val="007D58C9"/>
    <w:rsid w:val="00844EAF"/>
    <w:rsid w:val="0084628A"/>
    <w:rsid w:val="008656FB"/>
    <w:rsid w:val="008670A6"/>
    <w:rsid w:val="008817F2"/>
    <w:rsid w:val="008B0352"/>
    <w:rsid w:val="008B2F96"/>
    <w:rsid w:val="008F5BB7"/>
    <w:rsid w:val="008F6FCB"/>
    <w:rsid w:val="00923867"/>
    <w:rsid w:val="009531C6"/>
    <w:rsid w:val="009603DB"/>
    <w:rsid w:val="009A1EB6"/>
    <w:rsid w:val="009B1007"/>
    <w:rsid w:val="009F238A"/>
    <w:rsid w:val="00A24159"/>
    <w:rsid w:val="00A46C31"/>
    <w:rsid w:val="00AC48CB"/>
    <w:rsid w:val="00B2213C"/>
    <w:rsid w:val="00B4716E"/>
    <w:rsid w:val="00BC5BED"/>
    <w:rsid w:val="00C20263"/>
    <w:rsid w:val="00C462D2"/>
    <w:rsid w:val="00C5405F"/>
    <w:rsid w:val="00C61394"/>
    <w:rsid w:val="00C85BD0"/>
    <w:rsid w:val="00CA2E1E"/>
    <w:rsid w:val="00D206FA"/>
    <w:rsid w:val="00D24392"/>
    <w:rsid w:val="00D35A93"/>
    <w:rsid w:val="00D665C7"/>
    <w:rsid w:val="00D83828"/>
    <w:rsid w:val="00DC54CE"/>
    <w:rsid w:val="00DE043E"/>
    <w:rsid w:val="00DF0515"/>
    <w:rsid w:val="00DF0C80"/>
    <w:rsid w:val="00E008CA"/>
    <w:rsid w:val="00E2794D"/>
    <w:rsid w:val="00E329AF"/>
    <w:rsid w:val="00E47E4A"/>
    <w:rsid w:val="00EB242D"/>
    <w:rsid w:val="00F11C80"/>
    <w:rsid w:val="00F21266"/>
    <w:rsid w:val="00F44247"/>
    <w:rsid w:val="00F47C39"/>
    <w:rsid w:val="00F60692"/>
    <w:rsid w:val="00F72CDC"/>
    <w:rsid w:val="00F77690"/>
    <w:rsid w:val="00FA7A62"/>
    <w:rsid w:val="00FB3D04"/>
    <w:rsid w:val="00FD2B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4DEA7E4"/>
  <w15:docId w15:val="{23A1F9F7-0833-47AA-B9A4-9BB684993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6C2B"/>
    <w:pPr>
      <w:spacing w:after="200" w:line="276" w:lineRule="auto"/>
    </w:pPr>
  </w:style>
  <w:style w:type="paragraph" w:styleId="Heading1">
    <w:name w:val="heading 1"/>
    <w:basedOn w:val="Normal"/>
    <w:next w:val="Normal"/>
    <w:uiPriority w:val="9"/>
    <w:qFormat/>
    <w:rsid w:val="00BE6C2B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BE6C2B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BE6C2B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BE6C2B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BE6C2B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BE6C2B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734C07"/>
  </w:style>
  <w:style w:type="character" w:customStyle="1" w:styleId="FooterChar">
    <w:name w:val="Footer Char"/>
    <w:basedOn w:val="DefaultParagraphFont"/>
    <w:link w:val="Footer"/>
    <w:uiPriority w:val="99"/>
    <w:qFormat/>
    <w:rsid w:val="00734C07"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B17CAA"/>
    <w:rPr>
      <w:rFonts w:ascii="Tahoma" w:hAnsi="Tahoma" w:cs="Tahoma"/>
      <w:sz w:val="16"/>
      <w:szCs w:val="16"/>
    </w:rPr>
  </w:style>
  <w:style w:type="character" w:customStyle="1" w:styleId="ListLabel1">
    <w:name w:val="ListLabel 1"/>
    <w:qFormat/>
    <w:rPr>
      <w:u w:val="none"/>
    </w:rPr>
  </w:style>
  <w:style w:type="character" w:customStyle="1" w:styleId="ListLabel2">
    <w:name w:val="ListLabel 2"/>
    <w:qFormat/>
    <w:rPr>
      <w:u w:val="none"/>
    </w:rPr>
  </w:style>
  <w:style w:type="character" w:customStyle="1" w:styleId="ListLabel3">
    <w:name w:val="ListLabel 3"/>
    <w:qFormat/>
    <w:rPr>
      <w:u w:val="none"/>
    </w:rPr>
  </w:style>
  <w:style w:type="character" w:customStyle="1" w:styleId="ListLabel4">
    <w:name w:val="ListLabel 4"/>
    <w:qFormat/>
    <w:rPr>
      <w:u w:val="none"/>
    </w:rPr>
  </w:style>
  <w:style w:type="character" w:customStyle="1" w:styleId="ListLabel5">
    <w:name w:val="ListLabel 5"/>
    <w:qFormat/>
    <w:rPr>
      <w:u w:val="none"/>
    </w:rPr>
  </w:style>
  <w:style w:type="character" w:customStyle="1" w:styleId="ListLabel6">
    <w:name w:val="ListLabel 6"/>
    <w:qFormat/>
    <w:rPr>
      <w:u w:val="none"/>
    </w:rPr>
  </w:style>
  <w:style w:type="character" w:customStyle="1" w:styleId="ListLabel7">
    <w:name w:val="ListLabel 7"/>
    <w:qFormat/>
    <w:rPr>
      <w:u w:val="none"/>
    </w:rPr>
  </w:style>
  <w:style w:type="character" w:customStyle="1" w:styleId="ListLabel8">
    <w:name w:val="ListLabel 8"/>
    <w:qFormat/>
    <w:rPr>
      <w:u w:val="none"/>
    </w:rPr>
  </w:style>
  <w:style w:type="character" w:customStyle="1" w:styleId="ListLabel9">
    <w:name w:val="ListLabel 9"/>
    <w:qFormat/>
    <w:rPr>
      <w:u w:val="none"/>
    </w:rPr>
  </w:style>
  <w:style w:type="character" w:customStyle="1" w:styleId="ListLabel10">
    <w:name w:val="ListLabel 10"/>
    <w:qFormat/>
    <w:rPr>
      <w:u w:val="none"/>
    </w:rPr>
  </w:style>
  <w:style w:type="character" w:customStyle="1" w:styleId="ListLabel11">
    <w:name w:val="ListLabel 11"/>
    <w:qFormat/>
    <w:rPr>
      <w:u w:val="none"/>
    </w:rPr>
  </w:style>
  <w:style w:type="character" w:customStyle="1" w:styleId="ListLabel12">
    <w:name w:val="ListLabel 12"/>
    <w:qFormat/>
    <w:rPr>
      <w:u w:val="none"/>
    </w:rPr>
  </w:style>
  <w:style w:type="character" w:customStyle="1" w:styleId="ListLabel13">
    <w:name w:val="ListLabel 13"/>
    <w:qFormat/>
    <w:rPr>
      <w:u w:val="none"/>
    </w:rPr>
  </w:style>
  <w:style w:type="character" w:customStyle="1" w:styleId="ListLabel14">
    <w:name w:val="ListLabel 14"/>
    <w:qFormat/>
    <w:rPr>
      <w:u w:val="none"/>
    </w:rPr>
  </w:style>
  <w:style w:type="character" w:customStyle="1" w:styleId="ListLabel15">
    <w:name w:val="ListLabel 15"/>
    <w:qFormat/>
    <w:rPr>
      <w:u w:val="none"/>
    </w:rPr>
  </w:style>
  <w:style w:type="character" w:customStyle="1" w:styleId="ListLabel16">
    <w:name w:val="ListLabel 16"/>
    <w:qFormat/>
    <w:rPr>
      <w:u w:val="none"/>
    </w:rPr>
  </w:style>
  <w:style w:type="character" w:customStyle="1" w:styleId="ListLabel17">
    <w:name w:val="ListLabel 17"/>
    <w:qFormat/>
    <w:rPr>
      <w:u w:val="none"/>
    </w:rPr>
  </w:style>
  <w:style w:type="character" w:customStyle="1" w:styleId="ListLabel18">
    <w:name w:val="ListLabel 18"/>
    <w:qFormat/>
    <w:rPr>
      <w:u w:val="none"/>
    </w:rPr>
  </w:style>
  <w:style w:type="character" w:customStyle="1" w:styleId="ListLabel19">
    <w:name w:val="ListLabel 19"/>
    <w:qFormat/>
    <w:rPr>
      <w:rFonts w:eastAsia="Noto Sans Symbols" w:cs="Noto Sans Symbols"/>
    </w:rPr>
  </w:style>
  <w:style w:type="character" w:customStyle="1" w:styleId="ListLabel20">
    <w:name w:val="ListLabel 20"/>
    <w:qFormat/>
    <w:rPr>
      <w:rFonts w:eastAsia="Courier New" w:cs="Courier New"/>
    </w:rPr>
  </w:style>
  <w:style w:type="character" w:customStyle="1" w:styleId="ListLabel21">
    <w:name w:val="ListLabel 21"/>
    <w:qFormat/>
    <w:rPr>
      <w:rFonts w:eastAsia="Noto Sans Symbols" w:cs="Noto Sans Symbols"/>
    </w:rPr>
  </w:style>
  <w:style w:type="character" w:customStyle="1" w:styleId="ListLabel22">
    <w:name w:val="ListLabel 22"/>
    <w:qFormat/>
    <w:rPr>
      <w:rFonts w:eastAsia="Noto Sans Symbols" w:cs="Noto Sans Symbols"/>
    </w:rPr>
  </w:style>
  <w:style w:type="character" w:customStyle="1" w:styleId="ListLabel23">
    <w:name w:val="ListLabel 23"/>
    <w:qFormat/>
    <w:rPr>
      <w:rFonts w:eastAsia="Courier New" w:cs="Courier New"/>
    </w:rPr>
  </w:style>
  <w:style w:type="character" w:customStyle="1" w:styleId="ListLabel24">
    <w:name w:val="ListLabel 24"/>
    <w:qFormat/>
    <w:rPr>
      <w:rFonts w:eastAsia="Noto Sans Symbols" w:cs="Noto Sans Symbols"/>
    </w:rPr>
  </w:style>
  <w:style w:type="character" w:customStyle="1" w:styleId="ListLabel25">
    <w:name w:val="ListLabel 25"/>
    <w:qFormat/>
    <w:rPr>
      <w:rFonts w:eastAsia="Noto Sans Symbols" w:cs="Noto Sans Symbols"/>
    </w:rPr>
  </w:style>
  <w:style w:type="character" w:customStyle="1" w:styleId="ListLabel26">
    <w:name w:val="ListLabel 26"/>
    <w:qFormat/>
    <w:rPr>
      <w:rFonts w:eastAsia="Courier New" w:cs="Courier New"/>
    </w:rPr>
  </w:style>
  <w:style w:type="character" w:customStyle="1" w:styleId="ListLabel27">
    <w:name w:val="ListLabel 27"/>
    <w:qFormat/>
    <w:rPr>
      <w:rFonts w:eastAsia="Noto Sans Symbols" w:cs="Noto Sans Symbols"/>
    </w:rPr>
  </w:style>
  <w:style w:type="character" w:customStyle="1" w:styleId="ListLabel28">
    <w:name w:val="ListLabel 28"/>
    <w:qFormat/>
    <w:rPr>
      <w:u w:val="none"/>
    </w:rPr>
  </w:style>
  <w:style w:type="character" w:customStyle="1" w:styleId="ListLabel29">
    <w:name w:val="ListLabel 29"/>
    <w:qFormat/>
    <w:rPr>
      <w:u w:val="none"/>
    </w:rPr>
  </w:style>
  <w:style w:type="character" w:customStyle="1" w:styleId="ListLabel30">
    <w:name w:val="ListLabel 30"/>
    <w:qFormat/>
    <w:rPr>
      <w:u w:val="none"/>
    </w:rPr>
  </w:style>
  <w:style w:type="character" w:customStyle="1" w:styleId="ListLabel31">
    <w:name w:val="ListLabel 31"/>
    <w:qFormat/>
    <w:rPr>
      <w:u w:val="none"/>
    </w:rPr>
  </w:style>
  <w:style w:type="character" w:customStyle="1" w:styleId="ListLabel32">
    <w:name w:val="ListLabel 32"/>
    <w:qFormat/>
    <w:rPr>
      <w:u w:val="none"/>
    </w:rPr>
  </w:style>
  <w:style w:type="character" w:customStyle="1" w:styleId="ListLabel33">
    <w:name w:val="ListLabel 33"/>
    <w:qFormat/>
    <w:rPr>
      <w:u w:val="none"/>
    </w:rPr>
  </w:style>
  <w:style w:type="character" w:customStyle="1" w:styleId="ListLabel34">
    <w:name w:val="ListLabel 34"/>
    <w:qFormat/>
    <w:rPr>
      <w:u w:val="none"/>
    </w:rPr>
  </w:style>
  <w:style w:type="character" w:customStyle="1" w:styleId="ListLabel35">
    <w:name w:val="ListLabel 35"/>
    <w:qFormat/>
    <w:rPr>
      <w:u w:val="none"/>
    </w:rPr>
  </w:style>
  <w:style w:type="character" w:customStyle="1" w:styleId="ListLabel36">
    <w:name w:val="ListLabel 36"/>
    <w:qFormat/>
    <w:rPr>
      <w:u w:val="none"/>
    </w:rPr>
  </w:style>
  <w:style w:type="character" w:customStyle="1" w:styleId="ListLabel37">
    <w:name w:val="ListLabel 37"/>
    <w:qFormat/>
    <w:rPr>
      <w:u w:val="none"/>
    </w:rPr>
  </w:style>
  <w:style w:type="character" w:customStyle="1" w:styleId="ListLabel38">
    <w:name w:val="ListLabel 38"/>
    <w:qFormat/>
    <w:rPr>
      <w:u w:val="none"/>
    </w:rPr>
  </w:style>
  <w:style w:type="character" w:customStyle="1" w:styleId="ListLabel39">
    <w:name w:val="ListLabel 39"/>
    <w:qFormat/>
    <w:rPr>
      <w:u w:val="none"/>
    </w:rPr>
  </w:style>
  <w:style w:type="character" w:customStyle="1" w:styleId="ListLabel40">
    <w:name w:val="ListLabel 40"/>
    <w:qFormat/>
    <w:rPr>
      <w:u w:val="none"/>
    </w:rPr>
  </w:style>
  <w:style w:type="character" w:customStyle="1" w:styleId="ListLabel41">
    <w:name w:val="ListLabel 41"/>
    <w:qFormat/>
    <w:rPr>
      <w:u w:val="none"/>
    </w:rPr>
  </w:style>
  <w:style w:type="character" w:customStyle="1" w:styleId="ListLabel42">
    <w:name w:val="ListLabel 42"/>
    <w:qFormat/>
    <w:rPr>
      <w:u w:val="none"/>
    </w:rPr>
  </w:style>
  <w:style w:type="character" w:customStyle="1" w:styleId="ListLabel43">
    <w:name w:val="ListLabel 43"/>
    <w:qFormat/>
    <w:rPr>
      <w:u w:val="none"/>
    </w:rPr>
  </w:style>
  <w:style w:type="character" w:customStyle="1" w:styleId="ListLabel44">
    <w:name w:val="ListLabel 44"/>
    <w:qFormat/>
    <w:rPr>
      <w:u w:val="none"/>
    </w:rPr>
  </w:style>
  <w:style w:type="character" w:customStyle="1" w:styleId="ListLabel45">
    <w:name w:val="ListLabel 45"/>
    <w:qFormat/>
    <w:rPr>
      <w:u w:val="none"/>
    </w:rPr>
  </w:style>
  <w:style w:type="character" w:customStyle="1" w:styleId="ListLabel46">
    <w:name w:val="ListLabel 46"/>
    <w:qFormat/>
    <w:rPr>
      <w:u w:val="none"/>
    </w:rPr>
  </w:style>
  <w:style w:type="character" w:customStyle="1" w:styleId="ListLabel47">
    <w:name w:val="ListLabel 47"/>
    <w:qFormat/>
    <w:rPr>
      <w:u w:val="none"/>
    </w:rPr>
  </w:style>
  <w:style w:type="character" w:customStyle="1" w:styleId="ListLabel48">
    <w:name w:val="ListLabel 48"/>
    <w:qFormat/>
    <w:rPr>
      <w:u w:val="none"/>
    </w:rPr>
  </w:style>
  <w:style w:type="character" w:customStyle="1" w:styleId="ListLabel49">
    <w:name w:val="ListLabel 49"/>
    <w:qFormat/>
    <w:rPr>
      <w:u w:val="none"/>
    </w:rPr>
  </w:style>
  <w:style w:type="character" w:customStyle="1" w:styleId="ListLabel50">
    <w:name w:val="ListLabel 50"/>
    <w:qFormat/>
    <w:rPr>
      <w:u w:val="none"/>
    </w:rPr>
  </w:style>
  <w:style w:type="character" w:customStyle="1" w:styleId="ListLabel51">
    <w:name w:val="ListLabel 51"/>
    <w:qFormat/>
    <w:rPr>
      <w:u w:val="none"/>
    </w:rPr>
  </w:style>
  <w:style w:type="character" w:customStyle="1" w:styleId="ListLabel52">
    <w:name w:val="ListLabel 52"/>
    <w:qFormat/>
    <w:rPr>
      <w:u w:val="none"/>
    </w:rPr>
  </w:style>
  <w:style w:type="character" w:customStyle="1" w:styleId="ListLabel53">
    <w:name w:val="ListLabel 53"/>
    <w:qFormat/>
    <w:rPr>
      <w:u w:val="none"/>
    </w:rPr>
  </w:style>
  <w:style w:type="character" w:customStyle="1" w:styleId="ListLabel54">
    <w:name w:val="ListLabel 54"/>
    <w:qFormat/>
    <w:rPr>
      <w:u w:val="none"/>
    </w:rPr>
  </w:style>
  <w:style w:type="character" w:customStyle="1" w:styleId="ListLabel55">
    <w:name w:val="ListLabel 55"/>
    <w:qFormat/>
    <w:rPr>
      <w:rFonts w:cs="Courier New"/>
    </w:rPr>
  </w:style>
  <w:style w:type="character" w:customStyle="1" w:styleId="ListLabel56">
    <w:name w:val="ListLabel 56"/>
    <w:qFormat/>
    <w:rPr>
      <w:rFonts w:cs="Courier New"/>
    </w:rPr>
  </w:style>
  <w:style w:type="character" w:customStyle="1" w:styleId="ListLabel57">
    <w:name w:val="ListLabel 57"/>
    <w:qFormat/>
    <w:rPr>
      <w:rFonts w:cs="Courier New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uiPriority w:val="10"/>
    <w:qFormat/>
    <w:rsid w:val="00BE6C2B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BE6C2B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Header">
    <w:name w:val="header"/>
    <w:basedOn w:val="Normal"/>
    <w:link w:val="Head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734C07"/>
    <w:pPr>
      <w:tabs>
        <w:tab w:val="center" w:pos="4513"/>
        <w:tab w:val="right" w:pos="9026"/>
      </w:tabs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DD667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B17CA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6B39A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39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201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06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509f1985-8a66-4ce0-a834-2d1019ea9ced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56DFFDE6F9D64A8E71F7F7EF082038" ma:contentTypeVersion="4" ma:contentTypeDescription="Create a new document." ma:contentTypeScope="" ma:versionID="ca30b273027846756f9dd52bfe88dc91">
  <xsd:schema xmlns:xsd="http://www.w3.org/2001/XMLSchema" xmlns:xs="http://www.w3.org/2001/XMLSchema" xmlns:p="http://schemas.microsoft.com/office/2006/metadata/properties" xmlns:ns2="509f1985-8a66-4ce0-a834-2d1019ea9ced" targetNamespace="http://schemas.microsoft.com/office/2006/metadata/properties" ma:root="true" ma:fieldsID="46d441d0b9b4cded9f4392dfd7f00ee2" ns2:_="">
    <xsd:import namespace="509f1985-8a66-4ce0-a834-2d1019ea9ced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09f1985-8a66-4ce0-a834-2d1019ea9ced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0D9D6F3-1810-422B-BF7B-33916423F28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778D28BF-3286-4723-94A9-664208DD461C}">
  <ds:schemaRefs>
    <ds:schemaRef ds:uri="http://schemas.microsoft.com/office/2006/metadata/properties"/>
    <ds:schemaRef ds:uri="http://schemas.microsoft.com/office/infopath/2007/PartnerControls"/>
    <ds:schemaRef ds:uri="509f1985-8a66-4ce0-a834-2d1019ea9ced"/>
  </ds:schemaRefs>
</ds:datastoreItem>
</file>

<file path=customXml/itemProps3.xml><?xml version="1.0" encoding="utf-8"?>
<ds:datastoreItem xmlns:ds="http://schemas.openxmlformats.org/officeDocument/2006/customXml" ds:itemID="{5E9641F9-B464-4B19-AAF4-B6BE499FA87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09f1985-8a66-4ce0-a834-2d1019ea9c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Task 13 - Ansible Configuration Management</dc:title>
  <dc:subject>Municipal Complaint Portal server prerequisites and first execution</dc:subject>
  <dc:creator>KalpakTole</dc:creator>
  <dc:description/>
  <cp:lastModifiedBy>Siddhi Gawade</cp:lastModifiedBy>
  <cp:revision>24</cp:revision>
  <cp:lastPrinted>2026-09-22T09:44:00Z</cp:lastPrinted>
  <dcterms:created xsi:type="dcterms:W3CDTF">2026-09-29T09:18:00Z</dcterms:created>
  <dcterms:modified xsi:type="dcterms:W3CDTF">2026-10-20T07:36:00Z</dcterms:modified>
  <dc:language>en-IN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12.0000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  <property fmtid="{D5CDD505-2E9C-101B-9397-08002B2CF9AE}" pid="8" name="ContentTypeId">
    <vt:lpwstr>0x010100CF56DFFDE6F9D64A8E71F7F7EF082038</vt:lpwstr>
  </property>
  <property fmtid="{D5CDD505-2E9C-101B-9397-08002B2CF9AE}" pid="9" name="GrammarlyDocumentId">
    <vt:lpwstr>32fce9fa3ca04cf51228063bcb4d67aef7513bd8a59c5f002c5c908f5ec354a2</vt:lpwstr>
  </property>
</Properties>
</file>