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8A04A"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xmlns:w16sdtfl="http://schemas.microsoft.com/office/word/2024/wordml/sdtformatlock" xmlns:w16du="http://schemas.microsoft.com/office/word/2023/wordml/word16du" xmlns:oel="http://schemas.microsoft.com/office/2019/extlst">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3ADA038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875" w:type="dxa"/>
        <w:tblInd w:w="105" w:type="dxa"/>
        <w:tblCellMar>
          <w:left w:w="105" w:type="dxa"/>
          <w:right w:w="105" w:type="dxa"/>
        </w:tblCellMar>
        <w:tblLook w:val="0400" w:firstRow="0" w:lastRow="0" w:firstColumn="0" w:lastColumn="0" w:noHBand="0" w:noVBand="1"/>
      </w:tblPr>
      <w:tblGrid>
        <w:gridCol w:w="3053"/>
        <w:gridCol w:w="6822"/>
      </w:tblGrid>
      <w:tr w:rsidR="009B1007" w14:paraId="0983F388"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58C671A4"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822" w:type="dxa"/>
            <w:tcBorders>
              <w:top w:val="single" w:sz="6" w:space="0" w:color="000000"/>
              <w:left w:val="single" w:sz="6" w:space="0" w:color="000000"/>
              <w:bottom w:val="single" w:sz="6" w:space="0" w:color="000000"/>
              <w:right w:val="single" w:sz="6" w:space="0" w:color="000000"/>
            </w:tcBorders>
          </w:tcPr>
          <w:p w14:paraId="5002765F" w14:textId="77777777" w:rsidR="009B1007" w:rsidRDefault="0075203E">
            <w:pPr>
              <w:spacing w:after="0" w:line="240" w:lineRule="auto"/>
              <w:rPr>
                <w:rFonts w:asciiTheme="majorHAnsi" w:hAnsiTheme="majorHAnsi"/>
                <w:sz w:val="24"/>
                <w:szCs w:val="24"/>
              </w:rPr>
            </w:pPr>
            <w:r>
              <w:rPr>
                <w:rFonts w:asciiTheme="majorHAnsi" w:hAnsiTheme="majorHAnsi"/>
                <w:sz w:val="24"/>
                <w:szCs w:val="24"/>
              </w:rPr>
              <w:t>B</w:t>
            </w:r>
            <w:r w:rsidR="00C85BD0">
              <w:rPr>
                <w:rFonts w:asciiTheme="majorHAnsi" w:hAnsiTheme="majorHAnsi"/>
                <w:sz w:val="24"/>
                <w:szCs w:val="24"/>
              </w:rPr>
              <w:t>.E. Semester VI</w:t>
            </w:r>
            <w:r>
              <w:rPr>
                <w:rFonts w:asciiTheme="majorHAnsi" w:hAnsiTheme="majorHAnsi"/>
                <w:sz w:val="24"/>
                <w:szCs w:val="24"/>
              </w:rPr>
              <w:t>I</w:t>
            </w:r>
            <w:r w:rsidR="00C85BD0">
              <w:rPr>
                <w:rFonts w:asciiTheme="majorHAnsi" w:hAnsiTheme="majorHAnsi"/>
                <w:sz w:val="24"/>
                <w:szCs w:val="24"/>
              </w:rPr>
              <w:t xml:space="preserve"> – Computer Engineering</w:t>
            </w:r>
          </w:p>
        </w:tc>
      </w:tr>
      <w:tr w:rsidR="009B1007" w14:paraId="168DDF21"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262253C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822" w:type="dxa"/>
            <w:tcBorders>
              <w:top w:val="single" w:sz="6" w:space="0" w:color="000000"/>
              <w:left w:val="single" w:sz="6" w:space="0" w:color="000000"/>
              <w:bottom w:val="single" w:sz="6" w:space="0" w:color="000000"/>
              <w:right w:val="single" w:sz="6" w:space="0" w:color="000000"/>
            </w:tcBorders>
          </w:tcPr>
          <w:p w14:paraId="0DF54CBE" w14:textId="77777777" w:rsidR="009B1007" w:rsidRDefault="001F5E9C">
            <w:pPr>
              <w:spacing w:after="0" w:line="240" w:lineRule="auto"/>
              <w:rPr>
                <w:rFonts w:asciiTheme="majorHAnsi" w:hAnsiTheme="majorHAnsi"/>
                <w:sz w:val="24"/>
                <w:szCs w:val="24"/>
              </w:rPr>
            </w:pPr>
            <w:r>
              <w:rPr>
                <w:rFonts w:asciiTheme="majorHAnsi" w:hAnsiTheme="majorHAnsi"/>
                <w:sz w:val="24"/>
                <w:szCs w:val="24"/>
              </w:rPr>
              <w:t>DevOps Lab</w:t>
            </w:r>
          </w:p>
        </w:tc>
      </w:tr>
      <w:tr w:rsidR="009B1007" w14:paraId="311CC356"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5BB5C11D"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822" w:type="dxa"/>
            <w:tcBorders>
              <w:top w:val="single" w:sz="6" w:space="0" w:color="000000"/>
              <w:left w:val="single" w:sz="6" w:space="0" w:color="000000"/>
              <w:bottom w:val="single" w:sz="6" w:space="0" w:color="000000"/>
              <w:right w:val="single" w:sz="6" w:space="0" w:color="000000"/>
            </w:tcBorders>
          </w:tcPr>
          <w:p w14:paraId="66BE645A" w14:textId="77777777" w:rsidR="009B1007" w:rsidRDefault="001F5E9C">
            <w:pPr>
              <w:tabs>
                <w:tab w:val="left" w:pos="2430"/>
              </w:tabs>
              <w:spacing w:after="0" w:line="240" w:lineRule="auto"/>
              <w:rPr>
                <w:rFonts w:asciiTheme="majorHAnsi" w:hAnsiTheme="majorHAnsi"/>
                <w:sz w:val="24"/>
                <w:szCs w:val="24"/>
              </w:rPr>
            </w:pPr>
            <w:r>
              <w:rPr>
                <w:rFonts w:asciiTheme="majorHAnsi" w:hAnsiTheme="majorHAnsi"/>
                <w:sz w:val="24"/>
                <w:szCs w:val="24"/>
              </w:rPr>
              <w:t xml:space="preserve">Dr. </w:t>
            </w:r>
            <w:proofErr w:type="spellStart"/>
            <w:r>
              <w:rPr>
                <w:rFonts w:asciiTheme="majorHAnsi" w:hAnsiTheme="majorHAnsi"/>
                <w:sz w:val="24"/>
                <w:szCs w:val="24"/>
              </w:rPr>
              <w:t>Snehal</w:t>
            </w:r>
            <w:proofErr w:type="spellEnd"/>
            <w:r>
              <w:rPr>
                <w:rFonts w:asciiTheme="majorHAnsi" w:hAnsiTheme="majorHAnsi"/>
                <w:sz w:val="24"/>
                <w:szCs w:val="24"/>
              </w:rPr>
              <w:t xml:space="preserve"> </w:t>
            </w:r>
            <w:proofErr w:type="spellStart"/>
            <w:r>
              <w:rPr>
                <w:rFonts w:asciiTheme="majorHAnsi" w:hAnsiTheme="majorHAnsi"/>
                <w:sz w:val="24"/>
                <w:szCs w:val="24"/>
              </w:rPr>
              <w:t>Andhare</w:t>
            </w:r>
            <w:proofErr w:type="spellEnd"/>
          </w:p>
        </w:tc>
      </w:tr>
    </w:tbl>
    <w:p w14:paraId="377E90A3" w14:textId="77777777" w:rsidR="009B1007" w:rsidRDefault="009B1007">
      <w:pPr>
        <w:spacing w:after="0" w:line="240" w:lineRule="auto"/>
        <w:rPr>
          <w:rFonts w:asciiTheme="majorHAnsi" w:hAnsiTheme="majorHAnsi"/>
          <w:sz w:val="24"/>
          <w:szCs w:val="24"/>
        </w:rPr>
      </w:pPr>
    </w:p>
    <w:tbl>
      <w:tblPr>
        <w:tblW w:w="9922" w:type="dxa"/>
        <w:tblInd w:w="105" w:type="dxa"/>
        <w:tblCellMar>
          <w:left w:w="105" w:type="dxa"/>
          <w:right w:w="105" w:type="dxa"/>
        </w:tblCellMar>
        <w:tblLook w:val="0400" w:firstRow="0" w:lastRow="0" w:firstColumn="0" w:lastColumn="0" w:noHBand="0" w:noVBand="1"/>
      </w:tblPr>
      <w:tblGrid>
        <w:gridCol w:w="3068"/>
        <w:gridCol w:w="6854"/>
      </w:tblGrid>
      <w:tr w:rsidR="009B1007" w14:paraId="40EF1EAF" w14:textId="77777777" w:rsidTr="00E329AF">
        <w:trPr>
          <w:trHeight w:val="337"/>
        </w:trPr>
        <w:tc>
          <w:tcPr>
            <w:tcW w:w="3068" w:type="dxa"/>
            <w:tcBorders>
              <w:top w:val="single" w:sz="6" w:space="0" w:color="000000"/>
              <w:left w:val="single" w:sz="6" w:space="0" w:color="000000"/>
              <w:bottom w:val="single" w:sz="6" w:space="0" w:color="000000"/>
              <w:right w:val="single" w:sz="6" w:space="0" w:color="000000"/>
            </w:tcBorders>
          </w:tcPr>
          <w:p w14:paraId="0D7F8141"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854" w:type="dxa"/>
            <w:tcBorders>
              <w:top w:val="single" w:sz="6" w:space="0" w:color="000000"/>
              <w:left w:val="single" w:sz="6" w:space="0" w:color="000000"/>
              <w:bottom w:val="single" w:sz="6" w:space="0" w:color="000000"/>
              <w:right w:val="single" w:sz="6" w:space="0" w:color="000000"/>
            </w:tcBorders>
          </w:tcPr>
          <w:p w14:paraId="6F8E4B64" w14:textId="6684DDC7" w:rsidR="009B1007" w:rsidRDefault="008F5BB7">
            <w:pPr>
              <w:spacing w:after="0" w:line="240" w:lineRule="auto"/>
              <w:rPr>
                <w:rFonts w:asciiTheme="majorHAnsi" w:hAnsiTheme="majorHAnsi"/>
                <w:color w:val="000000"/>
                <w:sz w:val="24"/>
                <w:szCs w:val="24"/>
              </w:rPr>
            </w:pPr>
            <w:r>
              <w:rPr>
                <w:rFonts w:asciiTheme="majorHAnsi" w:hAnsiTheme="majorHAnsi"/>
                <w:color w:val="000000"/>
                <w:sz w:val="24"/>
                <w:szCs w:val="24"/>
              </w:rPr>
              <w:t>S</w:t>
            </w:r>
            <w:r w:rsidR="00223320">
              <w:rPr>
                <w:rFonts w:asciiTheme="majorHAnsi" w:hAnsiTheme="majorHAnsi"/>
                <w:color w:val="000000"/>
                <w:sz w:val="24"/>
                <w:szCs w:val="24"/>
              </w:rPr>
              <w:t>iddhi Gawade</w:t>
            </w:r>
          </w:p>
        </w:tc>
      </w:tr>
      <w:tr w:rsidR="009B1007" w14:paraId="593BDAF9" w14:textId="77777777" w:rsidTr="00E329AF">
        <w:trPr>
          <w:trHeight w:val="316"/>
        </w:trPr>
        <w:tc>
          <w:tcPr>
            <w:tcW w:w="3068" w:type="dxa"/>
            <w:tcBorders>
              <w:top w:val="single" w:sz="6" w:space="0" w:color="000000"/>
              <w:left w:val="single" w:sz="6" w:space="0" w:color="000000"/>
              <w:bottom w:val="single" w:sz="6" w:space="0" w:color="000000"/>
              <w:right w:val="single" w:sz="6" w:space="0" w:color="000000"/>
            </w:tcBorders>
          </w:tcPr>
          <w:p w14:paraId="3078F405"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854" w:type="dxa"/>
            <w:tcBorders>
              <w:top w:val="single" w:sz="6" w:space="0" w:color="000000"/>
              <w:left w:val="single" w:sz="6" w:space="0" w:color="000000"/>
              <w:bottom w:val="single" w:sz="6" w:space="0" w:color="000000"/>
              <w:right w:val="single" w:sz="6" w:space="0" w:color="000000"/>
            </w:tcBorders>
          </w:tcPr>
          <w:p w14:paraId="2B36327E" w14:textId="493494B2" w:rsidR="009B1007" w:rsidRDefault="001F5E9C">
            <w:pPr>
              <w:spacing w:after="0" w:line="240" w:lineRule="auto"/>
              <w:rPr>
                <w:rFonts w:asciiTheme="majorHAnsi" w:hAnsiTheme="majorHAnsi"/>
                <w:sz w:val="24"/>
                <w:szCs w:val="24"/>
              </w:rPr>
            </w:pPr>
            <w:r>
              <w:rPr>
                <w:rFonts w:asciiTheme="majorHAnsi" w:hAnsiTheme="majorHAnsi"/>
                <w:sz w:val="24"/>
                <w:szCs w:val="24"/>
              </w:rPr>
              <w:t>2</w:t>
            </w:r>
            <w:r w:rsidR="008F6FCB">
              <w:rPr>
                <w:rFonts w:asciiTheme="majorHAnsi" w:hAnsiTheme="majorHAnsi"/>
                <w:sz w:val="24"/>
                <w:szCs w:val="24"/>
              </w:rPr>
              <w:t>4102A2001</w:t>
            </w:r>
          </w:p>
        </w:tc>
      </w:tr>
      <w:tr w:rsidR="009F238A" w14:paraId="2085787A" w14:textId="77777777" w:rsidTr="00E329AF">
        <w:trPr>
          <w:trHeight w:val="695"/>
        </w:trPr>
        <w:tc>
          <w:tcPr>
            <w:tcW w:w="3068" w:type="dxa"/>
            <w:tcBorders>
              <w:top w:val="single" w:sz="6" w:space="0" w:color="000000"/>
              <w:left w:val="single" w:sz="6" w:space="0" w:color="000000"/>
              <w:bottom w:val="single" w:sz="6" w:space="0" w:color="000000"/>
              <w:right w:val="single" w:sz="6" w:space="0" w:color="000000"/>
            </w:tcBorders>
          </w:tcPr>
          <w:p w14:paraId="684C5C12"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547501AB"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854" w:type="dxa"/>
            <w:tcBorders>
              <w:top w:val="single" w:sz="6" w:space="0" w:color="000000"/>
              <w:left w:val="single" w:sz="6" w:space="0" w:color="000000"/>
              <w:bottom w:val="single" w:sz="6" w:space="0" w:color="000000"/>
              <w:right w:val="single" w:sz="6" w:space="0" w:color="000000"/>
            </w:tcBorders>
          </w:tcPr>
          <w:p w14:paraId="27CDE2E0" w14:textId="77777777" w:rsidR="009F238A" w:rsidRDefault="009F238A">
            <w:pPr>
              <w:spacing w:after="0" w:line="240" w:lineRule="auto"/>
              <w:rPr>
                <w:rFonts w:asciiTheme="majorHAnsi" w:hAnsiTheme="majorHAnsi"/>
                <w:sz w:val="24"/>
                <w:szCs w:val="24"/>
              </w:rPr>
            </w:pPr>
          </w:p>
        </w:tc>
      </w:tr>
    </w:tbl>
    <w:p w14:paraId="3B6BB6A3"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8222"/>
      </w:tblGrid>
      <w:tr w:rsidR="009B1007" w14:paraId="69802CDE"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2E4A6EA5" w14:textId="26BE0D44"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Number</w:t>
            </w:r>
          </w:p>
        </w:tc>
        <w:tc>
          <w:tcPr>
            <w:tcW w:w="8222" w:type="dxa"/>
            <w:tcBorders>
              <w:top w:val="single" w:sz="6" w:space="0" w:color="000000"/>
              <w:left w:val="single" w:sz="6" w:space="0" w:color="000000"/>
              <w:bottom w:val="single" w:sz="6" w:space="0" w:color="000000"/>
              <w:right w:val="single" w:sz="6" w:space="0" w:color="000000"/>
            </w:tcBorders>
          </w:tcPr>
          <w:p w14:paraId="78838B33" w14:textId="4872D899" w:rsidR="009B1007" w:rsidRDefault="00D82B6D">
            <w:pPr>
              <w:spacing w:after="0" w:line="240" w:lineRule="auto"/>
              <w:rPr>
                <w:rFonts w:asciiTheme="majorHAnsi" w:hAnsiTheme="majorHAnsi"/>
                <w:sz w:val="24"/>
                <w:szCs w:val="24"/>
              </w:rPr>
            </w:pPr>
            <w:r>
              <w:rPr>
                <w:rFonts w:asciiTheme="majorHAnsi" w:hAnsiTheme="majorHAnsi"/>
                <w:sz w:val="24"/>
                <w:szCs w:val="24"/>
              </w:rPr>
              <w:t>5</w:t>
            </w:r>
          </w:p>
        </w:tc>
      </w:tr>
      <w:tr w:rsidR="009B1007" w14:paraId="395DA8E2"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75463EE6" w14:textId="640FA3B2"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Title</w:t>
            </w:r>
          </w:p>
        </w:tc>
        <w:tc>
          <w:tcPr>
            <w:tcW w:w="8222" w:type="dxa"/>
            <w:tcBorders>
              <w:top w:val="single" w:sz="6" w:space="0" w:color="000000"/>
              <w:left w:val="single" w:sz="6" w:space="0" w:color="000000"/>
              <w:bottom w:val="single" w:sz="6" w:space="0" w:color="000000"/>
              <w:right w:val="single" w:sz="6" w:space="0" w:color="000000"/>
            </w:tcBorders>
          </w:tcPr>
          <w:p w14:paraId="0C726B25" w14:textId="77777777" w:rsidR="0081510B" w:rsidRPr="0081510B" w:rsidRDefault="0081510B" w:rsidP="0081510B">
            <w:pPr>
              <w:spacing w:after="0" w:line="240" w:lineRule="auto"/>
              <w:jc w:val="both"/>
              <w:rPr>
                <w:rFonts w:asciiTheme="majorHAnsi" w:hAnsiTheme="majorHAnsi"/>
                <w:sz w:val="24"/>
                <w:szCs w:val="24"/>
                <w:lang w:val="en-IN"/>
              </w:rPr>
            </w:pPr>
            <w:r w:rsidRPr="0081510B">
              <w:rPr>
                <w:rFonts w:asciiTheme="majorHAnsi" w:hAnsiTheme="majorHAnsi"/>
                <w:sz w:val="24"/>
                <w:szCs w:val="24"/>
                <w:lang w:val="en-IN"/>
              </w:rPr>
              <w:t>Feature Development with Branching: Implement the first core workflow of the Municipal Complaint Portal on a feature branch. Use add, commit, push, pull and logs. Raise a pull request, review changes and merge into the development branch.</w:t>
            </w:r>
          </w:p>
          <w:p w14:paraId="13EADBB8" w14:textId="77777777" w:rsidR="009B1007" w:rsidRDefault="0081510B" w:rsidP="0081510B">
            <w:pPr>
              <w:spacing w:after="0" w:line="240" w:lineRule="auto"/>
              <w:rPr>
                <w:rFonts w:asciiTheme="majorHAnsi" w:hAnsiTheme="majorHAnsi"/>
                <w:sz w:val="24"/>
                <w:szCs w:val="24"/>
                <w:lang w:val="en-IN"/>
              </w:rPr>
            </w:pPr>
            <w:r w:rsidRPr="0081510B">
              <w:rPr>
                <w:rFonts w:asciiTheme="majorHAnsi" w:hAnsiTheme="majorHAnsi"/>
                <w:sz w:val="24"/>
                <w:szCs w:val="24"/>
                <w:lang w:val="en-IN"/>
              </w:rPr>
              <w:t>Deliverable: Working feature 1, feature branch, pull request, review comments and merge evidence.</w:t>
            </w:r>
          </w:p>
          <w:p w14:paraId="22E8003B" w14:textId="1B512AFD" w:rsidR="006C49C7" w:rsidRDefault="006C49C7" w:rsidP="0081510B">
            <w:pPr>
              <w:spacing w:after="0" w:line="240" w:lineRule="auto"/>
              <w:rPr>
                <w:rFonts w:asciiTheme="majorHAnsi" w:hAnsiTheme="majorHAnsi"/>
                <w:sz w:val="24"/>
                <w:szCs w:val="24"/>
              </w:rPr>
            </w:pPr>
          </w:p>
        </w:tc>
      </w:tr>
      <w:tr w:rsidR="009B1007" w14:paraId="1E6CB567" w14:textId="77777777" w:rsidTr="00302CE1">
        <w:trPr>
          <w:trHeight w:val="3215"/>
        </w:trPr>
        <w:tc>
          <w:tcPr>
            <w:tcW w:w="9952" w:type="dxa"/>
            <w:gridSpan w:val="2"/>
            <w:tcBorders>
              <w:top w:val="single" w:sz="6" w:space="0" w:color="000000"/>
              <w:left w:val="single" w:sz="6" w:space="0" w:color="000000"/>
              <w:bottom w:val="single" w:sz="6" w:space="0" w:color="000000"/>
              <w:right w:val="single" w:sz="6" w:space="0" w:color="000000"/>
            </w:tcBorders>
          </w:tcPr>
          <w:p w14:paraId="023BC818" w14:textId="77777777" w:rsidR="004954B3" w:rsidRDefault="004954B3">
            <w:pPr>
              <w:shd w:val="clear" w:color="auto" w:fill="FFFFFF"/>
              <w:spacing w:after="80" w:line="240" w:lineRule="auto" w:before="80"/>
              <w:jc w:val="center"/>
              <w:rPr>
                <w:rFonts w:asciiTheme="majorHAnsi" w:hAnsiTheme="majorHAnsi"/>
                <w:color w:val="000000"/>
                <w:sz w:val="24"/>
                <w:szCs w:val="24"/>
                <w:lang w:val="en-IN"/>
              </w:rPr>
            </w:pPr>
            <w:r/>
            <w:r>
              <w:rPr>
                <w:rFonts w:ascii="Calibri" w:hAnsi="Calibri"/>
                <w:b/>
                <w:color w:val="1F497D"/>
                <w:sz w:val="28"/>
              </w:rPr>
              <w:t>TASK 5 REPORT: FEATURE DEVELOPMENT WITH BRANCHING AND GIT COLLABORATION</w:t>
            </w:r>
          </w:p>
          <w:p w14:paraId="6FC973CF" w14:textId="77777777" w:rsidR="004954B3" w:rsidRDefault="004954B3" w:rsidP="009603DB">
            <w:pPr>
              <w:shd w:val="clear" w:color="auto" w:fill="FFFFFF"/>
              <w:spacing w:after="0" w:line="240" w:lineRule="auto" w:before="0"/>
              <w:jc w:val="both"/>
              <w:rPr>
                <w:rFonts w:asciiTheme="majorHAnsi" w:hAnsiTheme="majorHAnsi"/>
                <w:color w:val="000000"/>
                <w:sz w:val="24"/>
                <w:szCs w:val="24"/>
                <w:lang w:val="en-IN"/>
              </w:rPr>
            </w:pPr>
            <w:r/>
          </w:p>
          <w:p>
            <w:pPr>
              <w:keepNext/>
              <w:spacing w:before="240" w:after="80"/>
            </w:pPr>
            <w:r>
              <w:rPr>
                <w:rFonts w:ascii="Calibri" w:hAnsi="Calibri"/>
                <w:b/>
                <w:color w:val="1F497D"/>
                <w:sz w:val="26"/>
              </w:rPr>
              <w:t>1. Overview of Core Feature 1: Complaint Registration &amp; Validation Engine</w:t>
            </w:r>
          </w:p>
          <w:p>
            <w:pPr>
              <w:spacing w:before="0" w:after="80" w:line="276" w:lineRule="auto"/>
              <w:jc w:val="both"/>
            </w:pPr>
            <w:r>
              <w:rPr>
                <w:rFonts w:ascii="Calibri" w:hAnsi="Calibri"/>
                <w:b/>
                <w:color w:val="222222"/>
                <w:sz w:val="22"/>
              </w:rPr>
              <w:t xml:space="preserve">Functional Scope: </w:t>
            </w:r>
            <w:r>
              <w:rPr>
                <w:rFonts w:ascii="Calibri" w:hAnsi="Calibri"/>
                <w:color w:val="333333"/>
                <w:sz w:val="22"/>
              </w:rPr>
              <w:t>In accordance with the 15-Task MVP roadmap, the first core functional workflow—Citizen Complaint Registration and Validation Engine—was implemented. This feature empowers citizens to report localized civic grievances across five predefined municipal categories while guaranteeing rigorous client- and server-side data sanitization, attachment integrity enforcement, deterministic token generation, and receipt production.</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3317"/>
              <w:gridCol w:w="3317"/>
              <w:gridCol w:w="3317"/>
            </w:tblGrid>
            <w:tr>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Component Class</w:t>
                  </w:r>
                </w:p>
              </w:tc>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Package / Location</w:t>
                  </w:r>
                </w:p>
              </w:tc>
              <w:tc>
                <w:tcPr>
                  <w:tcW w:type="dxa" w:w="5040"/>
                  <w:shd w:fill="1F497D"/>
                  <w:tcMar>
                    <w:top w:w="120" w:type="dxa"/>
                    <w:bottom w:w="120" w:type="dxa"/>
                    <w:left w:w="140" w:type="dxa"/>
                    <w:right w:w="140" w:type="dxa"/>
                  </w:tcMar>
                </w:tcPr>
                <w:p>
                  <w:pPr>
                    <w:spacing w:before="40" w:after="40"/>
                    <w:jc w:val="center"/>
                  </w:pPr>
                  <w:r>
                    <w:rPr>
                      <w:rFonts w:ascii="Calibri" w:hAnsi="Calibri"/>
                      <w:b/>
                      <w:color w:val="FFFFFF"/>
                      <w:sz w:val="20"/>
                    </w:rPr>
                    <w:t>Key Functionality &amp; Architectural Role</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CitizenSubmissionRequest</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com.municipal.portal.model</w:t>
                  </w:r>
                </w:p>
              </w:tc>
              <w:tc>
                <w:tcPr>
                  <w:tcW w:type="dxa" w:w="504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Encapsulates citizen input payload (name, contact, ward, category, description, attachment metadata) as a strongly typed Data Transfer Object (DTO).</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ComplaintRegistrationWorkflow</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com.municipal.portal.service</w:t>
                  </w:r>
                </w:p>
              </w:tc>
              <w:tc>
                <w:tcPr>
                  <w:tcW w:type="dxa" w:w="504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Orchestrates multi-stage validation, verifies file size (&lt; 5 MB) and extensions (.jpg, .png, .pdf), assigns deterministic tokens, and generates formatted citizen receipts.</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ComplaintRegistrationWorkflowTest</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com.municipal.portal (test)</w:t>
                  </w:r>
                </w:p>
              </w:tc>
              <w:tc>
                <w:tcPr>
                  <w:tcW w:type="dxa" w:w="504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Comprehensive JUnit 5 test suite with 6 test cases asserting successful submission, file size limits, extension sanitization, regex phone check, and receipt formatting.</w:t>
                  </w:r>
                </w:p>
              </w:tc>
            </w:tr>
          </w:tbl>
          <w:p/>
          <w:p>
            <w:pPr>
              <w:keepNext/>
              <w:spacing w:before="240" w:after="80"/>
            </w:pPr>
            <w:r>
              <w:rPr>
                <w:rFonts w:ascii="Calibri" w:hAnsi="Calibri"/>
                <w:b/>
                <w:color w:val="1F497D"/>
                <w:sz w:val="26"/>
              </w:rPr>
              <w:t>2. Feature Branch Creation and Isolation Strategy</w:t>
            </w:r>
          </w:p>
          <w:p>
            <w:pPr>
              <w:spacing w:before="0" w:after="80" w:line="276" w:lineRule="auto"/>
              <w:jc w:val="both"/>
            </w:pPr>
            <w:r>
              <w:rPr>
                <w:rFonts w:ascii="Calibri" w:hAnsi="Calibri"/>
                <w:b/>
                <w:color w:val="222222"/>
                <w:sz w:val="22"/>
              </w:rPr>
              <w:t xml:space="preserve">Branch Isolation: </w:t>
            </w:r>
            <w:r>
              <w:rPr>
                <w:rFonts w:ascii="Calibri" w:hAnsi="Calibri"/>
                <w:color w:val="333333"/>
                <w:sz w:val="22"/>
              </w:rPr>
              <w:t>In compliance with the GitFlow branching policy established in Task 4, developers do not commit directly to 'main' or 'dev'. A dedicated feature branch named 'feature/complaint-submission' was created and checked out from the 'dev' integration branch:</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Step 1: Synchronize with Dev: </w:t>
            </w:r>
            <w:r>
              <w:rPr>
                <w:rFonts w:ascii="Calibri" w:hAnsi="Calibri"/>
                <w:color w:val="333333"/>
                <w:sz w:val="22"/>
              </w:rPr>
              <w:t>git checkout dev &amp;&amp; git pull origin dev</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Step 2: Create Feature Branch: </w:t>
            </w:r>
            <w:r>
              <w:rPr>
                <w:rFonts w:ascii="Calibri" w:hAnsi="Calibri"/>
                <w:color w:val="333333"/>
                <w:sz w:val="22"/>
              </w:rPr>
              <w:t>git checkout -b feature/complaint-submission</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Step 3: Branch Verification: </w:t>
            </w:r>
            <w:r>
              <w:rPr>
                <w:rFonts w:ascii="Calibri" w:hAnsi="Calibri"/>
                <w:color w:val="333333"/>
                <w:sz w:val="22"/>
              </w:rPr>
              <w:t>Verified active branch via 'git branch -a' confirming '* feature/complaint-submission'.</w:t>
            </w:r>
          </w:p>
          <w:p>
            <w:pPr>
              <w:keepNext/>
              <w:spacing w:before="240" w:after="80"/>
            </w:pPr>
            <w:r>
              <w:rPr>
                <w:rFonts w:ascii="Calibri" w:hAnsi="Calibri"/>
                <w:b/>
                <w:color w:val="1F497D"/>
                <w:sz w:val="26"/>
              </w:rPr>
              <w:t>3. Implementation, Automated Testing, and Semantic Commit History</w:t>
            </w:r>
          </w:p>
          <w:p>
            <w:pPr>
              <w:spacing w:before="0" w:after="80" w:line="276" w:lineRule="auto"/>
              <w:jc w:val="both"/>
            </w:pPr>
            <w:r>
              <w:rPr>
                <w:rFonts w:ascii="Calibri" w:hAnsi="Calibri"/>
                <w:b/>
                <w:color w:val="222222"/>
                <w:sz w:val="22"/>
              </w:rPr>
              <w:t xml:space="preserve">Quality Gate Verification: </w:t>
            </w:r>
            <w:r>
              <w:rPr>
                <w:rFonts w:ascii="Calibri" w:hAnsi="Calibri"/>
                <w:color w:val="333333"/>
                <w:sz w:val="22"/>
              </w:rPr>
              <w:t>Before staging changes for version control, the feature was rigorously tested locally via the Maven test lifecycle. All 11 unit tests executed with zero failures, satisfying Tier 1 and Tier 2 of the Definition of Done.</w:t>
            </w:r>
          </w:p>
          <w:p>
            <w:pPr>
              <w:spacing w:before="0" w:after="80" w:line="276" w:lineRule="auto"/>
              <w:jc w:val="both"/>
            </w:pPr>
            <w:r>
              <w:rPr>
                <w:rFonts w:ascii="Calibri" w:hAnsi="Calibri"/>
                <w:b/>
                <w:color w:val="222222"/>
                <w:sz w:val="22"/>
              </w:rPr>
              <w:t xml:space="preserve">Maven Surefire Test Output: </w:t>
            </w:r>
            <w:r>
              <w:rPr>
                <w:rFonts w:ascii="Calibri" w:hAnsi="Calibri"/>
                <w:color w:val="333333"/>
                <w:sz w:val="22"/>
              </w:rPr>
              <w:t>$ mvn clean test</w:t>
              <w:br/>
              <w:t>[INFO] -------------------------------------------------------</w:t>
              <w:br/>
              <w:t>[INFO]  T E S T S</w:t>
              <w:br/>
              <w:t>[INFO] -------------------------------------------------------</w:t>
              <w:br/>
              <w:t>[INFO] Running com.municipal.portal.ComplaintRegistrationWorkflowTest</w:t>
              <w:br/>
              <w:t>[INFO] Tests run: 6, Failures: 0, Errors: 0, Skipped: 0, Time elapsed: 0.165 s</w:t>
              <w:br/>
              <w:t>[INFO] Running com.municipal.portal.ComplaintServiceTest</w:t>
              <w:br/>
              <w:t>[INFO] Tests run: 5, Failures: 0, Errors: 0, Skipped: 0, Time elapsed: 0.023 s</w:t>
              <w:br/>
              <w:t xml:space="preserve">[INFO] </w:t>
              <w:br/>
              <w:t>[INFO] Results:</w:t>
              <w:br/>
              <w:t>[INFO] Tests run: 11, Failures: 0, Errors: 0, Skipped: 0</w:t>
              <w:br/>
              <w:t>[INFO] BUILD SUCCESS (Total time: 12.175 s)</w:t>
            </w:r>
          </w:p>
          <w:p>
            <w:pPr>
              <w:keepNext/>
              <w:spacing w:before="160" w:after="60"/>
            </w:pPr>
            <w:r>
              <w:rPr>
                <w:rFonts w:ascii="Calibri" w:hAnsi="Calibri"/>
                <w:b/>
                <w:color w:val="2E5B82"/>
                <w:sz w:val="23"/>
              </w:rPr>
              <w:t>3.1 Feature Commit on Branch</w:t>
            </w:r>
          </w:p>
          <w:p>
            <w:pPr>
              <w:spacing w:before="0" w:after="80" w:line="276" w:lineRule="auto"/>
              <w:jc w:val="both"/>
            </w:pPr>
            <w:r>
              <w:rPr>
                <w:rFonts w:ascii="Calibri" w:hAnsi="Calibri"/>
                <w:b/>
                <w:color w:val="222222"/>
                <w:sz w:val="22"/>
              </w:rPr>
              <w:t xml:space="preserve">Git Commit Evidence: </w:t>
            </w:r>
            <w:r>
              <w:rPr>
                <w:rFonts w:ascii="Calibri" w:hAnsi="Calibri"/>
                <w:color w:val="333333"/>
                <w:sz w:val="22"/>
              </w:rPr>
              <w:t>Changes were staged and committed with a Conventional Commit message:</w:t>
              <w:br/>
              <w:t>$ git add src/</w:t>
              <w:br/>
              <w:t>$ git commit -m "feat(intake): implement citizen complaint registration and validation workflow"</w:t>
              <w:br/>
              <w:br/>
              <w:t>[feature/complaint-submission 8beb49d] feat(intake): implement citizen complaint registration and validation workflow</w:t>
              <w:br/>
              <w:t xml:space="preserve"> 3 files changed, 239 insertions(+)</w:t>
              <w:br/>
              <w:t xml:space="preserve"> create mode 100644 src/main/java/com/municipal/portal/model/CitizenSubmissionRequest.java</w:t>
              <w:br/>
              <w:t xml:space="preserve"> create mode 100644 src/main/java/com/municipal/portal/service/ComplaintRegistrationWorkflow.java</w:t>
              <w:br/>
              <w:t xml:space="preserve"> create mode 100644 src/test/java/com/municipal/portal/ComplaintRegistrationWorkflowTest.java</w:t>
            </w:r>
          </w:p>
          <w:p>
            <w:pPr>
              <w:keepNext/>
              <w:spacing w:before="240" w:after="80"/>
            </w:pPr>
            <w:r>
              <w:rPr>
                <w:rFonts w:ascii="Calibri" w:hAnsi="Calibri"/>
                <w:b/>
                <w:color w:val="1F497D"/>
                <w:sz w:val="26"/>
              </w:rPr>
              <w:t>4. Remote Push and Pull Request (PR) Lifecycle</w:t>
            </w:r>
          </w:p>
          <w:p>
            <w:pPr>
              <w:spacing w:before="0" w:after="80" w:line="276" w:lineRule="auto"/>
              <w:jc w:val="both"/>
            </w:pPr>
            <w:r>
              <w:rPr>
                <w:rFonts w:ascii="Calibri" w:hAnsi="Calibri"/>
                <w:b/>
                <w:color w:val="222222"/>
                <w:sz w:val="22"/>
              </w:rPr>
              <w:t xml:space="preserve">Push Execution: </w:t>
            </w:r>
            <w:r>
              <w:rPr>
                <w:rFonts w:ascii="Calibri" w:hAnsi="Calibri"/>
                <w:color w:val="333333"/>
                <w:sz w:val="22"/>
              </w:rPr>
              <w:t>The feature branch was published to the upstream GitHub remote repository to initiate the collaborative Pull Request process:</w:t>
              <w:br/>
              <w:t>$ git push -u origin feature/complaint-submission</w:t>
              <w:br/>
              <w:t>To https://github.com/SiddhiGawade/municipal-complaint-portal-cicd.git</w:t>
              <w:br/>
              <w:t xml:space="preserve"> * [new branch]      feature/complaint-submission -&gt; feature/complaint-submission</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3317"/>
              <w:gridCol w:w="3317"/>
              <w:gridCol w:w="3317"/>
            </w:tblGrid>
            <w:tr>
              <w:tc>
                <w:tcPr>
                  <w:tcW w:type="dxa" w:w="2304"/>
                  <w:shd w:fill="1F497D"/>
                  <w:tcMar>
                    <w:top w:w="120" w:type="dxa"/>
                    <w:bottom w:w="120" w:type="dxa"/>
                    <w:left w:w="140" w:type="dxa"/>
                    <w:right w:w="140" w:type="dxa"/>
                  </w:tcMar>
                </w:tcPr>
                <w:p>
                  <w:pPr>
                    <w:spacing w:before="40" w:after="40"/>
                    <w:jc w:val="center"/>
                  </w:pPr>
                  <w:r>
                    <w:rPr>
                      <w:rFonts w:ascii="Calibri" w:hAnsi="Calibri"/>
                      <w:b/>
                      <w:color w:val="FFFFFF"/>
                      <w:sz w:val="20"/>
                    </w:rPr>
                    <w:t>Pull Request Property</w:t>
                  </w:r>
                </w:p>
              </w:tc>
              <w:tc>
                <w:tcPr>
                  <w:tcW w:type="dxa" w:w="4032"/>
                  <w:shd w:fill="1F497D"/>
                  <w:tcMar>
                    <w:top w:w="120" w:type="dxa"/>
                    <w:bottom w:w="120" w:type="dxa"/>
                    <w:left w:w="140" w:type="dxa"/>
                    <w:right w:w="140" w:type="dxa"/>
                  </w:tcMar>
                </w:tcPr>
                <w:p>
                  <w:pPr>
                    <w:spacing w:before="40" w:after="40"/>
                    <w:jc w:val="center"/>
                  </w:pPr>
                  <w:r>
                    <w:rPr>
                      <w:rFonts w:ascii="Calibri" w:hAnsi="Calibri"/>
                      <w:b/>
                      <w:color w:val="FFFFFF"/>
                      <w:sz w:val="20"/>
                    </w:rPr>
                    <w:t>Specification / Value</w:t>
                  </w:r>
                </w:p>
              </w:tc>
              <w:tc>
                <w:tcPr>
                  <w:tcW w:type="dxa" w:w="3888"/>
                  <w:shd w:fill="1F497D"/>
                  <w:tcMar>
                    <w:top w:w="120" w:type="dxa"/>
                    <w:bottom w:w="120" w:type="dxa"/>
                    <w:left w:w="140" w:type="dxa"/>
                    <w:right w:w="140" w:type="dxa"/>
                  </w:tcMar>
                </w:tcPr>
                <w:p>
                  <w:pPr>
                    <w:spacing w:before="40" w:after="40"/>
                    <w:jc w:val="center"/>
                  </w:pPr>
                  <w:r>
                    <w:rPr>
                      <w:rFonts w:ascii="Calibri" w:hAnsi="Calibri"/>
                      <w:b/>
                      <w:color w:val="FFFFFF"/>
                      <w:sz w:val="20"/>
                    </w:rPr>
                    <w:t>Reviewer Assessment</w:t>
                  </w:r>
                </w:p>
              </w:tc>
            </w:tr>
            <w:tr>
              <w:tc>
                <w:tcPr>
                  <w:tcW w:type="dxa" w:w="230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PR Number &amp; Title</w:t>
                  </w:r>
                </w:p>
              </w:tc>
              <w:tc>
                <w:tcPr>
                  <w:tcW w:type="dxa" w:w="403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PR #1: feat(intake): Citizen Complaint Registration &amp; Validation Engine</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Identifies core functional scope in accordance with MoSCoW PBI-01.</w:t>
                  </w:r>
                </w:p>
              </w:tc>
            </w:tr>
            <w:tr>
              <w:tc>
                <w:tcPr>
                  <w:tcW w:type="dxa" w:w="230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Base &amp; Compare Branches</w:t>
                  </w:r>
                </w:p>
              </w:tc>
              <w:tc>
                <w:tcPr>
                  <w:tcW w:type="dxa" w:w="403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Base: dev  &lt;---  Compare: feature/complaint-submission</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Enforces GitFlow integration without contaminating the main release branch.</w:t>
                  </w:r>
                </w:p>
              </w:tc>
            </w:tr>
            <w:tr>
              <w:tc>
                <w:tcPr>
                  <w:tcW w:type="dxa" w:w="230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Files Changed &amp; Diff</w:t>
                  </w:r>
                </w:p>
              </w:tc>
              <w:tc>
                <w:tcPr>
                  <w:tcW w:type="dxa" w:w="403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3 files changed (+239 lines)</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CitizenSubmissionRequest.java, ComplaintRegistrationWorkflow.java, Tests.</w:t>
                  </w:r>
                </w:p>
              </w:tc>
            </w:tr>
            <w:tr>
              <w:tc>
                <w:tcPr>
                  <w:tcW w:type="dxa" w:w="230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Automated Test Gate</w:t>
                  </w:r>
                </w:p>
              </w:tc>
              <w:tc>
                <w:tcPr>
                  <w:tcW w:type="dxa" w:w="403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11 Passed / 0 Failed (100% Pass Rate)</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Verified via local Maven Surefire and pre-merge build validation.</w:t>
                  </w:r>
                </w:p>
              </w:tc>
            </w:tr>
          </w:tbl>
          <w:p/>
          <w:p>
            <w:pPr>
              <w:keepNext/>
              <w:spacing w:before="160" w:after="60"/>
            </w:pPr>
            <w:r>
              <w:rPr>
                <w:rFonts w:ascii="Calibri" w:hAnsi="Calibri"/>
                <w:b/>
                <w:color w:val="2E5B82"/>
                <w:sz w:val="23"/>
              </w:rPr>
              <w:t>4.1 Peer Code Review Comments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Lead Municipal Architect Review: </w:t>
            </w:r>
            <w:r>
              <w:rPr>
                <w:rFonts w:ascii="Calibri" w:hAnsi="Calibri"/>
                <w:color w:val="333333"/>
                <w:sz w:val="22"/>
              </w:rPr>
              <w:t>"Approved: The input validation engine adheres to anti-XSS guidelines. The attachment size restriction (5 MB) and MIME extension filtering (.jpg, .png, .pdf) effectively mitigate server resource exhaustion risks. The token format 'CMP-2026-XXXX' is deterministic and auditable."</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DevOps QA Reviewer Review: </w:t>
            </w:r>
            <w:r>
              <w:rPr>
                <w:rFonts w:ascii="Calibri" w:hAnsi="Calibri"/>
                <w:color w:val="333333"/>
                <w:sz w:val="22"/>
              </w:rPr>
              <w:t>"Approved: Verified that all 11 unit test assertions execute cleanly with zero failures. Receipt generation produces expected metadata for citizen verification. Ready for merge into dev."</w:t>
            </w:r>
          </w:p>
          <w:p>
            <w:pPr>
              <w:keepNext/>
              <w:spacing w:before="240" w:after="80"/>
            </w:pPr>
            <w:r>
              <w:rPr>
                <w:rFonts w:ascii="Calibri" w:hAnsi="Calibri"/>
                <w:b/>
                <w:color w:val="1F497D"/>
                <w:sz w:val="26"/>
              </w:rPr>
              <w:t>5. Pull Request Merge and Git Graph Evidence</w:t>
            </w:r>
          </w:p>
          <w:p>
            <w:pPr>
              <w:spacing w:before="0" w:after="80" w:line="276" w:lineRule="auto"/>
              <w:jc w:val="both"/>
            </w:pPr>
            <w:r>
              <w:rPr>
                <w:rFonts w:ascii="Calibri" w:hAnsi="Calibri"/>
                <w:b/>
                <w:color w:val="222222"/>
                <w:sz w:val="22"/>
              </w:rPr>
              <w:t xml:space="preserve">Merge Execution: </w:t>
            </w:r>
            <w:r>
              <w:rPr>
                <w:rFonts w:ascii="Calibri" w:hAnsi="Calibri"/>
                <w:color w:val="333333"/>
                <w:sz w:val="22"/>
              </w:rPr>
              <w:t>Following review approvals, the feature branch was integrated into 'dev' using a non-fast-forward merge (--no-ff) to retain the explicit merge commit node and preserve branch history:</w:t>
            </w:r>
          </w:p>
          <w:p>
            <w:pPr>
              <w:spacing w:before="0" w:after="80" w:line="276" w:lineRule="auto"/>
              <w:jc w:val="both"/>
            </w:pPr>
            <w:r>
              <w:rPr>
                <w:rFonts w:ascii="Calibri" w:hAnsi="Calibri"/>
                <w:b/>
                <w:color w:val="222222"/>
                <w:sz w:val="22"/>
              </w:rPr>
              <w:t xml:space="preserve">Terminal Log: </w:t>
            </w:r>
            <w:r>
              <w:rPr>
                <w:rFonts w:ascii="Calibri" w:hAnsi="Calibri"/>
                <w:color w:val="333333"/>
                <w:sz w:val="22"/>
              </w:rPr>
              <w:t>$ git checkout dev</w:t>
              <w:br/>
              <w:t>$ git pull origin dev</w:t>
              <w:br/>
              <w:t>$ git merge --no-ff feature/complaint-submission -m "Merge pull request #1 from feature/complaint-submission into dev"</w:t>
              <w:br/>
              <w:t>Merge made by the 'ort' strategy.</w:t>
              <w:br/>
              <w:t xml:space="preserve"> 3 files changed, 239 insertions(+)</w:t>
              <w:br/>
              <w:t>$ git push origin dev</w:t>
              <w:br/>
              <w:t>To https://github.com/SiddhiGawade/municipal-complaint-portal-cicd.git</w:t>
              <w:br/>
              <w:t xml:space="preserve">   74bda89..183f3f3  dev -&gt; dev</w:t>
            </w:r>
          </w:p>
          <w:p>
            <w:pPr>
              <w:keepNext/>
              <w:spacing w:before="160" w:after="60"/>
            </w:pPr>
            <w:r>
              <w:rPr>
                <w:rFonts w:ascii="Calibri" w:hAnsi="Calibri"/>
                <w:b/>
                <w:color w:val="2E5B82"/>
                <w:sz w:val="23"/>
              </w:rPr>
              <w:t>5.1 Verified Git Graph Visualization</w:t>
            </w:r>
          </w:p>
          <w:p>
            <w:pPr>
              <w:spacing w:before="0" w:after="80" w:line="276" w:lineRule="auto"/>
              <w:jc w:val="both"/>
            </w:pPr>
            <w:r>
              <w:rPr>
                <w:rFonts w:ascii="Calibri" w:hAnsi="Calibri"/>
                <w:b/>
                <w:color w:val="222222"/>
                <w:sz w:val="22"/>
              </w:rPr>
              <w:t xml:space="preserve">Commit Graph Evidence: </w:t>
            </w:r>
            <w:r>
              <w:rPr>
                <w:rFonts w:ascii="Calibri" w:hAnsi="Calibri"/>
                <w:color w:val="333333"/>
                <w:sz w:val="22"/>
              </w:rPr>
              <w:t>Inspection of the Git graph confirms the non-fast-forward merge node (183f3f3) integrating feature branch (8beb49d) into 'dev':</w:t>
              <w:br/>
              <w:br/>
              <w:t>$ git log --graph --oneline -n 6</w:t>
              <w:br/>
              <w:t>*   183f3f3 Merge pull request #1 from feature/complaint-submission into dev</w:t>
              <w:br/>
              <w:t xml:space="preserve">|\  </w:t>
              <w:br/>
              <w:t>| * 8beb49d feat(intake): implement citizen complaint registration and validation workflow</w:t>
              <w:br/>
              <w:t xml:space="preserve">|/  </w:t>
              <w:br/>
              <w:t>* 74bda89 docs: update README with architecture, REST APIs, and setup guide</w:t>
              <w:br/>
              <w:t>* 72d7b54 feat(core): initialize application skeleton with Maven, domain models, and JUnit 5 tests</w:t>
              <w:br/>
              <w:t>* c865acf chore(scm): add .gitignore, issue templates, and branching policy</w:t>
              <w:br/>
              <w:t>* f589ce4 docs: add project README and tasks documentation for municipal complaint portal CI/CD pipeline</w:t>
            </w:r>
          </w:p>
        </w:tc>
      </w:tr>
      <w:tr w:rsidR="001C48C7" w14:paraId="5D174241"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4B77E4CB"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t>Conclusion:</w:t>
            </w:r>
          </w:p>
        </w:tc>
        <w:tc>
          <w:tcPr>
            <w:tcW w:w="8222" w:type="dxa"/>
            <w:tcBorders>
              <w:top w:val="single" w:sz="6" w:space="0" w:color="000000"/>
              <w:left w:val="single" w:sz="6" w:space="0" w:color="000000"/>
              <w:bottom w:val="single" w:sz="6" w:space="0" w:color="000000"/>
              <w:right w:val="single" w:sz="6" w:space="0" w:color="000000"/>
            </w:tcBorders>
          </w:tcPr>
          <w:p w14:paraId="77824ED5" w14:textId="77777777" w:rsidR="004954B3" w:rsidRDefault="004954B3" w:rsidP="009603DB">
            <w:pPr>
              <w:shd w:val="clear" w:color="auto" w:fill="FFFFFF"/>
              <w:spacing w:after="60" w:line="276" w:lineRule="auto" w:before="60"/>
              <w:jc w:val="both"/>
              <w:rPr>
                <w:rFonts w:asciiTheme="majorHAnsi" w:hAnsiTheme="majorHAnsi"/>
                <w:color w:val="000000"/>
                <w:sz w:val="24"/>
                <w:szCs w:val="24"/>
                <w:lang w:val="en-IN"/>
              </w:rPr>
            </w:pPr>
            <w:r/>
            <w:r>
              <w:rPr>
                <w:rFonts w:ascii="Calibri" w:hAnsi="Calibri"/>
                <w:color w:val="333333"/>
                <w:sz w:val="22"/>
              </w:rPr>
              <w:t>Task 5 successfully demonstrates professional feature development, branch isolation, and collaborative Git workflows for the Municipal Complaint Portal. Core Feature 1 (Citizen Complaint Registration and Validation Engine) was implemented on an isolated branch ('feature/complaint-submission'), incorporating strong DTO modeling, multi-layered data validation, 5 MB attachment limits, deterministic token assignment, and receipt generation. Local quality gates were satisfied with 100% unit test success across 11 test cases in Maven Surefire. The standard Git collaborative lifecycle—add, commit with Conventional Commits, push to remote GitHub origin, simulated Pull Request review comments, and non-fast-forward merge (--no-ff) into 'dev'—was executed and verified through git graph logs. This establishes the practical Git collaboration model required for Task 6 (MVP completion and merge conflict resolution).</w:t>
            </w:r>
          </w:p>
        </w:tc>
      </w:tr>
    </w:tbl>
    <w:p w14:paraId="6055A1A3" w14:textId="77777777" w:rsidR="009B1007" w:rsidRDefault="009B1007">
      <w:pPr>
        <w:spacing w:after="0" w:line="240" w:lineRule="auto"/>
      </w:pPr>
    </w:p>
    <w:sectPr w:rsidR="009B1007">
      <w:headerReference w:type="default" r:id="rId1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8751E" w14:textId="77777777" w:rsidR="008F56B8" w:rsidRDefault="008F56B8">
      <w:pPr>
        <w:spacing w:after="0" w:line="240" w:lineRule="auto"/>
      </w:pPr>
      <w:r>
        <w:separator/>
      </w:r>
    </w:p>
  </w:endnote>
  <w:endnote w:type="continuationSeparator" w:id="0">
    <w:p w14:paraId="6C7EDE43" w14:textId="77777777" w:rsidR="008F56B8" w:rsidRDefault="008F5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3F44C" w14:textId="77777777" w:rsidR="008F56B8" w:rsidRDefault="008F56B8">
      <w:pPr>
        <w:spacing w:after="0" w:line="240" w:lineRule="auto"/>
      </w:pPr>
      <w:r>
        <w:separator/>
      </w:r>
    </w:p>
  </w:footnote>
  <w:footnote w:type="continuationSeparator" w:id="0">
    <w:p w14:paraId="2DDF0CB9" w14:textId="77777777" w:rsidR="008F56B8" w:rsidRDefault="008F5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028BD"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2227D1B9"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042BA"/>
    <w:rsid w:val="000530E9"/>
    <w:rsid w:val="00096961"/>
    <w:rsid w:val="000B6D96"/>
    <w:rsid w:val="000C041D"/>
    <w:rsid w:val="000C099A"/>
    <w:rsid w:val="00117E45"/>
    <w:rsid w:val="001553D5"/>
    <w:rsid w:val="001C48C7"/>
    <w:rsid w:val="001D7303"/>
    <w:rsid w:val="001F5E9C"/>
    <w:rsid w:val="00223320"/>
    <w:rsid w:val="00244841"/>
    <w:rsid w:val="00262B2C"/>
    <w:rsid w:val="00292335"/>
    <w:rsid w:val="002A071E"/>
    <w:rsid w:val="002D4308"/>
    <w:rsid w:val="00302CE1"/>
    <w:rsid w:val="0032070A"/>
    <w:rsid w:val="00351455"/>
    <w:rsid w:val="00353E29"/>
    <w:rsid w:val="0035617E"/>
    <w:rsid w:val="003D53E0"/>
    <w:rsid w:val="0041276F"/>
    <w:rsid w:val="0045787B"/>
    <w:rsid w:val="004617E7"/>
    <w:rsid w:val="00477D43"/>
    <w:rsid w:val="004954B3"/>
    <w:rsid w:val="004D5CE0"/>
    <w:rsid w:val="004F3E86"/>
    <w:rsid w:val="0050241B"/>
    <w:rsid w:val="00516ACF"/>
    <w:rsid w:val="005A1E13"/>
    <w:rsid w:val="005C46D4"/>
    <w:rsid w:val="005D4250"/>
    <w:rsid w:val="005D6BE3"/>
    <w:rsid w:val="005E1276"/>
    <w:rsid w:val="00621979"/>
    <w:rsid w:val="00651B03"/>
    <w:rsid w:val="00654D14"/>
    <w:rsid w:val="00657971"/>
    <w:rsid w:val="0066555A"/>
    <w:rsid w:val="006A3C41"/>
    <w:rsid w:val="006B39A6"/>
    <w:rsid w:val="006C49C7"/>
    <w:rsid w:val="006C7070"/>
    <w:rsid w:val="007000CD"/>
    <w:rsid w:val="00707A3F"/>
    <w:rsid w:val="0075203E"/>
    <w:rsid w:val="00787574"/>
    <w:rsid w:val="007D58C9"/>
    <w:rsid w:val="0081510B"/>
    <w:rsid w:val="00844EAF"/>
    <w:rsid w:val="0084628A"/>
    <w:rsid w:val="008670A6"/>
    <w:rsid w:val="008817F2"/>
    <w:rsid w:val="008B0352"/>
    <w:rsid w:val="008B2F96"/>
    <w:rsid w:val="008F56B8"/>
    <w:rsid w:val="008F5BB7"/>
    <w:rsid w:val="008F6FCB"/>
    <w:rsid w:val="009531C6"/>
    <w:rsid w:val="009603DB"/>
    <w:rsid w:val="009B1007"/>
    <w:rsid w:val="009F238A"/>
    <w:rsid w:val="00A46C31"/>
    <w:rsid w:val="00AC48CB"/>
    <w:rsid w:val="00B2213C"/>
    <w:rsid w:val="00B4716E"/>
    <w:rsid w:val="00BC5BED"/>
    <w:rsid w:val="00C20263"/>
    <w:rsid w:val="00C61394"/>
    <w:rsid w:val="00C85BD0"/>
    <w:rsid w:val="00CA2E1E"/>
    <w:rsid w:val="00D206FA"/>
    <w:rsid w:val="00D24392"/>
    <w:rsid w:val="00D35A93"/>
    <w:rsid w:val="00D665C7"/>
    <w:rsid w:val="00D82B6D"/>
    <w:rsid w:val="00D83828"/>
    <w:rsid w:val="00DE043E"/>
    <w:rsid w:val="00DF0515"/>
    <w:rsid w:val="00DF0C80"/>
    <w:rsid w:val="00E008CA"/>
    <w:rsid w:val="00E2794D"/>
    <w:rsid w:val="00E329AF"/>
    <w:rsid w:val="00E47E4A"/>
    <w:rsid w:val="00EB242D"/>
    <w:rsid w:val="00F11C80"/>
    <w:rsid w:val="00F21266"/>
    <w:rsid w:val="00F44247"/>
    <w:rsid w:val="00F47C39"/>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EA7E4"/>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011766">
      <w:bodyDiv w:val="1"/>
      <w:marLeft w:val="0"/>
      <w:marRight w:val="0"/>
      <w:marTop w:val="0"/>
      <w:marBottom w:val="0"/>
      <w:divBdr>
        <w:top w:val="none" w:sz="0" w:space="0" w:color="auto"/>
        <w:left w:val="none" w:sz="0" w:space="0" w:color="auto"/>
        <w:bottom w:val="none" w:sz="0" w:space="0" w:color="auto"/>
        <w:right w:val="none" w:sz="0" w:space="0" w:color="auto"/>
      </w:divBdr>
    </w:div>
    <w:div w:id="1461068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88</Words>
  <Characters>503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Siddhi Gawade</cp:lastModifiedBy>
  <cp:revision>16</cp:revision>
  <cp:lastPrinted>2026-09-22T09:44:00Z</cp:lastPrinted>
  <dcterms:created xsi:type="dcterms:W3CDTF">2026-09-29T09:18:00Z</dcterms:created>
  <dcterms:modified xsi:type="dcterms:W3CDTF">2026-10-13T09:25:00Z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