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5ed27fc40a3412c" /><Relationship Type="http://schemas.openxmlformats.org/package/2006/relationships/metadata/core-properties" Target="/docProps/core.xml" Id="R0054d13fb19540e3" /><Relationship Type="http://schemas.openxmlformats.org/officeDocument/2006/relationships/extended-properties" Target="/docProps/app.xml" Id="R827aee1c0e914372" /><Relationship Type="http://schemas.openxmlformats.org/officeDocument/2006/relationships/custom-properties" Target="/docProps/custom.xml" Id="R76e811f2be32446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AI-Powered Customer Churn &amp; Retention Analytics</w:t>
      </w:r>
    </w:p>
    <w:p w14:paraId="00100002" w14:textId="00100003">
      <w:pPr>
        <w:spacing w:after="120"/>
        <w:jc w:val="center"/>
      </w:pPr>
      <w:r>
        <w:rPr>
          <w:sz w:val="28"/>
        </w:rPr>
        <w:t xml:space="preserve">Project Report — Internship Data Analytics Programme</w:t>
      </w:r>
    </w:p>
    <w:p w14:paraId="00100004" w14:textId="00100005">
      <w:pPr>
        <w:spacing w:after="120"/>
        <w:jc w:val="center"/>
      </w:pPr>
      <w:r>
        <w:rPr>
          <w:sz w:val="24"/>
        </w:rPr>
        <w:t xml:space="preserve">Dataset: UK E-Commerce Retail Transactions (2014–2015)</w:t>
      </w:r>
    </w:p>
    <w:p w14:paraId="00100006" w14:textId="00100007">
      <w:pPr>
        <w:spacing w:after="120"/>
        <w:jc w:val="center"/>
      </w:pPr>
      <w:r>
        <w:rPr>
          <w:sz w:val="24"/>
        </w:rPr>
        <w:t xml:space="preserve">Masterclasses: MC1 (Data) · MC2 (EDA) · MC3 (Prediction)</w:t>
      </w:r>
    </w:p>
    <w:p w14:paraId="00100008" w14:textId="00100009">
      <w:pPr>
        <w:spacing w:after="480"/>
        <w:jc w:val="center"/>
      </w:pPr>
      <w:r>
        <w:rPr>
          <w:sz w:val="24"/>
        </w:rPr>
        <w:t xml:space="preserve">Status: Complete and Frozen</w:t>
      </w:r>
    </w:p>
    <w:p w14:paraId="0010000A" w14:textId="0010000B">
      <w:pPr>
        <w:pStyle w:val="Heading1"/>
        <w:spacing w:before="240" w:after="160"/>
      </w:pPr>
      <w:r>
        <w:rPr>
          <w:b/>
          <w:sz w:val="32"/>
        </w:rPr>
        <w:t xml:space="preserve">Abstract</w:t>
      </w:r>
    </w:p>
    <w:p w14:paraId="0010000C" w14:textId="0010000D">
      <w:pPr>
        <w:spacing w:after="240"/>
      </w:pPr>
      <w:r>
        <w:rPr>
          <w:sz w:val="22"/>
        </w:rPr>
        <w:t xml:space="preserve">This report documents an end-to-end customer churn analytics project for a UK-based e-commerce retailer. Using four raw CSV files covering 24 months of transaction data (2014–2015), the project builds a normalised data model, conducts exploratory data analysis, engineers RFM (Recency, Frequency, Monetary) features, constructs a leakage-safe binary churn target, and trains a Logistic Regression model to predict customer churn probability. The final dataset covers 5,052 eligible customers, of whom 1,892 (37.5%) churned during a defined 180-day prediction horizon. The primary Logistic Regression model achieves a test ROC-AUC of 0.6704 and catches 78.5% of actual churners (recall). All findings represent observed associations between purchase-behaviour features and churn outcomes; no causal claims are made.</w:t>
      </w:r>
    </w:p>
    <w:p w14:paraId="0010000E" w14:textId="0010000F">
      <w:pPr>
        <w:pStyle w:val="Heading1"/>
        <w:spacing w:before="240" w:after="160"/>
      </w:pPr>
      <w:r>
        <w:rPr>
          <w:b/>
          <w:sz w:val="32"/>
        </w:rPr>
        <w:t xml:space="preserve">1. Introduction</w:t>
      </w:r>
    </w:p>
    <w:p w14:paraId="00100010" w14:textId="00100011">
      <w:pPr>
        <w:spacing w:after="160"/>
      </w:pPr>
      <w:r>
        <w:rPr>
          <w:sz w:val="22"/>
        </w:rPr>
        <w:t xml:space="preserve">Customer churn — the phenomenon of customers ceasing to purchase from a business — represents a significant revenue risk, particularly where a small number of high-value customers account for a disproportionate share of total revenue. For the retailer in this study, wholesaler customers (13.1% of the customer base) generate 73.6% of total revenue, meaning that even modest churn among this segment can have an outsized financial impact.</w:t>
      </w:r>
    </w:p>
    <w:p w14:paraId="00100012" w14:textId="00100013">
      <w:pPr>
        <w:spacing w:after="240"/>
      </w:pPr>
      <w:r>
        <w:rPr>
          <w:sz w:val="22"/>
        </w:rPr>
        <w:t xml:space="preserve">This project applies a structured analytics and machine learning pipeline — data cleaning, exploratory analysis, feature engineering, model training, and risk segmentation — to identify customers at higher risk of not returning and to support proactive retention decisions. All analysis was performed on anonymised transaction data; no personal identifying information beyond an integer customer ID is present in the dataset.</w:t>
      </w:r>
    </w:p>
    <w:p w14:paraId="00100014" w14:textId="00100015">
      <w:pPr>
        <w:pStyle w:val="Heading1"/>
        <w:spacing w:before="240" w:after="160"/>
      </w:pPr>
      <w:r>
        <w:rPr>
          <w:b/>
          <w:sz w:val="32"/>
        </w:rPr>
        <w:t xml:space="preserve">2. Problem Statement</w:t>
      </w:r>
    </w:p>
    <w:p w14:paraId="00100016" w14:textId="00100017">
      <w:pPr>
        <w:spacing w:after="240"/>
      </w:pPr>
      <w:r>
        <w:rPr>
          <w:sz w:val="22"/>
        </w:rPr>
        <w:t xml:space="preserve">The retailer operates without a mechanism to identify which customers are at risk of not returning before they stop purchasing. Retention actions are therefore reactive rather than proactive. This project addresses that gap by building a data-driven churn scoring system that assigns each customer a predicted churn probability and places them into a risk tier, enabling the business to prioritise and target retention efforts.</w:t>
      </w:r>
    </w:p>
    <w:p w14:paraId="00100018" w14:textId="00100019">
      <w:pPr>
        <w:pStyle w:val="Heading1"/>
        <w:spacing w:before="240" w:after="160"/>
      </w:pPr>
      <w:r>
        <w:rPr>
          <w:b/>
          <w:sz w:val="32"/>
        </w:rPr>
        <w:t xml:space="preserve">3. Objectives</w:t>
      </w:r>
    </w:p>
    <w:p w14:paraId="0010001A" w14:textId="0010001B">
      <w:pPr>
        <w:spacing w:after="80"/>
      </w:pPr>
      <w:r>
        <w:rPr>
          <w:sz w:val="22"/>
        </w:rPr>
        <w:t xml:space="preserve">1. Clean and validate raw retail transaction data without modifying source files.</w:t>
      </w:r>
    </w:p>
    <w:p w14:paraId="0010001C" w14:textId="0010001D">
      <w:pPr>
        <w:spacing w:after="80"/>
      </w:pPr>
      <w:r>
        <w:rPr>
          <w:sz w:val="22"/>
        </w:rPr>
        <w:t xml:space="preserve">2. Build a normalised analytical data model (star schema) resolving the many-to-many join risk present in the raw files.</w:t>
      </w:r>
    </w:p>
    <w:p w14:paraId="0010001E" w14:textId="0010001F">
      <w:pPr>
        <w:spacing w:after="80"/>
      </w:pPr>
      <w:r>
        <w:rPr>
          <w:sz w:val="22"/>
        </w:rPr>
        <w:t xml:space="preserve">3. Conduct exploratory data analysis and derive five business insights, three hypotheses, and three recommendations.</w:t>
      </w:r>
    </w:p>
    <w:p w14:paraId="00100020" w14:textId="00100021">
      <w:pPr>
        <w:spacing w:after="80"/>
      </w:pPr>
      <w:r>
        <w:rPr>
          <w:sz w:val="22"/>
        </w:rPr>
        <w:t xml:space="preserve">4. Engineer RFM (Recency, Frequency, Monetary) features from a defined observation window.</w:t>
      </w:r>
    </w:p>
    <w:p w14:paraId="00100022" w14:textId="00100023">
      <w:pPr>
        <w:spacing w:after="80"/>
      </w:pPr>
      <w:r>
        <w:rPr>
          <w:sz w:val="22"/>
        </w:rPr>
        <w:t xml:space="preserve">5. Construct a leakage-safe binary churn target using a strict 180-day prediction horizon.</w:t>
      </w:r>
    </w:p>
    <w:p w14:paraId="00100024" w14:textId="00100025">
      <w:pPr>
        <w:spacing w:after="80"/>
      </w:pPr>
      <w:r>
        <w:rPr>
          <w:sz w:val="22"/>
        </w:rPr>
        <w:t xml:space="preserve">6. Train a Logistic Regression model to predict churn probability for each customer.</w:t>
      </w:r>
    </w:p>
    <w:p w14:paraId="00100026" w14:textId="00100027">
      <w:pPr>
        <w:spacing w:after="80"/>
      </w:pPr>
      <w:r>
        <w:rPr>
          <w:sz w:val="22"/>
        </w:rPr>
        <w:t xml:space="preserve">7. Segment all customers into High / Medium / Low risk tiers.</w:t>
      </w:r>
    </w:p>
    <w:p w14:paraId="00100028" w14:textId="00100029">
      <w:pPr>
        <w:spacing w:after="240"/>
      </w:pPr>
      <w:r>
        <w:rPr>
          <w:sz w:val="22"/>
        </w:rPr>
        <w:t xml:space="preserve">8. Quantify observation-window revenue associated with customers in each risk tier.</w:t>
      </w:r>
    </w:p>
    <w:p w14:paraId="0010002A" w14:textId="0010002B">
      <w:pPr>
        <w:pStyle w:val="Heading1"/>
        <w:spacing w:before="240" w:after="160"/>
      </w:pPr>
      <w:r>
        <w:rPr>
          <w:b/>
          <w:sz w:val="32"/>
        </w:rPr>
        <w:t xml:space="preserve">4. Dataset Description</w:t>
      </w:r>
    </w:p>
    <w:p w14:paraId="0010002C" w14:textId="0010002D">
      <w:pPr>
        <w:spacing w:after="160"/>
      </w:pPr>
      <w:r>
        <w:rPr>
          <w:sz w:val="22"/>
        </w:rPr>
        <w:t xml:space="preserve">The dataset consists of four CSV files provided as part of the internship programme (Dataset A), covering a UK-based e-commerce retailer from January 2014 to December 2015.</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E" w14:textId="0010002F">
            <w:r>
              <w:t xml:space="preserve">File</w:t>
            </w:r>
          </w:p>
        </w:tc>
        <w:tc>
          <w:p w14:paraId="00100030" w14:textId="00100031">
            <w:r>
              <w:t xml:space="preserve">Rows</w:t>
            </w:r>
          </w:p>
        </w:tc>
        <w:tc>
          <w:p w14:paraId="00100032" w14:textId="00100033">
            <w:r>
              <w:t xml:space="preserve">Key Columns</w:t>
            </w:r>
          </w:p>
        </w:tc>
      </w:tr>
      <w:tr>
        <w:trPr/>
        <w:tc>
          <w:p w14:paraId="00100034" w14:textId="00100035">
            <w:r>
              <w:t xml:space="preserve">customers.csv</w:t>
            </w:r>
          </w:p>
        </w:tc>
        <w:tc>
          <w:p w14:paraId="00100036" w14:textId="00100037">
            <w:r>
              <w:t xml:space="preserve">8,237</w:t>
            </w:r>
          </w:p>
        </w:tc>
        <w:tc>
          <w:p w14:paraId="00100038" w14:textId="00100039">
            <w:r>
              <w:t xml:space="preserve">CustomerID, customer_type</w:t>
            </w:r>
          </w:p>
        </w:tc>
      </w:tr>
      <w:tr>
        <w:trPr/>
        <w:tc>
          <w:p w14:paraId="0010003A" w14:textId="0010003B">
            <w:r>
              <w:t xml:space="preserve">purchases.csv</w:t>
            </w:r>
          </w:p>
        </w:tc>
        <w:tc>
          <w:p w14:paraId="0010003C" w14:textId="0010003D">
            <w:r>
              <w:t xml:space="preserve">436,689</w:t>
            </w:r>
          </w:p>
        </w:tc>
        <w:tc>
          <w:p w14:paraId="0010003E" w14:textId="0010003F">
            <w:r>
              <w:t xml:space="preserve">InvoiceID, date, CustomerID, product_id, quantity</w:t>
            </w:r>
          </w:p>
        </w:tc>
      </w:tr>
      <w:tr>
        <w:trPr/>
        <w:tc>
          <w:p w14:paraId="00100040" w14:textId="00100041">
            <w:r>
              <w:t xml:space="preserve">invoice_items.csv</w:t>
            </w:r>
          </w:p>
        </w:tc>
        <w:tc>
          <w:p w14:paraId="00100042" w14:textId="00100043">
            <w:r>
              <w:t xml:space="preserve">436,689</w:t>
            </w:r>
          </w:p>
        </w:tc>
        <w:tc>
          <w:p w14:paraId="00100044" w14:textId="00100045">
            <w:r>
              <w:t xml:space="preserve">InvoiceID, product_id, quantity, price, line_total</w:t>
            </w:r>
          </w:p>
        </w:tc>
      </w:tr>
      <w:tr>
        <w:trPr/>
        <w:tc>
          <w:p w14:paraId="00100046" w14:textId="00100047">
            <w:r>
              <w:t xml:space="preserve">products.csv</w:t>
            </w:r>
          </w:p>
        </w:tc>
        <w:tc>
          <w:p w14:paraId="00100048" w14:textId="00100049">
            <w:r>
              <w:t xml:space="preserve">4,033</w:t>
            </w:r>
          </w:p>
        </w:tc>
        <w:tc>
          <w:p w14:paraId="0010004A" w14:textId="0010004B">
            <w:r>
              <w:t xml:space="preserve">product_id, item, category, price</w:t>
            </w:r>
          </w:p>
        </w:tc>
      </w:tr>
    </w:tbl>
    <w:p w14:paraId="0010004C" w14:textId="0010004D">
      <w:pPr>
        <w:spacing w:before="160" w:after="240"/>
      </w:pPr>
      <w:r>
        <w:rPr>
          <w:sz w:val="22"/>
        </w:rPr>
        <w:t xml:space="preserve">The data covers 24 months, 8,237 unique customers, 33,499 invoices, 431,263 line items, 4,033 products across 25 categories, and total authoritative revenue of GBP9,307,314.40. Customer types: 7,161 private (86.9%) and 1,076 wholesaler (13.1%). The raw files in data/raw/ were never modified throughout the project.</w:t>
      </w:r>
    </w:p>
    <w:p w14:paraId="0010004E" w14:textId="0010004F">
      <w:pPr>
        <w:pStyle w:val="Heading1"/>
        <w:spacing w:before="240" w:after="160"/>
      </w:pPr>
      <w:r>
        <w:rPr>
          <w:b/>
          <w:sz w:val="32"/>
        </w:rPr>
        <w:t xml:space="preserve">5. Data Architecture</w:t>
      </w:r>
    </w:p>
    <w:p w14:paraId="00100050" w14:textId="00100051">
      <w:pPr>
        <w:spacing w:after="160"/>
      </w:pPr>
      <w:r>
        <w:rPr>
          <w:sz w:val="22"/>
        </w:rPr>
        <w:t xml:space="preserve">A critical data quality issue was identified during MC1: joining purchases.csv and invoice_items.csv at the row level on (InvoiceID, product_id) creates a many-to-many Cartesian product across 5,292 shared keys, inflating the row count by 2.65% and total revenue by GBP80,705 (+0.867%). This join is therefore never performed. Instead, a normalised star schema was built: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2" w14:textId="00100053">
            <w:r>
              <w:t xml:space="preserve">Table</w:t>
            </w:r>
          </w:p>
        </w:tc>
        <w:tc>
          <w:p w14:paraId="00100054" w14:textId="00100055">
            <w:r>
              <w:t xml:space="preserve">Grain</w:t>
            </w:r>
          </w:p>
        </w:tc>
        <w:tc>
          <w:p w14:paraId="00100056" w14:textId="00100057">
            <w:r>
              <w:t xml:space="preserve">Purpose</w:t>
            </w:r>
          </w:p>
        </w:tc>
      </w:tr>
      <w:tr>
        <w:trPr/>
        <w:tc>
          <w:p w14:paraId="00100058" w14:textId="00100059">
            <w:r>
              <w:t xml:space="preserve">dim_invoices</w:t>
            </w:r>
          </w:p>
        </w:tc>
        <w:tc>
          <w:p w14:paraId="0010005A" w14:textId="0010005B">
            <w:r>
              <w:t xml:space="preserve">One row per invoice</w:t>
            </w:r>
          </w:p>
        </w:tc>
        <w:tc>
          <w:p w14:paraId="0010005C" w14:textId="0010005D">
            <w:r>
              <w:t xml:space="preserve">Invoice date, CustomerID, revenue total</w:t>
            </w:r>
          </w:p>
        </w:tc>
      </w:tr>
      <w:tr>
        <w:trPr/>
        <w:tc>
          <w:p w14:paraId="0010005E" w14:textId="0010005F">
            <w:r>
              <w:t xml:space="preserve">dim_customers</w:t>
            </w:r>
          </w:p>
        </w:tc>
        <w:tc>
          <w:p w14:paraId="00100060" w14:textId="00100061">
            <w:r>
              <w:t xml:space="preserve">One row per customer</w:t>
            </w:r>
          </w:p>
        </w:tc>
        <w:tc>
          <w:p w14:paraId="00100062" w14:textId="00100063">
            <w:r>
              <w:t xml:space="preserve">Customer type (private / wholesaler)</w:t>
            </w:r>
          </w:p>
        </w:tc>
      </w:tr>
      <w:tr>
        <w:trPr/>
        <w:tc>
          <w:p w14:paraId="00100064" w14:textId="00100065">
            <w:r>
              <w:t xml:space="preserve">dim_products</w:t>
            </w:r>
          </w:p>
        </w:tc>
        <w:tc>
          <w:p w14:paraId="00100066" w14:textId="00100067">
            <w:r>
              <w:t xml:space="preserve">One row per product</w:t>
            </w:r>
          </w:p>
        </w:tc>
        <w:tc>
          <w:p w14:paraId="00100068" w14:textId="00100069">
            <w:r>
              <w:t xml:space="preserve">Product name, category, price</w:t>
            </w:r>
          </w:p>
        </w:tc>
      </w:tr>
      <w:tr>
        <w:trPr/>
        <w:tc>
          <w:p w14:paraId="0010006A" w14:textId="0010006B">
            <w:r>
              <w:t xml:space="preserve">fact_invoice_items</w:t>
            </w:r>
          </w:p>
        </w:tc>
        <w:tc>
          <w:p w14:paraId="0010006C" w14:textId="0010006D">
            <w:r>
              <w:t xml:space="preserve">One row per line item</w:t>
            </w:r>
          </w:p>
        </w:tc>
        <w:tc>
          <w:p w14:paraId="0010006E" w14:textId="0010006F">
            <w:r>
              <w:t xml:space="preserve">Authoritative revenue via line_total = quantity x price</w:t>
            </w:r>
          </w:p>
        </w:tc>
      </w:tr>
    </w:tbl>
    <w:p w14:paraId="00100070" w14:textId="00100071">
      <w:pPr>
        <w:spacing w:before="160" w:after="240"/>
      </w:pPr>
      <w:r>
        <w:rPr>
          <w:sz w:val="22"/>
        </w:rPr>
        <w:t xml:space="preserve">Authoritative revenue rule: all revenue figures use SUM(line_total) from fact_invoice_items or SUM(invoice_revenue) from dim_invoices. These two sources agree to GBP0.00. The incorrectly-joined transactions_clean.csv file is never used for any aggregation. All 19 data model integrity checks passed (NB03).</w:t>
      </w:r>
    </w:p>
    <w:p w14:paraId="00100072" w14:textId="00100073">
      <w:pPr>
        <w:pStyle w:val="Heading1"/>
        <w:spacing w:before="240" w:after="160"/>
      </w:pPr>
      <w:r>
        <w:rPr>
          <w:b/>
          <w:sz w:val="32"/>
        </w:rPr>
        <w:t xml:space="preserve">6. Data Cleaning and Preparation</w:t>
      </w:r>
    </w:p>
    <w:p w14:paraId="00100074" w14:textId="00100075">
      <w:pPr>
        <w:spacing w:after="120"/>
      </w:pPr>
      <w:r>
        <w:rPr>
          <w:sz w:val="22"/>
        </w:rPr>
        <w:t xml:space="preserve">Data cleaning was performed in notebooks/02_data_cleaning.ipynb using src/cleaning.py. Key steps:</w:t>
      </w:r>
    </w:p>
    <w:p w14:paraId="00100076" w14:textId="00100077">
      <w:pPr>
        <w:spacing w:after="80"/>
      </w:pPr>
      <w:r>
        <w:rPr>
          <w:sz w:val="22"/>
        </w:rPr>
        <w:t xml:space="preserve">- Date columns standardised to datetime64 format.</w:t>
      </w:r>
    </w:p>
    <w:p w14:paraId="00100078" w14:textId="00100079">
      <w:pPr>
        <w:spacing w:after="80"/>
      </w:pPr>
      <w:r>
        <w:rPr>
          <w:sz w:val="22"/>
        </w:rPr>
        <w:t xml:space="preserve">- 40 zero-price line items (0.009%) identified and excluded from all revenue aggregations.</w:t>
      </w:r>
    </w:p>
    <w:p w14:paraId="0010007A" w14:textId="0010007B">
      <w:pPr>
        <w:spacing w:after="80"/>
      </w:pPr>
      <w:r>
        <w:rPr>
          <w:sz w:val="22"/>
        </w:rPr>
        <w:t xml:space="preserve">- Negative-quantity cancellation rows identified.</w:t>
      </w:r>
    </w:p>
    <w:p w14:paraId="0010007C" w14:textId="0010007D">
      <w:pPr>
        <w:spacing w:after="80"/>
      </w:pPr>
      <w:r>
        <w:rPr>
          <w:sz w:val="22"/>
        </w:rPr>
        <w:t xml:space="preserve">- customer_type values standardised to 'private' / 'wholesaler'.</w:t>
      </w:r>
    </w:p>
    <w:p w14:paraId="0010007E" w14:textId="0010007F">
      <w:pPr>
        <w:spacing w:after="240"/>
      </w:pPr>
      <w:r>
        <w:rPr>
          <w:sz w:val="22"/>
        </w:rPr>
        <w:t xml:space="preserve">- Grain investigation confirmed that purchases.csv x invoice_items.csv row-level join is many-to-many; InvoiceID-level aggregation is the safe bridge. All cleaned outputs written to data/processed/.</w:t>
      </w:r>
    </w:p>
    <w:p w14:paraId="00100080" w14:textId="00100081">
      <w:pPr>
        <w:pStyle w:val="Heading1"/>
        <w:spacing w:before="240" w:after="160"/>
      </w:pPr>
      <w:r>
        <w:rPr>
          <w:b/>
          <w:sz w:val="32"/>
        </w:rPr>
        <w:t xml:space="preserve">7. Exploratory Data Analysis</w:t>
      </w:r>
    </w:p>
    <w:p w14:paraId="00100082" w14:textId="00100083">
      <w:pPr>
        <w:spacing w:after="160"/>
      </w:pPr>
      <w:r>
        <w:rPr>
          <w:sz w:val="22"/>
        </w:rPr>
        <w:t xml:space="preserve">EDA was performed in notebooks/04_exploratory_data_analysis.ipynb on the four normalised analytical tables. All revenue figures use SUM(line_total) from fact_invoice_items. Five final visualisations were produced: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4" w14:textId="00100085">
            <w:r>
              <w:t xml:space="preserve">Visualisation</w:t>
            </w:r>
          </w:p>
        </w:tc>
        <w:tc>
          <w:p w14:paraId="00100086" w14:textId="00100087">
            <w:r>
              <w:t xml:space="preserve">Key Finding</w:t>
            </w:r>
          </w:p>
        </w:tc>
      </w:tr>
      <w:tr>
        <w:trPr/>
        <w:tc>
          <w:p w14:paraId="00100088" w14:textId="00100089">
            <w:r>
              <w:t xml:space="preserve">VIZ 1 - Monthly Revenue Trend</w:t>
            </w:r>
          </w:p>
        </w:tc>
        <w:tc>
          <w:p w14:paraId="0010008A" w14:textId="0010008B">
            <w:r>
              <w:t xml:space="preserve">45x revenue step-change at December 2014; pre-Dec avg GBP15,615/month vs post-Dec avg GBP702,734/month</w:t>
            </w:r>
          </w:p>
        </w:tc>
      </w:tr>
      <w:tr>
        <w:trPr/>
        <w:tc>
          <w:p w14:paraId="0010008C" w14:textId="0010008D">
            <w:r>
              <w:t xml:space="preserve">VIZ 2 - Revenue by Product Category</w:t>
            </w:r>
          </w:p>
        </w:tc>
        <w:tc>
          <w:p w14:paraId="0010008E" w14:textId="0010008F">
            <w:r>
              <w:t xml:space="preserve">Top 3 categories (Kitchen &amp; Dining 24.2%, Home Decor 19.4%, Toys &amp; Games 9.4%) = 53.0% of total revenue</w:t>
            </w:r>
          </w:p>
        </w:tc>
      </w:tr>
      <w:tr>
        <w:trPr/>
        <w:tc>
          <w:p w14:paraId="00100090" w14:textId="00100091">
            <w:r>
              <w:t xml:space="preserve">VIZ 3 - Customer Behaviour by Segment</w:t>
            </w:r>
          </w:p>
        </w:tc>
        <w:tc>
          <w:p w14:paraId="00100092" w14:textId="00100093">
            <w:r>
              <w:t xml:space="preserve">Wholesalers (13.1% of customers) generate 73.6% of revenue at 18.5x the per-customer rate of private customers</w:t>
            </w:r>
          </w:p>
        </w:tc>
      </w:tr>
      <w:tr>
        <w:trPr/>
        <w:tc>
          <w:p w14:paraId="00100094" w14:textId="00100095">
            <w:r>
              <w:t xml:space="preserve">VIZ 4 - Top 15 Products by Revenue</w:t>
            </w:r>
          </w:p>
        </w:tc>
        <w:tc>
          <w:p w14:paraId="00100096" w14:textId="00100097">
            <w:r>
              <w:t xml:space="preserve">Top product ('paper craft, little birdie') accounts for GBP168,470; multiple top-15 items from Kitchen &amp; Dining and Home Decor</w:t>
            </w:r>
          </w:p>
        </w:tc>
      </w:tr>
      <w:tr>
        <w:trPr/>
        <w:tc>
          <w:p w14:paraId="00100098" w14:textId="00100099">
            <w:r>
              <w:t xml:space="preserve">VIZ 5 - Customer Revenue Distribution</w:t>
            </w:r>
          </w:p>
        </w:tc>
        <w:tc>
          <w:p w14:paraId="0010009A" w14:textId="0010009B">
            <w:r>
              <w:t xml:space="preserve">Top 10% of customers generate 70.3% of revenue; median GBP193, mean GBP1,130 (5.8x gap indicating extreme right-skew)</w:t>
            </w:r>
          </w:p>
        </w:tc>
      </w:tr>
    </w:tbl>
    <w:p w14:paraId="0010009C" w14:textId="0010009D">
      <w:pPr>
        <w:pStyle w:val="Heading1"/>
        <w:spacing w:before="240" w:after="160"/>
      </w:pPr>
      <w:r>
        <w:rPr>
          <w:b/>
          <w:sz w:val="32"/>
        </w:rPr>
        <w:t xml:space="preserve">8. Observations</w:t>
      </w:r>
    </w:p>
    <w:p w14:paraId="0010009E" w14:textId="0010009F">
      <w:pPr>
        <w:spacing w:after="160"/>
      </w:pPr>
      <w:r>
        <w:rPr>
          <w:sz w:val="22"/>
        </w:rPr>
        <w:t xml:space="preserve">Observations are directly measurable statements derived from the data, with no interpretive layer added.</w:t>
      </w:r>
    </w:p>
    <w:p w14:paraId="001000A0" w14:textId="001000A1">
      <w:pPr>
        <w:spacing w:after="120"/>
      </w:pPr>
      <w:r>
        <w:rPr>
          <w:sz w:val="22"/>
        </w:rPr>
        <w:t xml:space="preserve">Observation 1: Structural Revenue Regime Change at December 2014. Monthly revenue was stable between January 2014 and November 2014 (average GBP15,615/month). Beginning December 2014, it rose to GBP585,560 and maintained an elevated average of GBP702,734/month through 2015 - a 45x increase. The shift is simultaneous across revenue, invoice count, and active customers.</w:t>
      </w:r>
    </w:p>
    <w:p w14:paraId="001000A2" w14:textId="001000A3">
      <w:pPr>
        <w:spacing w:after="120"/>
      </w:pPr>
      <w:r>
        <w:rPr>
          <w:sz w:val="22"/>
        </w:rPr>
        <w:t xml:space="preserve">Observation 2: Revenue Is Concentrated in Three Product Categories. Kitchen &amp; Dining (24.2%), Home Decor (19.4%), and Toys &amp; Games (9.4%) account for 53.0% of total revenue from just 12% of the 25 total categories.</w:t>
      </w:r>
    </w:p>
    <w:p w14:paraId="001000A4" w14:textId="001000A5">
      <w:pPr>
        <w:spacing w:after="120"/>
      </w:pPr>
      <w:r>
        <w:rPr>
          <w:sz w:val="22"/>
        </w:rPr>
        <w:t xml:space="preserve">Observation 3: One in Five Customers Placed Only a Single Invoice. Of 8,237 unique customers, 1,843 (22.4%) placed exactly one invoice in the 24-month window. The median customer placed 3 invoices; 417 customers (5.1%) placed 10 or more.</w:t>
      </w:r>
    </w:p>
    <w:p w14:paraId="001000A6" w14:textId="001000A7">
      <w:pPr>
        <w:spacing w:after="120"/>
      </w:pPr>
      <w:r>
        <w:rPr>
          <w:sz w:val="22"/>
        </w:rPr>
        <w:t xml:space="preserve">Observation 4: Wholesalers Represent 13.1% of Customers but 73.6% of Revenue. The 1,076 wholesale customers generate GBP6,848,796 at an average of GBP6,365 per customer, versus GBP343 for private customers - an 18.5x differential.</w:t>
      </w:r>
    </w:p>
    <w:p w14:paraId="001000A8" w14:textId="001000A9">
      <w:pPr>
        <w:spacing w:after="240"/>
      </w:pPr>
      <w:r>
        <w:rPr>
          <w:sz w:val="22"/>
        </w:rPr>
        <w:t xml:space="preserve">Observation 5: Customer Revenue Is Highly Right-Skewed. The top 10% of customers generate 70.3% of total revenue. The bottom 50% generate only 4.3%. The median customer lifetime revenue is GBP193; the mean is GBP1,130.</w:t>
      </w:r>
    </w:p>
    <w:p w14:paraId="001000AA" w14:textId="001000AB">
      <w:pPr>
        <w:pStyle w:val="Heading1"/>
        <w:spacing w:before="240" w:after="160"/>
      </w:pPr>
      <w:r>
        <w:rPr>
          <w:b/>
          <w:sz w:val="32"/>
        </w:rPr>
        <w:t xml:space="preserve">9. Business Insights</w:t>
      </w:r>
    </w:p>
    <w:p w14:paraId="001000AC" w14:textId="001000AD">
      <w:pPr>
        <w:spacing w:after="160"/>
      </w:pPr>
      <w:r>
        <w:rPr>
          <w:sz w:val="22"/>
        </w:rPr>
        <w:t xml:space="preserve">Insights interpret the observations in terms of business significance. Each insight cites its source observation.</w:t>
      </w:r>
    </w:p>
    <w:p w14:paraId="001000AE" w14:textId="001000AF">
      <w:pPr>
        <w:spacing w:after="120"/>
      </w:pPr>
      <w:r>
        <w:rPr>
          <w:sz w:val="22"/>
        </w:rPr>
        <w:t xml:space="preserve">Insight 1 (from Observation 1): Two Revenue Regimes Require Separate Analytical Treatment. A single aggregate average across 24 months misrepresents both periods. Any churn observation window that crosses December 2014 blends features from structurally different customer behaviour environments. The observation and prediction windows for this project were therefore placed entirely within the post-December 2014 regime.</w:t>
      </w:r>
    </w:p>
    <w:p w14:paraId="001000B0" w14:textId="001000B1">
      <w:pPr>
        <w:spacing w:after="120"/>
      </w:pPr>
      <w:r>
        <w:rPr>
          <w:sz w:val="22"/>
        </w:rPr>
        <w:t xml:space="preserve">Insight 2 (from Observation 2): Three Categories Drive Half the Business. Inventory, retention, and promotional decisions in Kitchen &amp; Dining, Home Decor, and Toys &amp; Games carry outsized revenue impact. Category-level churn analysis would be a high-value future enhancement.</w:t>
      </w:r>
    </w:p>
    <w:p w14:paraId="001000B2" w14:textId="001000B3">
      <w:pPr>
        <w:spacing w:after="120"/>
      </w:pPr>
      <w:r>
        <w:rPr>
          <w:sz w:val="22"/>
        </w:rPr>
        <w:t xml:space="preserve">Insight 3 (from Observation 3): The Single-Purchase Segment Represents a Measurable Retention Gap. Within the churn observation window (January-June 2015), 54.1% of customers ordered only once, and their observed churn rate is 46.5% - above the 37.5% population average.</w:t>
      </w:r>
    </w:p>
    <w:p w14:paraId="001000B4" w14:textId="001000B5">
      <w:pPr>
        <w:spacing w:after="120"/>
      </w:pPr>
      <w:r>
        <w:rPr>
          <w:sz w:val="22"/>
        </w:rPr>
        <w:t xml:space="preserve">Insight 4 (from Observation 4): Wholesalers Are the Single Highest-Risk Revenue Segment. Losing a single wholesaler at the mean revenue rate (GBP6,365) requires acquiring approximately 18.5 new private customers (mean GBP343) to compensate. Wholesale customer churn is a materially different and higher-priority revenue risk.</w:t>
      </w:r>
    </w:p>
    <w:p w14:paraId="001000B6" w14:textId="001000B7">
      <w:pPr>
        <w:spacing w:after="240"/>
      </w:pPr>
      <w:r>
        <w:rPr>
          <w:sz w:val="22"/>
        </w:rPr>
        <w:t xml:space="preserve">Insight 5 (from Observation 5): Standard Churn Count Understates Revenue Risk. A model that minimises the count of churned customers will undervalue retaining high-revenue customers. Retention interventions should be ranked by revenue-at-risk (churn probability times trailing revenue), not raw churn probability alone.</w:t>
      </w:r>
    </w:p>
    <w:p w14:paraId="001000B8" w14:textId="001000B9">
      <w:pPr>
        <w:pStyle w:val="Heading1"/>
        <w:spacing w:before="240" w:after="160"/>
      </w:pPr>
      <w:r>
        <w:rPr>
          <w:b/>
          <w:sz w:val="32"/>
        </w:rPr>
        <w:t xml:space="preserve">10. Hypotheses</w:t>
      </w:r>
    </w:p>
    <w:p w14:paraId="001000BA" w14:textId="001000BB">
      <w:pPr>
        <w:spacing w:after="160"/>
      </w:pPr>
      <w:r>
        <w:rPr>
          <w:sz w:val="22"/>
        </w:rPr>
        <w:t xml:space="preserve">Hypotheses are presented as testable propositions with explicit hedging. They are not stated as established facts.</w:t>
      </w:r>
    </w:p>
    <w:p w14:paraId="001000BC" w14:textId="001000BD">
      <w:pPr>
        <w:spacing w:after="120"/>
      </w:pPr>
      <w:r>
        <w:rPr>
          <w:sz w:val="22"/>
        </w:rPr>
        <w:t xml:space="preserve">Hypothesis 1: The December 2014 Step-Change May Reflect a New Wholesale Channel. The simultaneous jump in revenue, invoice size, and customer count in December 2014 could indicate the onboarding of a new distribution arrangement or wholesale partnership. The wholesaler revenue share of 73.6% is consistent with this, but no channel attribution data is available to confirm it.</w:t>
      </w:r>
    </w:p>
    <w:p w14:paraId="001000BE" w14:textId="001000BF">
      <w:pPr>
        <w:spacing w:after="120"/>
      </w:pPr>
      <w:r>
        <w:rPr>
          <w:sz w:val="22"/>
        </w:rPr>
        <w:t xml:space="preserve">Hypothesis 2: Single-Invoice Customers Who Purchased in Early 2014 May Represent the Pre-Scale Churn Rate. Among the 1,843 single-invoice customers, those who purchased during January-November 2014 have had over a year to re-purchase and did not do so. This sub-group may represent the genuine one-time buyer rate, uncontaminated by timing effects for recent purchasers.</w:t>
      </w:r>
    </w:p>
    <w:p w14:paraId="001000C0" w14:textId="001000C1">
      <w:pPr>
        <w:spacing w:after="240"/>
      </w:pPr>
      <w:r>
        <w:rPr>
          <w:sz w:val="22"/>
        </w:rPr>
        <w:t xml:space="preserve">Hypothesis 3: The Top Revenue Decile May Be Almost Exclusively Composed of Wholesale Accounts. Wholesalers generate 73.6% of revenue from 13.1% of customers; the top 10% of customers generate 70.3% of revenue. The magnitude of both figures suggests the top decile and the wholesaler segment might largely overlap.</w:t>
      </w:r>
    </w:p>
    <w:p w14:paraId="001000C2" w14:textId="001000C3">
      <w:pPr>
        <w:pStyle w:val="Heading1"/>
        <w:spacing w:before="240" w:after="160"/>
      </w:pPr>
      <w:r>
        <w:rPr>
          <w:b/>
          <w:sz w:val="32"/>
        </w:rPr>
        <w:t xml:space="preserve">11. Recommendations</w:t>
      </w:r>
    </w:p>
    <w:p w14:paraId="001000C4" w14:textId="001000C5">
      <w:pPr>
        <w:spacing w:after="160"/>
      </w:pPr>
      <w:r>
        <w:rPr>
          <w:sz w:val="22"/>
        </w:rPr>
        <w:t xml:space="preserve">Recommendations follow directly from the insights listed above. Association language is used throughout; no causal claims are made.</w:t>
      </w:r>
    </w:p>
    <w:p w14:paraId="001000C6" w14:textId="001000C7">
      <w:pPr>
        <w:spacing w:after="120"/>
      </w:pPr>
      <w:r>
        <w:rPr>
          <w:sz w:val="22"/>
        </w:rPr>
        <w:t xml:space="preserve">Recommendation 1 (from Insight 1): Design the Churn Observation Window Within the Post-December 2014 Regime. The observation window was set to January-June 2015 (entirely post-regime-change) with a 180-day prediction horizon extending to December 2015. This ensures features describe customer behaviour in the same operating environment as the prediction window. This recommendation was implemented in MC3.</w:t>
      </w:r>
    </w:p>
    <w:p w14:paraId="001000C8" w14:textId="001000C9">
      <w:pPr>
        <w:spacing w:after="120"/>
      </w:pPr>
      <w:r>
        <w:rPr>
          <w:sz w:val="22"/>
        </w:rPr>
        <w:t xml:space="preserve">Recommendation 2 (from Insights 4 and 5): Rank Retention Interventions by Revenue-at-Risk, Not Raw Churn Count. The risk table includes Monetary (observation-window revenue) alongside Churn_Probability to support revenue-weighted prioritisation. Full revenue-at-risk scoring (churn_probability times trailing revenue) is recommended as a future enhancement.</w:t>
      </w:r>
    </w:p>
    <w:p w14:paraId="001000CA" w14:textId="001000CB">
      <w:pPr>
        <w:spacing w:after="240"/>
      </w:pPr>
      <w:r>
        <w:rPr>
          <w:sz w:val="22"/>
        </w:rPr>
        <w:t xml:space="preserve">Recommendation 3 (from Insight 3): Apply a Minimum Observation Time Filter in Future Iterations. Customers whose first purchase falls within 90 days of the observation window cut-off have limited purchasing history. In future model iterations, excluding these customers from the labelled training set would reduce label noise and improve calibration.</w:t>
      </w:r>
    </w:p>
    <w:p w14:paraId="001000CC" w14:textId="001000CD">
      <w:pPr>
        <w:pStyle w:val="Heading1"/>
        <w:spacing w:before="240" w:after="160"/>
      </w:pPr>
      <w:r>
        <w:rPr>
          <w:b/>
          <w:sz w:val="32"/>
        </w:rPr>
        <w:t xml:space="preserve">12. Customer-Level Feature Engineering</w:t>
      </w:r>
    </w:p>
    <w:p w14:paraId="001000CE" w14:textId="001000CF">
      <w:pPr>
        <w:spacing w:after="160"/>
      </w:pPr>
      <w:r>
        <w:rPr>
          <w:sz w:val="22"/>
        </w:rPr>
        <w:t xml:space="preserve">Feature engineering was performed in notebooks/05_customer_features_and_churn.ipynb. The churn dataset (customer_churn_dataset.csv) contains one row per customer with the following columns: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0" w14:textId="001000D1">
            <w:r>
              <w:t xml:space="preserve">Column</w:t>
            </w:r>
          </w:p>
        </w:tc>
        <w:tc>
          <w:p w14:paraId="001000D2" w14:textId="001000D3">
            <w:r>
              <w:t xml:space="preserve">Type</w:t>
            </w:r>
          </w:p>
        </w:tc>
        <w:tc>
          <w:p w14:paraId="001000D4" w14:textId="001000D5">
            <w:r>
              <w:t xml:space="preserve">Description</w:t>
            </w:r>
          </w:p>
        </w:tc>
      </w:tr>
      <w:tr>
        <w:trPr/>
        <w:tc>
          <w:p w14:paraId="001000D6" w14:textId="001000D7">
            <w:r>
              <w:t xml:space="preserve">Customer_ID</w:t>
            </w:r>
          </w:p>
        </w:tc>
        <w:tc>
          <w:p w14:paraId="001000D8" w14:textId="001000D9">
            <w:r>
              <w:t xml:space="preserve">int64</w:t>
            </w:r>
          </w:p>
        </w:tc>
        <w:tc>
          <w:p w14:paraId="001000DA" w14:textId="001000DB">
            <w:r>
              <w:t xml:space="preserve">Identifier — dropped before model training</w:t>
            </w:r>
          </w:p>
        </w:tc>
      </w:tr>
      <w:tr>
        <w:trPr/>
        <w:tc>
          <w:p w14:paraId="001000DC" w14:textId="001000DD">
            <w:r>
              <w:t xml:space="preserve">Recency</w:t>
            </w:r>
          </w:p>
        </w:tc>
        <w:tc>
          <w:p w14:paraId="001000DE" w14:textId="001000DF">
            <w:r>
              <w:t xml:space="preserve">int64</w:t>
            </w:r>
          </w:p>
        </w:tc>
        <w:tc>
          <w:p w14:paraId="001000E0" w14:textId="001000E1">
            <w:r>
              <w:t xml:space="preserve">Days since last purchase to OBS_END (2015-06-30)</w:t>
            </w:r>
          </w:p>
        </w:tc>
      </w:tr>
      <w:tr>
        <w:trPr/>
        <w:tc>
          <w:p w14:paraId="001000E2" w14:textId="001000E3">
            <w:r>
              <w:t xml:space="preserve">Frequency</w:t>
            </w:r>
          </w:p>
        </w:tc>
        <w:tc>
          <w:p w14:paraId="001000E4" w14:textId="001000E5">
            <w:r>
              <w:t xml:space="preserve">int64</w:t>
            </w:r>
          </w:p>
        </w:tc>
        <w:tc>
          <w:p w14:paraId="001000E6" w14:textId="001000E7">
            <w:r>
              <w:t xml:space="preserve">Count of distinct invoices in observation window</w:t>
            </w:r>
          </w:p>
        </w:tc>
      </w:tr>
      <w:tr>
        <w:trPr/>
        <w:tc>
          <w:p w14:paraId="001000E8" w14:textId="001000E9">
            <w:r>
              <w:t xml:space="preserve">Monetary</w:t>
            </w:r>
          </w:p>
        </w:tc>
        <w:tc>
          <w:p w14:paraId="001000EA" w14:textId="001000EB">
            <w:r>
              <w:t xml:space="preserve">float64</w:t>
            </w:r>
          </w:p>
        </w:tc>
        <w:tc>
          <w:p w14:paraId="001000EC" w14:textId="001000ED">
            <w:r>
              <w:t xml:space="preserve">Sum of invoice_revenue in observation window (GBP)</w:t>
            </w:r>
          </w:p>
        </w:tc>
      </w:tr>
      <w:tr>
        <w:trPr/>
        <w:tc>
          <w:p w14:paraId="001000EE" w14:textId="001000EF">
            <w:r>
              <w:t xml:space="preserve">Avg_Order_Value</w:t>
            </w:r>
          </w:p>
        </w:tc>
        <w:tc>
          <w:p w14:paraId="001000F0" w14:textId="001000F1">
            <w:r>
              <w:t xml:space="preserve">float64</w:t>
            </w:r>
          </w:p>
        </w:tc>
        <w:tc>
          <w:p w14:paraId="001000F2" w14:textId="001000F3">
            <w:r>
              <w:t xml:space="preserve">Monetary / Frequency</w:t>
            </w:r>
          </w:p>
        </w:tc>
      </w:tr>
      <w:tr>
        <w:trPr/>
        <w:tc>
          <w:p w14:paraId="001000F4" w14:textId="001000F5">
            <w:r>
              <w:t xml:space="preserve">customer_type</w:t>
            </w:r>
          </w:p>
        </w:tc>
        <w:tc>
          <w:p w14:paraId="001000F6" w14:textId="001000F7">
            <w:r>
              <w:t xml:space="preserve">str</w:t>
            </w:r>
          </w:p>
        </w:tc>
        <w:tc>
          <w:p w14:paraId="001000F8" w14:textId="001000F9">
            <w:r>
              <w:t xml:space="preserve">'private' or 'wholesaler'</w:t>
            </w:r>
          </w:p>
        </w:tc>
      </w:tr>
      <w:tr>
        <w:trPr/>
        <w:tc>
          <w:p w14:paraId="001000FA" w14:textId="001000FB">
            <w:r>
              <w:t xml:space="preserve">Churn_Status</w:t>
            </w:r>
          </w:p>
        </w:tc>
        <w:tc>
          <w:p w14:paraId="001000FC" w14:textId="001000FD">
            <w:r>
              <w:t xml:space="preserve">int64</w:t>
            </w:r>
          </w:p>
        </w:tc>
        <w:tc>
          <w:p w14:paraId="001000FE" w14:textId="001000FF">
            <w:r>
              <w:t xml:space="preserve">TARGET: 1 = churned, 0 = retained</w:t>
            </w:r>
          </w:p>
        </w:tc>
      </w:tr>
    </w:tbl>
    <w:p w14:paraId="00100100" w14:textId="00100101">
      <w:pPr>
        <w:spacing w:before="160" w:after="240"/>
      </w:pPr>
      <w:r>
        <w:rPr>
          <w:sz w:val="22"/>
        </w:rPr>
        <w:t xml:space="preserve">Note: Total_Revenue is an alias of Monetary and Order_Count is an alias of Frequency. Both aliases are dropped before model training to prevent collinearity. First_Purchase and Last_Purchase are date strings retained for reference and transformed into tenure_days for modelling.</w:t>
      </w:r>
    </w:p>
    <w:p w14:paraId="00100102" w14:textId="00100103">
      <w:pPr>
        <w:pStyle w:val="Heading1"/>
        <w:spacing w:before="240" w:after="160"/>
      </w:pPr>
      <w:r>
        <w:rPr>
          <w:b/>
          <w:sz w:val="32"/>
        </w:rPr>
        <w:t xml:space="preserve">13. RFM Analysis</w:t>
      </w:r>
    </w:p>
    <w:p w14:paraId="00100104" w14:textId="00100105">
      <w:pPr>
        <w:spacing w:after="160"/>
      </w:pPr>
      <w:r>
        <w:rPr>
          <w:sz w:val="22"/>
        </w:rPr>
        <w:t xml:space="preserve">RFM summary statistics (5,052 observation-window customers):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06" w14:textId="00100107">
            <w:r>
              <w:t xml:space="preserve">Feature</w:t>
            </w:r>
          </w:p>
        </w:tc>
        <w:tc>
          <w:p w14:paraId="00100108" w14:textId="00100109">
            <w:r>
              <w:t xml:space="preserve">Min</w:t>
            </w:r>
          </w:p>
        </w:tc>
        <w:tc>
          <w:p w14:paraId="0010010A" w14:textId="0010010B">
            <w:r>
              <w:t xml:space="preserve">Median</w:t>
            </w:r>
          </w:p>
        </w:tc>
        <w:tc>
          <w:p w14:paraId="0010010C" w14:textId="0010010D">
            <w:r>
              <w:t xml:space="preserve">Mean</w:t>
            </w:r>
          </w:p>
        </w:tc>
        <w:tc>
          <w:p w14:paraId="0010010E" w14:textId="0010010F">
            <w:r>
              <w:t xml:space="preserve">Max</w:t>
            </w:r>
          </w:p>
        </w:tc>
      </w:tr>
      <w:tr>
        <w:trPr/>
        <w:tc>
          <w:p w14:paraId="00100110" w14:textId="00100111">
            <w:r>
              <w:t xml:space="preserve">Recency (days)</w:t>
            </w:r>
          </w:p>
        </w:tc>
        <w:tc>
          <w:p w14:paraId="00100112" w14:textId="00100113">
            <w:r>
              <w:t xml:space="preserve">0</w:t>
            </w:r>
          </w:p>
        </w:tc>
        <w:tc>
          <w:p w14:paraId="00100114" w14:textId="00100115">
            <w:r>
              <w:t xml:space="preserve">56</w:t>
            </w:r>
          </w:p>
        </w:tc>
        <w:tc>
          <w:p w14:paraId="00100116" w14:textId="00100117">
            <w:r>
              <w:t xml:space="preserve">67.9</w:t>
            </w:r>
          </w:p>
        </w:tc>
        <w:tc>
          <w:p w14:paraId="00100118" w14:textId="00100119">
            <w:r>
              <w:t xml:space="preserve">180</w:t>
            </w:r>
          </w:p>
        </w:tc>
      </w:tr>
      <w:tr>
        <w:trPr/>
        <w:tc>
          <w:p w14:paraId="0010011A" w14:textId="0010011B">
            <w:r>
              <w:t xml:space="preserve">Frequency (orders)</w:t>
            </w:r>
          </w:p>
        </w:tc>
        <w:tc>
          <w:p w14:paraId="0010011C" w14:textId="0010011D">
            <w:r>
              <w:t xml:space="preserve">1</w:t>
            </w:r>
          </w:p>
        </w:tc>
        <w:tc>
          <w:p w14:paraId="0010011E" w14:textId="0010011F">
            <w:r>
              <w:t xml:space="preserve">1</w:t>
            </w:r>
          </w:p>
        </w:tc>
        <w:tc>
          <w:p w14:paraId="00100120" w14:textId="00100121">
            <w:r>
              <w:t xml:space="preserve">2.16</w:t>
            </w:r>
          </w:p>
        </w:tc>
        <w:tc>
          <w:p w14:paraId="00100122" w14:textId="00100123">
            <w:r>
              <w:t xml:space="preserve">67</w:t>
            </w:r>
          </w:p>
        </w:tc>
      </w:tr>
      <w:tr>
        <w:trPr/>
        <w:tc>
          <w:p w14:paraId="00100124" w14:textId="00100125">
            <w:r>
              <w:t xml:space="preserve">Monetary (GBP)</w:t>
            </w:r>
          </w:p>
        </w:tc>
        <w:tc>
          <w:p w14:paraId="00100126" w14:textId="00100127">
            <w:r>
              <w:t xml:space="preserve">2.19</w:t>
            </w:r>
          </w:p>
        </w:tc>
        <w:tc>
          <w:p w14:paraId="00100128" w14:textId="00100129">
            <w:r>
              <w:t xml:space="preserve">136.02</w:t>
            </w:r>
          </w:p>
        </w:tc>
        <w:tc>
          <w:p w14:paraId="0010012A" w14:textId="0010012B">
            <w:r>
              <w:t xml:space="preserve">699.01</w:t>
            </w:r>
          </w:p>
        </w:tc>
        <w:tc>
          <w:p w14:paraId="0010012C" w14:textId="0010012D">
            <w:r>
              <w:t xml:space="preserve">127,410.23</w:t>
            </w:r>
          </w:p>
        </w:tc>
      </w:tr>
      <w:tr>
        <w:trPr/>
        <w:tc>
          <w:p w14:paraId="0010012E" w14:textId="0010012F">
            <w:r>
              <w:t xml:space="preserve">Avg_Order_Value (GBP)</w:t>
            </w:r>
          </w:p>
        </w:tc>
        <w:tc>
          <w:p w14:paraId="00100130" w14:textId="00100131">
            <w:r>
              <w:t xml:space="preserve">2.19</w:t>
            </w:r>
          </w:p>
        </w:tc>
        <w:tc>
          <w:p w14:paraId="00100132" w14:textId="00100133">
            <w:r>
              <w:t xml:space="preserve">108.25</w:t>
            </w:r>
          </w:p>
        </w:tc>
        <w:tc>
          <w:p w14:paraId="00100134" w14:textId="00100135">
            <w:r>
              <w:t xml:space="preserve">238.81</w:t>
            </w:r>
          </w:p>
        </w:tc>
        <w:tc>
          <w:p w14:paraId="00100136" w14:textId="00100137">
            <w:r>
              <w:t xml:space="preserve">77,183.60</w:t>
            </w:r>
          </w:p>
        </w:tc>
      </w:tr>
    </w:tbl>
    <w:p w14:paraId="00100138" w14:textId="00100139">
      <w:pPr>
        <w:spacing w:before="160" w:after="240"/>
      </w:pPr>
      <w:r>
        <w:rPr>
          <w:sz w:val="22"/>
        </w:rPr>
        <w:t xml:space="preserve">Churn rate by frequency band: customers with only 1 order show a 46.5% churn rate; customers with 6-10 orders show 4.4%; customers with 11+ orders show 0.0%. Churn rate rises monotonically with recency: 27.0% for 0-30 days, 53.0% for 151-180 days. These patterns are consistent with RFM-based churn theory but represent associations in this dataset, not universal causal laws.</w:t>
      </w:r>
    </w:p>
    <w:p w14:paraId="0010013A" w14:textId="0010013B">
      <w:pPr>
        <w:pStyle w:val="Heading1"/>
        <w:spacing w:before="240" w:after="160"/>
      </w:pPr>
      <w:r>
        <w:rPr>
          <w:b/>
          <w:sz w:val="32"/>
        </w:rPr>
        <w:t xml:space="preserve">14. Churn Definition</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3C" w14:textId="0010013D">
            <w:r>
              <w:t xml:space="preserve">Parameter</w:t>
            </w:r>
          </w:p>
        </w:tc>
        <w:tc>
          <w:p w14:paraId="0010013E" w14:textId="0010013F">
            <w:r>
              <w:t xml:space="preserve">Value</w:t>
            </w:r>
          </w:p>
        </w:tc>
      </w:tr>
      <w:tr>
        <w:trPr/>
        <w:tc>
          <w:p w14:paraId="00100140" w14:textId="00100141">
            <w:r>
              <w:t xml:space="preserve">OBS_START</w:t>
            </w:r>
          </w:p>
        </w:tc>
        <w:tc>
          <w:p w14:paraId="00100142" w14:textId="00100143">
            <w:r>
              <w:t xml:space="preserve">2015-01-01</w:t>
            </w:r>
          </w:p>
        </w:tc>
      </w:tr>
      <w:tr>
        <w:trPr/>
        <w:tc>
          <w:p w14:paraId="00100144" w14:textId="00100145">
            <w:r>
              <w:t xml:space="preserve">OBS_END</w:t>
            </w:r>
          </w:p>
        </w:tc>
        <w:tc>
          <w:p w14:paraId="00100146" w14:textId="00100147">
            <w:r>
              <w:t xml:space="preserve">2015-06-30</w:t>
            </w:r>
          </w:p>
        </w:tc>
      </w:tr>
      <w:tr>
        <w:trPr/>
        <w:tc>
          <w:p w14:paraId="00100148" w14:textId="00100149">
            <w:r>
              <w:t xml:space="preserve">HORIZON_END (label cutoff)</w:t>
            </w:r>
          </w:p>
        </w:tc>
        <w:tc>
          <w:p w14:paraId="0010014A" w14:textId="0010014B">
            <w:r>
              <w:t xml:space="preserve">2015-12-27 (OBS_END + 180 days)</w:t>
            </w:r>
          </w:p>
        </w:tc>
      </w:tr>
      <w:tr>
        <w:trPr/>
        <w:tc>
          <w:p w14:paraId="0010014C" w14:textId="0010014D">
            <w:r>
              <w:t xml:space="preserve">PRED_END (data guard only)</w:t>
            </w:r>
          </w:p>
        </w:tc>
        <w:tc>
          <w:p w14:paraId="0010014E" w14:textId="0010014F">
            <w:r>
              <w:t xml:space="preserve">2015-12-30</w:t>
            </w:r>
          </w:p>
        </w:tc>
      </w:tr>
    </w:tbl>
    <w:p w14:paraId="00100150" w14:textId="00100151">
      <w:pPr>
        <w:spacing w:before="160" w:after="240"/>
      </w:pPr>
      <w:r>
        <w:rPr>
          <w:sz w:val="22"/>
        </w:rPr>
        <w:t xml:space="preserve">Label construction: HORIZON_END = OBS_END + 180 days = 2015-12-27. The prediction filter is: date &gt; OBS_END AND date &lt;= HORIZON_END. Churn_Status = 0 if the customer appears in this prediction window; Churn_Status = 1 if they do not. PRED_END (2015-12-30) is used only as a data availability guard, never as the label cutoff. The 3-day difference between HORIZON_END and PRED_END accounts for exactly 12 customers, confirmed by independent re-simulation. Result: 1,892 churned (37.5%), 3,160 retained (62.5%).</w:t>
      </w:r>
    </w:p>
    <w:p w14:paraId="00100152" w14:textId="00100153">
      <w:pPr>
        <w:pStyle w:val="Heading1"/>
        <w:spacing w:before="240" w:after="160"/>
      </w:pPr>
      <w:r>
        <w:rPr>
          <w:b/>
          <w:sz w:val="32"/>
        </w:rPr>
        <w:t xml:space="preserve">15. Leakage Prevention</w:t>
      </w:r>
    </w:p>
    <w:p w14:paraId="00100154" w14:textId="00100155">
      <w:pPr>
        <w:spacing w:after="160"/>
      </w:pPr>
      <w:r>
        <w:rPr>
          <w:sz w:val="22"/>
        </w:rPr>
        <w:t xml:space="preserve">All 10 automated leakage checks pass (NB05). Key guarantees:</w:t>
      </w:r>
    </w:p>
    <w:p w14:paraId="00100156" w14:textId="00100157">
      <w:pPr>
        <w:spacing w:after="80"/>
      </w:pPr>
      <w:r>
        <w:rPr>
          <w:sz w:val="22"/>
        </w:rPr>
        <w:t xml:space="preserve">- All features (Recency, Frequency, Monetary, Avg_Order_Value, tenure_days) are computed exclusively from invoices where date &lt;= OBS_END (2015-06-30).</w:t>
      </w:r>
    </w:p>
    <w:p w14:paraId="00100158" w14:textId="00100159">
      <w:pPr>
        <w:spacing w:after="80"/>
      </w:pPr>
      <w:r>
        <w:rPr>
          <w:sz w:val="22"/>
        </w:rPr>
        <w:t xml:space="preserve">- Churn_Status is not used to compute any feature; it is assigned after all features are computed.</w:t>
      </w:r>
    </w:p>
    <w:p w14:paraId="0010015A" w14:textId="0010015B">
      <w:pPr>
        <w:spacing w:after="80"/>
      </w:pPr>
      <w:r>
        <w:rPr>
          <w:sz w:val="22"/>
        </w:rPr>
        <w:t xml:space="preserve">- Customer_ID is an identifier only and is dropped before model training.</w:t>
      </w:r>
    </w:p>
    <w:p w14:paraId="0010015C" w14:textId="0010015D">
      <w:pPr>
        <w:spacing w:after="240"/>
      </w:pPr>
      <w:r>
        <w:rPr>
          <w:sz w:val="22"/>
        </w:rPr>
        <w:t xml:space="preserve">- The prediction window strictly satisfies date &gt; OBS_END AND date &lt;= HORIZON_END (2015-12-27), with hard assertions verifying no obs-window dates appear in the prediction filter and vice versa.</w:t>
      </w:r>
    </w:p>
    <w:p w14:paraId="0010015E" w14:textId="0010015F">
      <w:pPr>
        <w:pStyle w:val="Heading1"/>
        <w:spacing w:before="240" w:after="160"/>
      </w:pPr>
      <w:r>
        <w:rPr>
          <w:b/>
          <w:sz w:val="32"/>
        </w:rPr>
        <w:t xml:space="preserve">16. Machine Learning Methodology</w:t>
      </w:r>
    </w:p>
    <w:p w14:paraId="00100160" w14:textId="00100161">
      <w:pPr>
        <w:spacing w:after="160"/>
      </w:pPr>
      <w:r>
        <w:rPr>
          <w:sz w:val="22"/>
        </w:rPr>
        <w:t xml:space="preserve">Three sklearn Pipeline models were trained in notebooks/06_modelling.ipynb. Each pipeline wraps StandardScaler followed by the classifier. The split was 70% train (3,536 rows), 15% validation (758 rows), 15% test (758 rows), stratified by Churn_Status, random_state=42. Churn rate was preserved across all splits (37.44-37.47%).</w:t>
      </w:r>
    </w:p>
    <w:p w14:paraId="00100162" w14:textId="00100163">
      <w:pPr>
        <w:spacing w:after="240"/>
      </w:pPr>
      <w:r>
        <w:rPr>
          <w:sz w:val="22"/>
        </w:rPr>
        <w:t xml:space="preserve">Feature preprocessing: log1p transformation was applied to Monetary, Avg_Order_Value, and Frequency before scaling (skewness &gt;9 for all three). Recency was not log-transformed (skewness = 0.50). customer_type was binary-encoded as is_wholesaler (1 = wholesaler, 0 = private). First_Purchase and Last_Purchase were converted to tenure_days = (Last_Purchase - First_Purchase).days.</w:t>
      </w:r>
    </w:p>
    <w:p w14:paraId="00100164" w14:textId="00100165">
      <w:pPr>
        <w:pStyle w:val="Heading1"/>
        <w:spacing w:before="240" w:after="160"/>
      </w:pPr>
      <w:r>
        <w:rPr>
          <w:b/>
          <w:sz w:val="32"/>
        </w:rPr>
        <w:t xml:space="preserve">17. Logistic Regression (Primary Model)</w:t>
      </w:r>
    </w:p>
    <w:p w14:paraId="00100166" w14:textId="00100167">
      <w:pPr>
        <w:spacing w:after="160"/>
      </w:pPr>
      <w:r>
        <w:rPr>
          <w:sz w:val="22"/>
        </w:rPr>
        <w:t xml:space="preserve">Logistic Regression is the primary MC3 model. Random Forest (300 trees, max_depth=8) and XGBoost (400 trees, learning_rate=0.05) are included as comparison models only.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68" w14:textId="00100169">
            <w:r>
              <w:t xml:space="preserve">Feature</w:t>
            </w:r>
          </w:p>
        </w:tc>
        <w:tc>
          <w:p w14:paraId="0010016A" w14:textId="0010016B">
            <w:r>
              <w:t xml:space="preserve">Transformation</w:t>
            </w:r>
          </w:p>
        </w:tc>
        <w:tc>
          <w:p w14:paraId="0010016C" w14:textId="0010016D">
            <w:r>
              <w:t xml:space="preserve">Coefficient (log-odds per std-dev)</w:t>
            </w:r>
          </w:p>
        </w:tc>
      </w:tr>
      <w:tr>
        <w:trPr/>
        <w:tc>
          <w:p w14:paraId="0010016E" w14:textId="0010016F">
            <w:r>
              <w:t xml:space="preserve">is_wholesaler</w:t>
            </w:r>
          </w:p>
        </w:tc>
        <w:tc>
          <w:p w14:paraId="00100170" w14:textId="00100171">
            <w:r>
              <w:t xml:space="preserve">Binary</w:t>
            </w:r>
          </w:p>
        </w:tc>
        <w:tc>
          <w:p w14:paraId="00100172" w14:textId="00100173">
            <w:r>
              <w:t xml:space="preserve">-1.0831 (wholesaler status associated with lower churn probability)</w:t>
            </w:r>
          </w:p>
        </w:tc>
      </w:tr>
      <w:tr>
        <w:trPr/>
        <w:tc>
          <w:p w14:paraId="00100174" w14:textId="00100175">
            <w:r>
              <w:t xml:space="preserve">Recency</w:t>
            </w:r>
          </w:p>
        </w:tc>
        <w:tc>
          <w:p w14:paraId="00100176" w14:textId="00100177">
            <w:r>
              <w:t xml:space="preserve">None</w:t>
            </w:r>
          </w:p>
        </w:tc>
        <w:tc>
          <w:p w14:paraId="00100178" w14:textId="00100179">
            <w:r>
              <w:t xml:space="preserve">+0.1960 (higher recency associated with higher churn probability)</w:t>
            </w:r>
          </w:p>
        </w:tc>
      </w:tr>
      <w:tr>
        <w:trPr/>
        <w:tc>
          <w:p w14:paraId="0010017A" w14:textId="0010017B">
            <w:r>
              <w:t xml:space="preserve">Avg_Order_Value</w:t>
            </w:r>
          </w:p>
        </w:tc>
        <w:tc>
          <w:p w14:paraId="0010017C" w14:textId="0010017D">
            <w:r>
              <w:t xml:space="preserve">log1p</w:t>
            </w:r>
          </w:p>
        </w:tc>
        <w:tc>
          <w:p w14:paraId="0010017E" w14:textId="0010017F">
            <w:r>
              <w:t xml:space="preserve">+0.0320 (weakly associated with higher churn probability)</w:t>
            </w:r>
          </w:p>
        </w:tc>
      </w:tr>
      <w:tr>
        <w:trPr/>
        <w:tc>
          <w:p w14:paraId="00100180" w14:textId="00100181">
            <w:r>
              <w:t xml:space="preserve">Monetary</w:t>
            </w:r>
          </w:p>
        </w:tc>
        <w:tc>
          <w:p w14:paraId="00100182" w14:textId="00100183">
            <w:r>
              <w:t xml:space="preserve">log1p</w:t>
            </w:r>
          </w:p>
        </w:tc>
        <w:tc>
          <w:p w14:paraId="00100184" w14:textId="00100185">
            <w:r>
              <w:t xml:space="preserve">-0.0251 (weakly associated with lower churn probability)</w:t>
            </w:r>
          </w:p>
        </w:tc>
      </w:tr>
      <w:tr>
        <w:trPr/>
        <w:tc>
          <w:p w14:paraId="00100186" w14:textId="00100187">
            <w:r>
              <w:t xml:space="preserve">tenure_days</w:t>
            </w:r>
          </w:p>
        </w:tc>
        <w:tc>
          <w:p w14:paraId="00100188" w14:textId="00100189">
            <w:r>
              <w:t xml:space="preserve">None</w:t>
            </w:r>
          </w:p>
        </w:tc>
        <w:tc>
          <w:p w14:paraId="0010018A" w14:textId="0010018B">
            <w:r>
              <w:t xml:space="preserve">-0.1132 (longer obs-window span associated with lower churn probability)</w:t>
            </w:r>
          </w:p>
        </w:tc>
      </w:tr>
      <w:tr>
        <w:trPr/>
        <w:tc>
          <w:p w14:paraId="0010018C" w14:textId="0010018D">
            <w:r>
              <w:t xml:space="preserve">Frequency</w:t>
            </w:r>
          </w:p>
        </w:tc>
        <w:tc>
          <w:p w14:paraId="0010018E" w14:textId="0010018F">
            <w:r>
              <w:t xml:space="preserve">log1p</w:t>
            </w:r>
          </w:p>
        </w:tc>
        <w:tc>
          <w:p w14:paraId="00100190" w14:textId="00100191">
            <w:r>
              <w:t xml:space="preserve">-0.1658 (higher order count associated with lower churn probability)</w:t>
            </w:r>
          </w:p>
        </w:tc>
      </w:tr>
    </w:tbl>
    <w:p w14:paraId="00100192" w14:textId="00100193">
      <w:pPr>
        <w:spacing w:before="160" w:after="240"/>
      </w:pPr>
      <w:r>
        <w:rPr>
          <w:sz w:val="22"/>
        </w:rPr>
        <w:t xml:space="preserve">All coefficients describe associations in the fitted model, not causal effects. The dominant coefficient is is_wholesaler (-1.0831), reflecting the 14.7x difference in observed churn rates between segments (private 45.3% vs wholesaler 3.1%).</w:t>
      </w:r>
    </w:p>
    <w:p w14:paraId="00100194" w14:textId="00100195">
      <w:pPr>
        <w:pStyle w:val="Heading1"/>
        <w:spacing w:before="240" w:after="160"/>
      </w:pPr>
      <w:r>
        <w:rPr>
          <w:b/>
          <w:sz w:val="32"/>
        </w:rPr>
        <w:t xml:space="preserve">18. Model Evaluation</w:t>
      </w:r>
    </w:p>
    <w:p w14:paraId="00100196" w14:textId="00100197">
      <w:pPr>
        <w:spacing w:after="160"/>
      </w:pPr>
      <w:r>
        <w:rPr>
          <w:sz w:val="22"/>
        </w:rPr>
        <w:t xml:space="preserve">Test-set results (758 held-out customers, evaluated once):</w:t>
      </w:r>
    </w:p>
    <w:tbl>
      <w:tblPr>
        <w:tblW w:w="5000" w:type="pct"/>
        <w:tblBorders>
          <w:top w:val="single" w:sz="4"/>
          <w:left w:val="single" w:sz="4"/>
          <w:bottom w:val="single" w:sz="4"/>
          <w:right w:val="single" w:sz="4"/>
          <w:insideH w:val="single" w:sz="4"/>
          <w:insideV w:val="single" w:sz="4"/>
        </w:tblBorders>
      </w:tblPr>
      <w:tblGrid>
        <w:gridCol w:w="1186"/>
        <w:gridCol w:w="1186"/>
        <w:gridCol w:w="1186"/>
        <w:gridCol w:w="1186"/>
        <w:gridCol w:w="1186"/>
        <w:gridCol w:w="1186"/>
        <w:gridCol w:w="1186"/>
      </w:tblGrid>
      <w:tr>
        <w:trPr>
          <w:tblHeader/>
        </w:trPr>
        <w:tc>
          <w:p w14:paraId="00100198" w14:textId="00100199">
            <w:r>
              <w:t xml:space="preserve">Model</w:t>
            </w:r>
          </w:p>
        </w:tc>
        <w:tc>
          <w:p w14:paraId="0010019A" w14:textId="0010019B">
            <w:r>
              <w:t xml:space="preserve">AUC</w:t>
            </w:r>
          </w:p>
        </w:tc>
        <w:tc>
          <w:p w14:paraId="0010019C" w14:textId="0010019D">
            <w:r>
              <w:t xml:space="preserve">Accuracy</w:t>
            </w:r>
          </w:p>
        </w:tc>
        <w:tc>
          <w:p w14:paraId="0010019E" w14:textId="0010019F">
            <w:r>
              <w:t xml:space="preserve">Baseline</w:t>
            </w:r>
          </w:p>
        </w:tc>
        <w:tc>
          <w:p w14:paraId="001001A0" w14:textId="001001A1">
            <w:r>
              <w:t xml:space="preserve">Precision</w:t>
            </w:r>
          </w:p>
        </w:tc>
        <w:tc>
          <w:p w14:paraId="001001A2" w14:textId="001001A3">
            <w:r>
              <w:t xml:space="preserve">Recall</w:t>
            </w:r>
          </w:p>
        </w:tc>
        <w:tc>
          <w:p w14:paraId="001001A4" w14:textId="001001A5">
            <w:r>
              <w:t xml:space="preserve">F1</w:t>
            </w:r>
          </w:p>
        </w:tc>
      </w:tr>
      <w:tr>
        <w:trPr/>
        <w:tc>
          <w:p w14:paraId="001001A6" w14:textId="001001A7">
            <w:r>
              <w:t xml:space="preserve">Logistic Regression (PRIMARY)</w:t>
            </w:r>
          </w:p>
        </w:tc>
        <w:tc>
          <w:p w14:paraId="001001A8" w14:textId="001001A9">
            <w:r>
              <w:t xml:space="preserve">0.6704</w:t>
            </w:r>
          </w:p>
        </w:tc>
        <w:tc>
          <w:p w14:paraId="001001AA" w14:textId="001001AB">
            <w:r>
              <w:t xml:space="preserve">57.1%</w:t>
            </w:r>
          </w:p>
        </w:tc>
        <w:tc>
          <w:p w14:paraId="001001AC" w14:textId="001001AD">
            <w:r>
              <w:t xml:space="preserve">62.5%</w:t>
            </w:r>
          </w:p>
        </w:tc>
        <w:tc>
          <w:p w14:paraId="001001AE" w14:textId="001001AF">
            <w:r>
              <w:t xml:space="preserve">0.458</w:t>
            </w:r>
          </w:p>
        </w:tc>
        <w:tc>
          <w:p w14:paraId="001001B0" w14:textId="001001B1">
            <w:r>
              <w:t xml:space="preserve">0.785</w:t>
            </w:r>
          </w:p>
        </w:tc>
        <w:tc>
          <w:p w14:paraId="001001B2" w14:textId="001001B3">
            <w:r>
              <w:t xml:space="preserve">0.579</w:t>
            </w:r>
          </w:p>
        </w:tc>
      </w:tr>
      <w:tr>
        <w:trPr/>
        <w:tc>
          <w:p w14:paraId="001001B4" w14:textId="001001B5">
            <w:r>
              <w:t xml:space="preserve">Random Forest</w:t>
            </w:r>
          </w:p>
        </w:tc>
        <w:tc>
          <w:p w14:paraId="001001B6" w14:textId="001001B7">
            <w:r>
              <w:t xml:space="preserve">0.6825</w:t>
            </w:r>
          </w:p>
        </w:tc>
        <w:tc>
          <w:p w14:paraId="001001B8" w14:textId="001001B9">
            <w:r>
              <w:t xml:space="preserve">58.7%</w:t>
            </w:r>
          </w:p>
        </w:tc>
        <w:tc>
          <w:p w14:paraId="001001BA" w14:textId="001001BB">
            <w:r>
              <w:t xml:space="preserve">62.5%</w:t>
            </w:r>
          </w:p>
        </w:tc>
        <w:tc>
          <w:p w14:paraId="001001BC" w14:textId="001001BD">
            <w:r>
              <w:t xml:space="preserve">0.471</w:t>
            </w:r>
          </w:p>
        </w:tc>
        <w:tc>
          <w:p w14:paraId="001001BE" w14:textId="001001BF">
            <w:r>
              <w:t xml:space="preserve">0.838</w:t>
            </w:r>
          </w:p>
        </w:tc>
        <w:tc>
          <w:p w14:paraId="001001C0" w14:textId="001001C1">
            <w:r>
              <w:t xml:space="preserve">0.603</w:t>
            </w:r>
          </w:p>
        </w:tc>
      </w:tr>
      <w:tr>
        <w:trPr/>
        <w:tc>
          <w:p w14:paraId="001001C2" w14:textId="001001C3">
            <w:r>
              <w:t xml:space="preserve">XGBoost</w:t>
            </w:r>
          </w:p>
        </w:tc>
        <w:tc>
          <w:p w14:paraId="001001C4" w14:textId="001001C5">
            <w:r>
              <w:t xml:space="preserve">0.6715</w:t>
            </w:r>
          </w:p>
        </w:tc>
        <w:tc>
          <w:p w14:paraId="001001C6" w14:textId="001001C7">
            <w:r>
              <w:t xml:space="preserve">62.0%</w:t>
            </w:r>
          </w:p>
        </w:tc>
        <w:tc>
          <w:p w14:paraId="001001C8" w14:textId="001001C9">
            <w:r>
              <w:t xml:space="preserve">62.5%</w:t>
            </w:r>
          </w:p>
        </w:tc>
        <w:tc>
          <w:p w14:paraId="001001CA" w14:textId="001001CB">
            <w:r>
              <w:t xml:space="preserve">0.495</w:t>
            </w:r>
          </w:p>
        </w:tc>
        <w:tc>
          <w:p w14:paraId="001001CC" w14:textId="001001CD">
            <w:r>
              <w:t xml:space="preserve">0.708</w:t>
            </w:r>
          </w:p>
        </w:tc>
        <w:tc>
          <w:p w14:paraId="001001CE" w14:textId="001001CF">
            <w:r>
              <w:t xml:space="preserve">0.583</w:t>
            </w:r>
          </w:p>
        </w:tc>
      </w:tr>
    </w:tbl>
    <w:p w14:paraId="001001D0" w14:textId="001001D1">
      <w:pPr>
        <w:spacing w:before="160" w:after="160"/>
      </w:pPr>
      <w:r>
        <w:rPr>
          <w:sz w:val="22"/>
        </w:rPr>
        <w:t xml:space="preserve">Majority-class baseline: 62.5%. A model that predicts 'retained' for every customer is correct 62.5% of the time. The Logistic Regression test accuracy of 57.1% is below this baseline. This is expected behaviour: class_weight='balanced' shifts the model toward churn detection at the cost of overall accuracy. The model catches 78.5% of actual churners (recall = 0.785). AUC and recall are the appropriate headline metrics for this task.</w:t>
      </w:r>
    </w:p>
    <w:p w14:paraId="001001D2" w14:textId="001001D3">
      <w:pPr>
        <w:spacing w:after="240"/>
      </w:pPr>
      <w:r>
        <w:rPr>
          <w:sz w:val="22"/>
        </w:rPr>
        <w:t xml:space="preserve">Confusion matrix (Logistic Regression, test set): TN=210, FP=264, FN=61, TP=223. Of 284 actual churners in the test set, 223 (78.5%) were correctly identified. Of 474 actual retained customers, 264 (55.7%) were incorrectly flagged as at-risk.</w:t>
      </w:r>
    </w:p>
    <w:p w14:paraId="001001D4" w14:textId="001001D5">
      <w:pPr>
        <w:pStyle w:val="Heading1"/>
        <w:spacing w:before="240" w:after="160"/>
      </w:pPr>
      <w:r>
        <w:rPr>
          <w:b/>
          <w:sz w:val="32"/>
        </w:rPr>
        <w:t xml:space="preserve">19. Customer Risk Segmentation</w:t>
      </w:r>
    </w:p>
    <w:p w14:paraId="001001D6" w14:textId="001001D7">
      <w:pPr>
        <w:spacing w:after="160"/>
      </w:pPr>
      <w:r>
        <w:rPr>
          <w:sz w:val="22"/>
        </w:rPr>
        <w:t xml:space="preserve">All 5,052 customers were scored using the saved XGBoost pipeline (probabilities range 0.001-0.960) and assigned to risk tiers based on churn probability only:</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D8" w14:textId="001001D9">
            <w:r>
              <w:t xml:space="preserve">Tier</w:t>
            </w:r>
          </w:p>
        </w:tc>
        <w:tc>
          <w:p w14:paraId="001001DA" w14:textId="001001DB">
            <w:r>
              <w:t xml:space="preserve">Threshold</w:t>
            </w:r>
          </w:p>
        </w:tc>
        <w:tc>
          <w:p w14:paraId="001001DC" w14:textId="001001DD">
            <w:r>
              <w:t xml:space="preserve">Customers</w:t>
            </w:r>
          </w:p>
        </w:tc>
        <w:tc>
          <w:p w14:paraId="001001DE" w14:textId="001001DF">
            <w:r>
              <w:t xml:space="preserve">Actual Churn Rate</w:t>
            </w:r>
          </w:p>
        </w:tc>
        <w:tc>
          <w:p w14:paraId="001001E0" w14:textId="001001E1">
            <w:r>
              <w:t xml:space="preserve">Obs-Window Revenue Share</w:t>
            </w:r>
          </w:p>
        </w:tc>
      </w:tr>
      <w:tr>
        <w:trPr/>
        <w:tc>
          <w:p w14:paraId="001001E2" w14:textId="001001E3">
            <w:r>
              <w:t xml:space="preserve">High</w:t>
            </w:r>
          </w:p>
        </w:tc>
        <w:tc>
          <w:p w14:paraId="001001E4" w14:textId="001001E5">
            <w:r>
              <w:t xml:space="preserve">prob &gt;= 0.70</w:t>
            </w:r>
          </w:p>
        </w:tc>
        <w:tc>
          <w:p w14:paraId="001001E6" w14:textId="001001E7">
            <w:r>
              <w:t xml:space="preserve">943</w:t>
            </w:r>
          </w:p>
        </w:tc>
        <w:tc>
          <w:p w14:paraId="001001E8" w14:textId="001001E9">
            <w:r>
              <w:t xml:space="preserve">78.8%</w:t>
            </w:r>
          </w:p>
        </w:tc>
        <w:tc>
          <w:p w14:paraId="001001EA" w14:textId="001001EB">
            <w:r>
              <w:t xml:space="preserve">9.4%</w:t>
            </w:r>
          </w:p>
        </w:tc>
      </w:tr>
      <w:tr>
        <w:trPr/>
        <w:tc>
          <w:p w14:paraId="001001EC" w14:textId="001001ED">
            <w:r>
              <w:t xml:space="preserve">Medium</w:t>
            </w:r>
          </w:p>
        </w:tc>
        <w:tc>
          <w:p w14:paraId="001001EE" w14:textId="001001EF">
            <w:r>
              <w:t xml:space="preserve">0.40 &lt;= prob &lt; 0.70</w:t>
            </w:r>
          </w:p>
        </w:tc>
        <w:tc>
          <w:p w14:paraId="001001F0" w14:textId="001001F1">
            <w:r>
              <w:t xml:space="preserve">2,316</w:t>
            </w:r>
          </w:p>
        </w:tc>
        <w:tc>
          <w:p w14:paraId="001001F2" w14:textId="001001F3">
            <w:r>
              <w:t xml:space="preserve">44.2%</w:t>
            </w:r>
          </w:p>
        </w:tc>
        <w:tc>
          <w:p w14:paraId="001001F4" w14:textId="001001F5">
            <w:r>
              <w:t xml:space="preserve">11.1%</w:t>
            </w:r>
          </w:p>
        </w:tc>
      </w:tr>
      <w:tr>
        <w:trPr/>
        <w:tc>
          <w:p w14:paraId="001001F6" w14:textId="001001F7">
            <w:r>
              <w:t xml:space="preserve">Low</w:t>
            </w:r>
          </w:p>
        </w:tc>
        <w:tc>
          <w:p w14:paraId="001001F8" w14:textId="001001F9">
            <w:r>
              <w:t xml:space="preserve">prob &lt; 0.40</w:t>
            </w:r>
          </w:p>
        </w:tc>
        <w:tc>
          <w:p w14:paraId="001001FA" w14:textId="001001FB">
            <w:r>
              <w:t xml:space="preserve">1,793</w:t>
            </w:r>
          </w:p>
        </w:tc>
        <w:tc>
          <w:p w14:paraId="001001FC" w14:textId="001001FD">
            <w:r>
              <w:t xml:space="preserve">7.0%</w:t>
            </w:r>
          </w:p>
        </w:tc>
        <w:tc>
          <w:p w14:paraId="001001FE" w14:textId="001001FF">
            <w:r>
              <w:t xml:space="preserve">79.5%</w:t>
            </w:r>
          </w:p>
        </w:tc>
      </w:tr>
    </w:tbl>
    <w:p w14:paraId="00100200" w14:textId="00100201">
      <w:pPr>
        <w:spacing w:before="160" w:after="240"/>
      </w:pPr>
      <w:r>
        <w:rPr>
          <w:sz w:val="22"/>
        </w:rPr>
        <w:t xml:space="preserve">Revenue at risk (observation-window revenue of actual churners): High tier GBP297,313, Medium tier GBP194,136, Low tier GBP97,108. Total: GBP588,557. The High-risk tier captures 743 of the 1,892 total churners (39.3%) with a 78.8% precision rate. The Low-risk tier contains 79.5% of all observation-window revenue, the majority of which is wholesaler revenue.</w:t>
      </w:r>
    </w:p>
    <w:p w14:paraId="00100202" w14:textId="00100203">
      <w:pPr>
        <w:pStyle w:val="Heading1"/>
        <w:spacing w:before="240" w:after="160"/>
      </w:pPr>
      <w:r>
        <w:rPr>
          <w:b/>
          <w:sz w:val="32"/>
        </w:rPr>
        <w:t xml:space="preserve">20. Business Actions</w:t>
      </w:r>
    </w:p>
    <w:p w14:paraId="00100204" w14:textId="00100205">
      <w:pPr>
        <w:spacing w:after="160"/>
      </w:pPr>
      <w:r>
        <w:rPr>
          <w:sz w:val="22"/>
        </w:rPr>
        <w:t xml:space="preserve">All recommendations use association language. The model identifies statistical relationships between features and observed churn outcomes; it does not establish causation.</w:t>
      </w:r>
    </w:p>
    <w:p w14:paraId="00100206" w14:textId="00100207">
      <w:pPr>
        <w:spacing w:after="120"/>
      </w:pPr>
      <w:r>
        <w:rPr>
          <w:sz w:val="22"/>
        </w:rPr>
        <w:t xml:space="preserve">High-risk tier (943 customers, 78.8% observed churn rate): The model identifies a relationship between high predicted churn probability (&gt;=0.70) and observed churn in the prediction window. Customers in this tier are associated with substantially higher churn rates than the population average (37.5%). Personalised win-back offers and account manager outreach for customers with the highest Monetary values may be worth testing against a control group.</w:t>
      </w:r>
    </w:p>
    <w:p w14:paraId="00100208" w14:textId="00100209">
      <w:pPr>
        <w:spacing w:after="120"/>
      </w:pPr>
      <w:r>
        <w:rPr>
          <w:sz w:val="22"/>
        </w:rPr>
        <w:t xml:space="preserve">Medium-risk tier (2,316 customers, 44.2% observed churn rate): The results suggest proactive re-engagement may be worthwhile. Re-engagement email campaigns and cross-sell recommendations based on previous category purchases are candidate actions. These should be evaluated against a holdout group to measure lift.</w:t>
      </w:r>
    </w:p>
    <w:p w14:paraId="0010020A" w14:textId="0010020B">
      <w:pPr>
        <w:spacing w:after="120"/>
      </w:pPr>
      <w:r>
        <w:rPr>
          <w:sz w:val="22"/>
        </w:rPr>
        <w:t xml:space="preserve">Wholesalers (939 customers, 3.1% observed churn rate): Wholesaler status is associated with a substantially lower observed churn rate. The churn model is not reliable for wholesaler scoring (see Section 21). Account health monitoring and dedicated relationship management are more appropriate for this segment.</w:t>
      </w:r>
    </w:p>
    <w:p w14:paraId="0010020C" w14:textId="0010020D">
      <w:pPr>
        <w:spacing w:after="240"/>
      </w:pPr>
      <w:r>
        <w:rPr>
          <w:sz w:val="22"/>
        </w:rPr>
        <w:t xml:space="preserve">Single-order customers (2,734 customers, 46.5% observed churn rate): Single-order customers are associated with higher predicted churn probability. A post-first-purchase onboarding sequence and second-purchase incentive within 30 days may be worth testing.</w:t>
      </w:r>
    </w:p>
    <w:p w14:paraId="0010020E" w14:textId="0010020F">
      <w:pPr>
        <w:pStyle w:val="Heading1"/>
        <w:spacing w:before="240" w:after="160"/>
      </w:pPr>
      <w:r>
        <w:rPr>
          <w:b/>
          <w:sz w:val="32"/>
        </w:rPr>
        <w:t xml:space="preserve">21. Limitations</w:t>
      </w:r>
    </w:p>
    <w:p w14:paraId="00100210" w14:textId="00100211">
      <w:pPr>
        <w:spacing w:after="160"/>
      </w:pPr>
      <w:r>
        <w:rPr>
          <w:sz w:val="22"/>
        </w:rPr>
        <w:t xml:space="preserve">Limitation 1 - Accuracy Below Majority-Class Baseline. The Logistic Regression test accuracy is 57.1%, which is below the majority-class baseline of 62.5%. This is not an error. The model uses class_weight='balanced', which deliberately trades accuracy for recall on the churned class. The appropriate metrics for this task are AUC (0.6704) and recall (78.5%). Accuracy must never be presented without the baseline comparison.</w:t>
      </w:r>
    </w:p>
    <w:p w14:paraId="00100212" w14:textId="00100213">
      <w:pPr>
        <w:spacing w:after="160"/>
      </w:pPr>
      <w:r>
        <w:rPr>
          <w:sz w:val="22"/>
        </w:rPr>
        <w:t xml:space="preserve">Limitation 2 - Wholesaler Test Evaluation Is Unreliable. This limitation is explicitly disclosed. The test set contained only 3 actual wholesaler churners out of 142 wholesaler test customers (2.1% churn rate). The model predicted 'retained' for all wholesalers: precision = 0.00, recall = 0.00, F1 = 0.00, AUC = 0.45 (below random). The churn model should not be used to score or rank wholesaler customers. Private-customer performance (AUC = 0.5418, recall = 79.4%) is substantially more informative.</w:t>
      </w:r>
    </w:p>
    <w:p w14:paraId="00100214" w14:textId="00100215">
      <w:pPr>
        <w:spacing w:after="160"/>
      </w:pPr>
      <w:r>
        <w:rPr>
          <w:sz w:val="22"/>
        </w:rPr>
        <w:t xml:space="preserve">Limitation 3 - Associations, Not Causal Relationships. The model identifies statistical associations between purchase-behaviour features and the observed churn outcome during 2015. It does not establish that any feature causes churn. A high Recency value is associated with higher predicted churn probability, but the underlying reason could be an unmeasured factor not present in the data. All findings must be interpreted as observed associations.</w:t>
      </w:r>
    </w:p>
    <w:p w14:paraId="00100216" w14:textId="00100217">
      <w:pPr>
        <w:spacing w:after="240"/>
      </w:pPr>
      <w:r>
        <w:rPr>
          <w:sz w:val="22"/>
        </w:rPr>
        <w:t xml:space="preserve">Additional limitations: single 6-month observation window (may not generalise to other seasons or years); RFM-only features (no product diversity, return rates, demographics, or marketing exposure data); moderate overfitting in ensemble models (Random Forest train AUC 0.83 vs val 0.68; XGBoost train AUC 0.92 vs val 0.68); probability scores from XGBoost are not calibrated and should be used for ranking, not as literal probability estimates.</w:t>
      </w:r>
    </w:p>
    <w:p w14:paraId="00100218" w14:textId="00100219">
      <w:pPr>
        <w:pStyle w:val="Heading1"/>
        <w:spacing w:before="240" w:after="160"/>
      </w:pPr>
      <w:r>
        <w:rPr>
          <w:b/>
          <w:sz w:val="32"/>
        </w:rPr>
        <w:t xml:space="preserve">22. Dashboard / Decision Summary</w:t>
      </w:r>
    </w:p>
    <w:p w14:paraId="0010021A" w14:textId="0010021B">
      <w:pPr>
        <w:spacing w:after="160"/>
      </w:pPr>
      <w:r>
        <w:rPr>
          <w:sz w:val="22"/>
        </w:rPr>
        <w:t xml:space="preserve">A six-panel dashboard figure (final_dashboard_summary.png) is produced in Section 32 of the final notebook, showing: (1) churn rate by segment, (2) customer risk distribution pie chart, (3) revenue at risk by tier, (4) model AUC comparison, (5) precision and recall comparison, and (6) churn probability distribution by label. Key decision figures: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1C" w14:textId="0010021D">
            <w:r>
              <w:t xml:space="preserve">Metric</w:t>
            </w:r>
          </w:p>
        </w:tc>
        <w:tc>
          <w:p w14:paraId="0010021E" w14:textId="0010021F">
            <w:r>
              <w:t xml:space="preserve">Value</w:t>
            </w:r>
          </w:p>
        </w:tc>
      </w:tr>
      <w:tr>
        <w:trPr/>
        <w:tc>
          <w:p w14:paraId="00100220" w14:textId="00100221">
            <w:r>
              <w:t xml:space="preserve">Total eligible customers</w:t>
            </w:r>
          </w:p>
        </w:tc>
        <w:tc>
          <w:p w14:paraId="00100222" w14:textId="00100223">
            <w:r>
              <w:t xml:space="preserve">5,052</w:t>
            </w:r>
          </w:p>
        </w:tc>
      </w:tr>
      <w:tr>
        <w:trPr/>
        <w:tc>
          <w:p w14:paraId="00100224" w14:textId="00100225">
            <w:r>
              <w:t xml:space="preserve">Overall churn rate</w:t>
            </w:r>
          </w:p>
        </w:tc>
        <w:tc>
          <w:p w14:paraId="00100226" w14:textId="00100227">
            <w:r>
              <w:t xml:space="preserve">37.5% (1,892 churned, 3,160 retained)</w:t>
            </w:r>
          </w:p>
        </w:tc>
      </w:tr>
      <w:tr>
        <w:trPr/>
        <w:tc>
          <w:p w14:paraId="00100228" w14:textId="00100229">
            <w:r>
              <w:t xml:space="preserve">High-risk customers</w:t>
            </w:r>
          </w:p>
        </w:tc>
        <w:tc>
          <w:p w14:paraId="0010022A" w14:textId="0010022B">
            <w:r>
              <w:t xml:space="preserve">943 (78.8% actual churn rate)</w:t>
            </w:r>
          </w:p>
        </w:tc>
      </w:tr>
      <w:tr>
        <w:trPr/>
        <w:tc>
          <w:p w14:paraId="0010022C" w14:textId="0010022D">
            <w:r>
              <w:t xml:space="preserve">Total revenue at risk</w:t>
            </w:r>
          </w:p>
        </w:tc>
        <w:tc>
          <w:p w14:paraId="0010022E" w14:textId="0010022F">
            <w:r>
              <w:t xml:space="preserve">GBP588,557</w:t>
            </w:r>
          </w:p>
        </w:tc>
      </w:tr>
      <w:tr>
        <w:trPr/>
        <w:tc>
          <w:p w14:paraId="00100230" w14:textId="00100231">
            <w:r>
              <w:t xml:space="preserve">LR Test AUC</w:t>
            </w:r>
          </w:p>
        </w:tc>
        <w:tc>
          <w:p w14:paraId="00100232" w14:textId="00100233">
            <w:r>
              <w:t xml:space="preserve">0.6704</w:t>
            </w:r>
          </w:p>
        </w:tc>
      </w:tr>
      <w:tr>
        <w:trPr/>
        <w:tc>
          <w:p w14:paraId="00100234" w14:textId="00100235">
            <w:r>
              <w:t xml:space="preserve">LR Churn Recall</w:t>
            </w:r>
          </w:p>
        </w:tc>
        <w:tc>
          <w:p w14:paraId="00100236" w14:textId="00100237">
            <w:r>
              <w:t xml:space="preserve">78.5% of real churners identified</w:t>
            </w:r>
          </w:p>
        </w:tc>
      </w:tr>
    </w:tbl>
    <w:p w14:paraId="00100238" w14:textId="00100239">
      <w:pPr>
        <w:spacing w:before="160" w:after="240"/>
      </w:pPr>
      <w:r>
        <w:rPr>
          <w:sz w:val="22"/>
        </w:rPr>
        <w:t xml:space="preserve">All figures described above are reproducible by executing the final notebook. No external data or estimated values are used.</w:t>
      </w:r>
    </w:p>
    <w:p w14:paraId="0010023A" w14:textId="0010023B">
      <w:pPr>
        <w:pStyle w:val="Heading1"/>
        <w:spacing w:before="240" w:after="160"/>
      </w:pPr>
      <w:r>
        <w:rPr>
          <w:b/>
          <w:sz w:val="32"/>
        </w:rPr>
        <w:t xml:space="preserve">23. Conclusion</w:t>
      </w:r>
    </w:p>
    <w:p w14:paraId="0010023C" w14:textId="0010023D">
      <w:pPr>
        <w:spacing w:after="160"/>
      </w:pPr>
      <w:r>
        <w:rPr>
          <w:sz w:val="22"/>
        </w:rPr>
        <w:t xml:space="preserve">This project successfully delivered a complete customer churn analytics pipeline covering data cleaning, exploratory analysis, RFM feature engineering, leakage-safe churn target construction, Logistic Regression model training, and risk-segmented customer scoring. The primary model achieves a test AUC of 0.6704 and identifies 78.5% of actual churners, providing actionable prioritisation for retention efforts.</w:t>
      </w:r>
    </w:p>
    <w:p w14:paraId="0010023E" w14:textId="0010023F">
      <w:pPr>
        <w:spacing w:after="160"/>
      </w:pPr>
      <w:r>
        <w:rPr>
          <w:sz w:val="22"/>
        </w:rPr>
        <w:t xml:space="preserve">The most commercially significant finding is the structural difference between private and wholesale customer churn risk: private customers show a 45.3% observed churn rate and represent the primary use case for this model; wholesalers show a 3.1% observed churn rate and require a different analytical approach. The model was validated to be leakage-free across all 10 automated checks, with the churn label correctly using a strict 180-day horizon (to 2015-12-27) rather than the full dataset end date.</w:t>
      </w:r>
    </w:p>
    <w:p w14:paraId="00100240" w14:textId="00100241">
      <w:pPr>
        <w:spacing w:after="240"/>
      </w:pPr>
      <w:r>
        <w:rPr>
          <w:sz w:val="22"/>
        </w:rPr>
        <w:t xml:space="preserve">All findings are presented as observed associations between historical purchase-behaviour features and churn outcomes. No causal claims are made, and the limitations disclosed in Section 21 should be read before applying the model's outputs to business decisions.</w:t>
      </w:r>
    </w:p>
    <w:p w14:paraId="00100242" w14:textId="00100243">
      <w:pPr>
        <w:pStyle w:val="Heading1"/>
        <w:spacing w:before="240" w:after="160"/>
      </w:pPr>
      <w:r>
        <w:rPr>
          <w:b/>
          <w:sz w:val="32"/>
        </w:rPr>
        <w:t xml:space="preserve">24. References / Dataset Source</w:t>
      </w:r>
    </w:p>
    <w:p w14:paraId="00100244" w14:textId="00100245">
      <w:pPr>
        <w:spacing w:after="160"/>
      </w:pPr>
      <w:r>
        <w:rPr>
          <w:sz w:val="22"/>
        </w:rPr>
        <w:t xml:space="preserve">Dataset: Dataset A (UK E-Commerce Retail Transactions, 2014-2015). Provided as part of the internship Data Analytics Programme. Four CSV files: customers.csv, purchases.csv, invoice_items.csv, products.csv. The dataset was not modified at any point during this project.</w:t>
      </w:r>
    </w:p>
    <w:p w14:paraId="00100246" w14:textId="00100247">
      <w:pPr>
        <w:spacing w:after="160"/>
      </w:pPr>
      <w:r>
        <w:rPr>
          <w:sz w:val="22"/>
        </w:rPr>
        <w:t xml:space="preserve">Tools and Libraries: Python 3.12, pandas 3.0.6, numpy 2.5.3, scikit-learn 1.9.1, xgboost 3.4.1, matplotlib 3.11.2, seaborn 0.13.2, joblib 1.6.0, nbformat 5.11.1, nbconvert 7.17.1.</w:t>
      </w:r>
    </w:p>
    <w:p w14:paraId="00100248" w14:textId="00100249">
      <w:pPr>
        <w:spacing w:after="160"/>
      </w:pPr>
      <w:r>
        <w:rPr>
          <w:sz w:val="22"/>
        </w:rPr>
        <w:t xml:space="preserve">Methodology references: RFM (Recency, Frequency, Monetary) customer segmentation is a well-established analytical framework in customer relationship management research. All implementation choices, window definitions, feature transformations, and model settings are documented explicitly in the project notebooks and reports.</w:t>
      </w:r>
    </w:p>
    <w:p w14:paraId="0010024A" w14:textId="0010024B">
      <w:pPr>
        <w:spacing w:after="240"/>
      </w:pPr>
      <w:r>
        <w:rPr>
          <w:sz w:val="22"/>
        </w:rPr>
        <w:t xml:space="preserve">Project reports: reports/EDA_REPORT.md, reports/modelling_report.md, reports/model_limitations.md, reports/MC3_FINAL_AUDIT.md, reports/final_project_audit.md, reports/presentation_metrics.md.</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f5963c84b5534a1f" /><Relationship Type="http://schemas.openxmlformats.org/officeDocument/2006/relationships/styles" Target="/word/styles.xml" Id="R122372dbe8594fb9" /><Relationship Type="http://schemas.openxmlformats.org/officeDocument/2006/relationships/theme" Target="/word/theme/theme1.xml" Id="R4fa762769ebb44a6" /><Relationship Type="http://schemas.openxmlformats.org/officeDocument/2006/relationships/numbering" Target="/word/numbering.xml" Id="R098a0f14e08a4c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2026-09-24T11:45:15Z</dcterms:created>
  <cp:lastModifiedBy>OfficeCLI</cp:lastModifiedBy>
  <dcterms:modified xsi:type="dcterms:W3CDTF">2026-09-24T11:45:15Z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2026-09-24T11:53:52Z</vt:lpwstr>
  </op:property>
</op:Properties>
</file>