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4E155B" w14:textId="77777777" w:rsidR="00CE1C32" w:rsidRDefault="00000000">
      <w:pPr>
        <w:tabs>
          <w:tab w:val="center" w:pos="720"/>
          <w:tab w:val="center" w:pos="1440"/>
          <w:tab w:val="center" w:pos="4623"/>
        </w:tabs>
        <w:spacing w:after="161"/>
        <w:ind w:left="-15" w:firstLine="0"/>
      </w:pPr>
      <w:r>
        <w:t xml:space="preserve"> </w:t>
      </w:r>
      <w:r>
        <w:tab/>
        <w:t xml:space="preserve"> </w:t>
      </w:r>
      <w:r>
        <w:tab/>
      </w:r>
      <w:r>
        <w:rPr>
          <w:b/>
        </w:rPr>
        <w:t xml:space="preserve"> </w:t>
      </w:r>
      <w:r>
        <w:rPr>
          <w:b/>
        </w:rPr>
        <w:tab/>
        <w:t xml:space="preserve">Executive Summary – Revenue Decline Analysis </w:t>
      </w:r>
    </w:p>
    <w:p w14:paraId="55960864" w14:textId="77777777" w:rsidR="00CE1C32" w:rsidRDefault="00000000">
      <w:pPr>
        <w:spacing w:after="158" w:line="259" w:lineRule="auto"/>
        <w:ind w:left="0" w:firstLine="0"/>
      </w:pPr>
      <w:r>
        <w:t xml:space="preserve"> </w:t>
      </w:r>
    </w:p>
    <w:p w14:paraId="77CCD757" w14:textId="77777777" w:rsidR="00CE1C32" w:rsidRDefault="00000000">
      <w:pPr>
        <w:ind w:left="-5" w:right="64"/>
      </w:pPr>
      <w:r>
        <w:t xml:space="preserve">Problem Statement </w:t>
      </w:r>
    </w:p>
    <w:p w14:paraId="086E1DD8" w14:textId="77777777" w:rsidR="00CE1C32" w:rsidRDefault="00000000">
      <w:pPr>
        <w:ind w:left="-5" w:right="64"/>
      </w:pPr>
      <w:proofErr w:type="spellStart"/>
      <w:r>
        <w:t>AtliQ</w:t>
      </w:r>
      <w:proofErr w:type="spellEnd"/>
      <w:r>
        <w:t xml:space="preserve"> Grands is a hospitality company operating multiple five-star hotels across India. The company is experiencing a decline in revenue and market share in the luxury and business segments due to increasing competition and the absence of data-driven decision making. </w:t>
      </w:r>
    </w:p>
    <w:p w14:paraId="037B970D" w14:textId="77777777" w:rsidR="00CE1C32" w:rsidRDefault="00000000">
      <w:pPr>
        <w:ind w:left="-5" w:right="64"/>
      </w:pPr>
      <w:r>
        <w:t xml:space="preserve">To address this issue, business requirements, dashboard </w:t>
      </w:r>
      <w:proofErr w:type="spellStart"/>
      <w:r>
        <w:t>mockups</w:t>
      </w:r>
      <w:proofErr w:type="spellEnd"/>
      <w:r>
        <w:t xml:space="preserve">, and historical data were provided. The objective of this project is to </w:t>
      </w:r>
      <w:proofErr w:type="spellStart"/>
      <w:r>
        <w:t>analyze</w:t>
      </w:r>
      <w:proofErr w:type="spellEnd"/>
      <w:r>
        <w:t xml:space="preserve"> the given data and develop dashboards that deliver meaningful insights to support strategic and operational decisions. </w:t>
      </w:r>
    </w:p>
    <w:p w14:paraId="375E8E50" w14:textId="77777777" w:rsidR="00CE1C32" w:rsidRDefault="00000000">
      <w:pPr>
        <w:ind w:left="-5" w:right="64"/>
      </w:pPr>
      <w:r>
        <w:t xml:space="preserve">The initial dashboard </w:t>
      </w:r>
      <w:proofErr w:type="spellStart"/>
      <w:r>
        <w:t>mockup</w:t>
      </w:r>
      <w:proofErr w:type="spellEnd"/>
      <w:r>
        <w:t xml:space="preserve"> shared by the business has been included in this document for reference. </w:t>
      </w:r>
    </w:p>
    <w:p w14:paraId="41865C91" w14:textId="77777777" w:rsidR="00CE1C32" w:rsidRDefault="00000000">
      <w:pPr>
        <w:spacing w:after="100" w:line="259" w:lineRule="auto"/>
        <w:ind w:left="0" w:firstLine="0"/>
      </w:pPr>
      <w:r>
        <w:t xml:space="preserve"> </w:t>
      </w:r>
    </w:p>
    <w:p w14:paraId="5A9A07C8" w14:textId="77777777" w:rsidR="00CE1C32" w:rsidRDefault="00000000">
      <w:pPr>
        <w:spacing w:after="135" w:line="259" w:lineRule="auto"/>
        <w:ind w:left="0" w:firstLine="0"/>
        <w:jc w:val="right"/>
      </w:pPr>
      <w:r>
        <w:rPr>
          <w:noProof/>
        </w:rPr>
        <w:drawing>
          <wp:inline distT="0" distB="0" distL="0" distR="0" wp14:anchorId="1340BAF6" wp14:editId="35511E46">
            <wp:extent cx="5731510" cy="3659505"/>
            <wp:effectExtent l="0" t="0" r="0" b="0"/>
            <wp:docPr id="57" name="Picture 57"/>
            <wp:cNvGraphicFramePr/>
            <a:graphic xmlns:a="http://schemas.openxmlformats.org/drawingml/2006/main">
              <a:graphicData uri="http://schemas.openxmlformats.org/drawingml/2006/picture">
                <pic:pic xmlns:pic="http://schemas.openxmlformats.org/drawingml/2006/picture">
                  <pic:nvPicPr>
                    <pic:cNvPr id="57" name="Picture 57"/>
                    <pic:cNvPicPr/>
                  </pic:nvPicPr>
                  <pic:blipFill>
                    <a:blip r:embed="rId7"/>
                    <a:stretch>
                      <a:fillRect/>
                    </a:stretch>
                  </pic:blipFill>
                  <pic:spPr>
                    <a:xfrm>
                      <a:off x="0" y="0"/>
                      <a:ext cx="5731510" cy="3659505"/>
                    </a:xfrm>
                    <a:prstGeom prst="rect">
                      <a:avLst/>
                    </a:prstGeom>
                  </pic:spPr>
                </pic:pic>
              </a:graphicData>
            </a:graphic>
          </wp:inline>
        </w:drawing>
      </w:r>
      <w:r>
        <w:t xml:space="preserve"> </w:t>
      </w:r>
    </w:p>
    <w:p w14:paraId="62296D14" w14:textId="77777777" w:rsidR="00CE1C32" w:rsidRDefault="00000000">
      <w:pPr>
        <w:tabs>
          <w:tab w:val="center" w:pos="720"/>
          <w:tab w:val="center" w:pos="1440"/>
          <w:tab w:val="center" w:pos="2160"/>
          <w:tab w:val="center" w:pos="2881"/>
          <w:tab w:val="center" w:pos="4114"/>
        </w:tabs>
        <w:ind w:left="-15" w:firstLine="0"/>
      </w:pPr>
      <w:r>
        <w:t xml:space="preserve"> </w:t>
      </w:r>
      <w:r>
        <w:tab/>
        <w:t xml:space="preserve"> </w:t>
      </w:r>
      <w:r>
        <w:tab/>
        <w:t xml:space="preserve"> </w:t>
      </w:r>
      <w:r>
        <w:tab/>
        <w:t xml:space="preserve"> </w:t>
      </w:r>
      <w:r>
        <w:tab/>
        <w:t xml:space="preserve"> </w:t>
      </w:r>
      <w:r>
        <w:tab/>
        <w:t xml:space="preserve">MOCKUP </w:t>
      </w:r>
    </w:p>
    <w:p w14:paraId="6A4A87E8" w14:textId="77777777" w:rsidR="00CE1C32" w:rsidRDefault="00000000">
      <w:pPr>
        <w:spacing w:after="156" w:line="259" w:lineRule="auto"/>
        <w:ind w:left="0" w:firstLine="0"/>
      </w:pPr>
      <w:r>
        <w:t xml:space="preserve"> </w:t>
      </w:r>
    </w:p>
    <w:p w14:paraId="484CC1D9" w14:textId="77777777" w:rsidR="00CE1C32" w:rsidRDefault="00000000">
      <w:pPr>
        <w:ind w:left="-5" w:right="64"/>
      </w:pPr>
      <w:r>
        <w:t xml:space="preserve">Revenue Manager Requirements &amp; KPI Definitions </w:t>
      </w:r>
    </w:p>
    <w:p w14:paraId="43B57142" w14:textId="77777777" w:rsidR="00CE1C32" w:rsidRDefault="00000000">
      <w:pPr>
        <w:ind w:left="-5" w:right="64"/>
      </w:pPr>
      <w:r>
        <w:t xml:space="preserve">Based on discussions with the Revenue Manager, the following key performance metrics were identified as critical for revenue and occupancy analysis. </w:t>
      </w:r>
    </w:p>
    <w:p w14:paraId="22C6B922" w14:textId="77777777" w:rsidR="00CE1C32" w:rsidRDefault="00000000">
      <w:pPr>
        <w:spacing w:after="158" w:line="259" w:lineRule="auto"/>
        <w:ind w:left="0" w:firstLine="0"/>
      </w:pPr>
      <w:r>
        <w:t xml:space="preserve"> </w:t>
      </w:r>
    </w:p>
    <w:p w14:paraId="3CB9241E" w14:textId="77777777" w:rsidR="00CE1C32" w:rsidRDefault="00000000">
      <w:pPr>
        <w:spacing w:after="0" w:line="259" w:lineRule="auto"/>
        <w:ind w:left="0" w:firstLine="0"/>
      </w:pPr>
      <w:r>
        <w:t xml:space="preserve"> </w:t>
      </w:r>
    </w:p>
    <w:p w14:paraId="25AB79C7" w14:textId="77777777" w:rsidR="00CE1C32" w:rsidRDefault="00000000">
      <w:pPr>
        <w:ind w:left="-5" w:right="64"/>
      </w:pPr>
      <w:r>
        <w:lastRenderedPageBreak/>
        <w:t xml:space="preserve">Daily Sellable Room Nights (DSRN) </w:t>
      </w:r>
    </w:p>
    <w:p w14:paraId="3E6B89D4" w14:textId="77777777" w:rsidR="00CE1C32" w:rsidRDefault="00000000">
      <w:pPr>
        <w:spacing w:after="1"/>
        <w:ind w:left="-5" w:right="64"/>
      </w:pPr>
      <w:r>
        <w:t xml:space="preserve">To enable granular analysis, Daily Sellable Room Nights (DSRN) is used. </w:t>
      </w:r>
    </w:p>
    <w:p w14:paraId="3E936F3F" w14:textId="77777777" w:rsidR="00CE1C32" w:rsidRDefault="00000000">
      <w:pPr>
        <w:ind w:left="-5" w:right="64"/>
      </w:pPr>
      <w:r>
        <w:t xml:space="preserve">DSRN helps identify daily room availability trends and provides visibility into </w:t>
      </w:r>
      <w:proofErr w:type="spellStart"/>
      <w:r>
        <w:t>maintenancerelated</w:t>
      </w:r>
      <w:proofErr w:type="spellEnd"/>
      <w:r>
        <w:t xml:space="preserve"> room unavailability. </w:t>
      </w:r>
    </w:p>
    <w:p w14:paraId="391F8693" w14:textId="77777777" w:rsidR="00CE1C32" w:rsidRDefault="00000000">
      <w:pPr>
        <w:spacing w:after="156" w:line="259" w:lineRule="auto"/>
        <w:ind w:left="0" w:firstLine="0"/>
      </w:pPr>
      <w:r>
        <w:t xml:space="preserve"> </w:t>
      </w:r>
    </w:p>
    <w:p w14:paraId="097A8235" w14:textId="77777777" w:rsidR="00CE1C32" w:rsidRDefault="00000000">
      <w:pPr>
        <w:ind w:left="-5" w:right="64"/>
      </w:pPr>
      <w:r>
        <w:t xml:space="preserve">Key Metric Calculations  </w:t>
      </w:r>
    </w:p>
    <w:p w14:paraId="3BE1E5B3" w14:textId="77777777" w:rsidR="00CE1C32" w:rsidRDefault="00000000">
      <w:pPr>
        <w:numPr>
          <w:ilvl w:val="0"/>
          <w:numId w:val="1"/>
        </w:numPr>
        <w:spacing w:after="1"/>
        <w:ind w:right="64" w:hanging="360"/>
      </w:pPr>
      <w:r>
        <w:t xml:space="preserve">Revenue Per Available Room (RevPAR) </w:t>
      </w:r>
    </w:p>
    <w:p w14:paraId="6435D194" w14:textId="77777777" w:rsidR="00CE1C32" w:rsidRDefault="00000000">
      <w:pPr>
        <w:ind w:left="730" w:right="64"/>
      </w:pPr>
      <w:r>
        <w:t xml:space="preserve">RevPAR = Total Room Revenue / Total Sellable Rooms (SRN) </w:t>
      </w:r>
    </w:p>
    <w:p w14:paraId="7FB5F487" w14:textId="77777777" w:rsidR="00CE1C32" w:rsidRDefault="00000000">
      <w:pPr>
        <w:numPr>
          <w:ilvl w:val="0"/>
          <w:numId w:val="1"/>
        </w:numPr>
        <w:spacing w:after="1"/>
        <w:ind w:right="64" w:hanging="360"/>
      </w:pPr>
      <w:r>
        <w:t xml:space="preserve">Occupancy Percentage (%) </w:t>
      </w:r>
    </w:p>
    <w:p w14:paraId="0272D01D" w14:textId="77777777" w:rsidR="00CE1C32" w:rsidRDefault="00000000">
      <w:pPr>
        <w:ind w:left="730" w:right="64"/>
      </w:pPr>
      <w:r>
        <w:t xml:space="preserve">Occupancy % = Total Rooms Occupied / Total Sellable Rooms (SRN) </w:t>
      </w:r>
    </w:p>
    <w:p w14:paraId="09A69FC3" w14:textId="77777777" w:rsidR="00CE1C32" w:rsidRDefault="00000000">
      <w:pPr>
        <w:numPr>
          <w:ilvl w:val="0"/>
          <w:numId w:val="1"/>
        </w:numPr>
        <w:spacing w:after="1"/>
        <w:ind w:right="64" w:hanging="360"/>
      </w:pPr>
      <w:r>
        <w:t xml:space="preserve">Average Daily Rate (ADR) </w:t>
      </w:r>
    </w:p>
    <w:p w14:paraId="584BAA4C" w14:textId="77777777" w:rsidR="00CE1C32" w:rsidRDefault="00000000">
      <w:pPr>
        <w:ind w:left="730" w:right="64"/>
      </w:pPr>
      <w:r>
        <w:t xml:space="preserve">ADR = Total Room Revenue / Number of Rooms Sold </w:t>
      </w:r>
    </w:p>
    <w:p w14:paraId="69D107C1" w14:textId="77777777" w:rsidR="00CE1C32" w:rsidRDefault="00000000">
      <w:pPr>
        <w:spacing w:after="158" w:line="259" w:lineRule="auto"/>
        <w:ind w:left="0" w:firstLine="0"/>
      </w:pPr>
      <w:r>
        <w:t xml:space="preserve"> </w:t>
      </w:r>
    </w:p>
    <w:p w14:paraId="13236616" w14:textId="77777777" w:rsidR="00CE1C32" w:rsidRDefault="00000000">
      <w:pPr>
        <w:ind w:left="-5" w:right="64"/>
      </w:pPr>
      <w:r>
        <w:t xml:space="preserve">Room Night Metrics &amp; Booking Realization </w:t>
      </w:r>
    </w:p>
    <w:p w14:paraId="50100DD8" w14:textId="77777777" w:rsidR="00CE1C32" w:rsidRDefault="00000000">
      <w:pPr>
        <w:ind w:left="-5" w:right="64"/>
      </w:pPr>
      <w:r>
        <w:t xml:space="preserve">Booked Room Nights (BRN) </w:t>
      </w:r>
    </w:p>
    <w:p w14:paraId="12EFE59F" w14:textId="77777777" w:rsidR="00CE1C32" w:rsidRDefault="00000000">
      <w:pPr>
        <w:ind w:left="-5" w:right="64"/>
      </w:pPr>
      <w:r>
        <w:t xml:space="preserve">Booked Room Nights (BRN) represent the total number of room nights that were successfully booked by customers, regardless of whether the customer actually stayed or not. </w:t>
      </w:r>
    </w:p>
    <w:p w14:paraId="1848C98C" w14:textId="77777777" w:rsidR="00CE1C32" w:rsidRDefault="00000000">
      <w:pPr>
        <w:spacing w:after="1"/>
        <w:ind w:left="-5" w:right="64"/>
      </w:pPr>
      <w:r>
        <w:t xml:space="preserve">Example: </w:t>
      </w:r>
    </w:p>
    <w:p w14:paraId="3B68CFF5" w14:textId="77777777" w:rsidR="00CE1C32" w:rsidRDefault="00000000">
      <w:pPr>
        <w:ind w:left="-5" w:right="64"/>
      </w:pPr>
      <w:r>
        <w:t xml:space="preserve">If 60 room nights are booked, then BRN = 60. </w:t>
      </w:r>
    </w:p>
    <w:p w14:paraId="3EFECA83" w14:textId="77777777" w:rsidR="00CE1C32" w:rsidRDefault="00000000">
      <w:pPr>
        <w:spacing w:after="158" w:line="259" w:lineRule="auto"/>
        <w:ind w:left="0" w:firstLine="0"/>
      </w:pPr>
      <w:r>
        <w:t xml:space="preserve"> </w:t>
      </w:r>
    </w:p>
    <w:p w14:paraId="4FABDBA1" w14:textId="77777777" w:rsidR="00CE1C32" w:rsidRDefault="00000000">
      <w:pPr>
        <w:ind w:left="-5" w:right="64"/>
      </w:pPr>
      <w:r>
        <w:t xml:space="preserve">Utilized Room Nights (URN) </w:t>
      </w:r>
    </w:p>
    <w:p w14:paraId="0F1599BD" w14:textId="77777777" w:rsidR="00CE1C32" w:rsidRDefault="00000000">
      <w:pPr>
        <w:ind w:left="-5" w:right="64"/>
      </w:pPr>
      <w:r>
        <w:t xml:space="preserve">Utilized Room Nights (URN) represent the actual number of room nights that were utilized by customers who checked in and stayed at the hotel. </w:t>
      </w:r>
    </w:p>
    <w:p w14:paraId="4AB7B0DD" w14:textId="77777777" w:rsidR="00CE1C32" w:rsidRDefault="00000000">
      <w:pPr>
        <w:spacing w:after="1"/>
        <w:ind w:left="-5" w:right="64"/>
      </w:pPr>
      <w:r>
        <w:t xml:space="preserve">Example: </w:t>
      </w:r>
    </w:p>
    <w:p w14:paraId="0408F9E3" w14:textId="77777777" w:rsidR="00CE1C32" w:rsidRDefault="00000000">
      <w:pPr>
        <w:ind w:left="-5" w:right="64"/>
      </w:pPr>
      <w:r>
        <w:t xml:space="preserve">Out of 60 bookings, if only 50 customers stayed, then URN = 50. </w:t>
      </w:r>
    </w:p>
    <w:p w14:paraId="676726A5" w14:textId="77777777" w:rsidR="00CE1C32" w:rsidRDefault="00000000">
      <w:pPr>
        <w:spacing w:after="158" w:line="259" w:lineRule="auto"/>
        <w:ind w:left="0" w:firstLine="0"/>
      </w:pPr>
      <w:r>
        <w:t xml:space="preserve"> </w:t>
      </w:r>
    </w:p>
    <w:p w14:paraId="7B427615" w14:textId="77777777" w:rsidR="00CE1C32" w:rsidRDefault="00000000">
      <w:pPr>
        <w:ind w:left="-5" w:right="64"/>
      </w:pPr>
      <w:r>
        <w:t xml:space="preserve">Realization Ratio </w:t>
      </w:r>
    </w:p>
    <w:p w14:paraId="3FB90448" w14:textId="77777777" w:rsidR="00CE1C32" w:rsidRDefault="00000000">
      <w:pPr>
        <w:ind w:left="-5" w:right="64"/>
      </w:pPr>
      <w:r>
        <w:t xml:space="preserve">The realization ratio helps measure how many bookings converted into actual stays and highlights cancellations and no-shows. </w:t>
      </w:r>
    </w:p>
    <w:p w14:paraId="37E6135A" w14:textId="77777777" w:rsidR="00CE1C32" w:rsidRDefault="00000000">
      <w:pPr>
        <w:ind w:left="-5" w:right="64"/>
      </w:pPr>
      <w:r>
        <w:t xml:space="preserve">This metric is critical to understand booking effectiveness and customer </w:t>
      </w:r>
      <w:proofErr w:type="spellStart"/>
      <w:r>
        <w:t>behavior</w:t>
      </w:r>
      <w:proofErr w:type="spellEnd"/>
      <w:r>
        <w:t xml:space="preserve">. </w:t>
      </w:r>
    </w:p>
    <w:p w14:paraId="10812B54" w14:textId="77777777" w:rsidR="00CE1C32" w:rsidRDefault="00000000">
      <w:pPr>
        <w:spacing w:after="158" w:line="259" w:lineRule="auto"/>
        <w:ind w:left="0" w:firstLine="0"/>
      </w:pPr>
      <w:r>
        <w:t xml:space="preserve"> </w:t>
      </w:r>
    </w:p>
    <w:p w14:paraId="466801DE" w14:textId="77777777" w:rsidR="00CE1C32" w:rsidRDefault="00000000">
      <w:pPr>
        <w:ind w:left="-5" w:right="64"/>
      </w:pPr>
      <w:r>
        <w:t xml:space="preserve">Weekday vs Weekend Analysis </w:t>
      </w:r>
    </w:p>
    <w:p w14:paraId="1F1C7F03" w14:textId="77777777" w:rsidR="00CE1C32" w:rsidRDefault="00000000">
      <w:pPr>
        <w:ind w:left="-5" w:right="64"/>
      </w:pPr>
      <w:r>
        <w:t xml:space="preserve">For this project, hotel performance is </w:t>
      </w:r>
      <w:proofErr w:type="spellStart"/>
      <w:r>
        <w:t>analyzed</w:t>
      </w:r>
      <w:proofErr w:type="spellEnd"/>
      <w:r>
        <w:t xml:space="preserve"> across weekdays and weekends to identify demand patterns. </w:t>
      </w:r>
    </w:p>
    <w:p w14:paraId="23415601" w14:textId="77777777" w:rsidR="00CE1C32" w:rsidRDefault="00000000">
      <w:pPr>
        <w:numPr>
          <w:ilvl w:val="0"/>
          <w:numId w:val="2"/>
        </w:numPr>
        <w:ind w:right="64" w:hanging="360"/>
      </w:pPr>
      <w:r>
        <w:lastRenderedPageBreak/>
        <w:t xml:space="preserve">Weekdays: Sunday to Thursday </w:t>
      </w:r>
    </w:p>
    <w:p w14:paraId="1C8D3BE2" w14:textId="77777777" w:rsidR="00CE1C32" w:rsidRDefault="00000000">
      <w:pPr>
        <w:numPr>
          <w:ilvl w:val="0"/>
          <w:numId w:val="2"/>
        </w:numPr>
        <w:ind w:right="64" w:hanging="360"/>
      </w:pPr>
      <w:r>
        <w:t xml:space="preserve">Weekends: Friday and Saturday (as per hospitality industry standards) </w:t>
      </w:r>
    </w:p>
    <w:p w14:paraId="713F0692" w14:textId="77777777" w:rsidR="00CE1C32" w:rsidRDefault="00000000">
      <w:pPr>
        <w:ind w:left="-5" w:right="64"/>
      </w:pPr>
      <w:r>
        <w:t xml:space="preserve">This segmentation helps evaluate occupancy, revenue, and booking </w:t>
      </w:r>
      <w:proofErr w:type="spellStart"/>
      <w:r>
        <w:t>behavior</w:t>
      </w:r>
      <w:proofErr w:type="spellEnd"/>
      <w:r>
        <w:t xml:space="preserve"> differences between weekdays and weekends. </w:t>
      </w:r>
    </w:p>
    <w:p w14:paraId="19EBF518" w14:textId="77777777" w:rsidR="00CE1C32" w:rsidRDefault="00000000">
      <w:pPr>
        <w:spacing w:after="158" w:line="259" w:lineRule="auto"/>
        <w:ind w:left="0" w:firstLine="0"/>
      </w:pPr>
      <w:r>
        <w:t xml:space="preserve"> </w:t>
      </w:r>
    </w:p>
    <w:p w14:paraId="0C265C7C" w14:textId="77777777" w:rsidR="00CE1C32" w:rsidRDefault="00000000">
      <w:pPr>
        <w:ind w:left="-5" w:right="64"/>
      </w:pPr>
      <w:r>
        <w:t xml:space="preserve">Channel-Level Booking Analysis </w:t>
      </w:r>
    </w:p>
    <w:p w14:paraId="36B6AE74" w14:textId="77777777" w:rsidR="00CE1C32" w:rsidRDefault="00000000">
      <w:pPr>
        <w:ind w:left="-5" w:right="64"/>
      </w:pPr>
      <w:r>
        <w:t xml:space="preserve">Channel-level analysis has been included to understand booking performance across different platforms. </w:t>
      </w:r>
    </w:p>
    <w:p w14:paraId="194F74D4" w14:textId="77777777" w:rsidR="00CE1C32" w:rsidRDefault="00000000">
      <w:pPr>
        <w:ind w:left="-5" w:right="64"/>
      </w:pPr>
      <w:r>
        <w:t xml:space="preserve">This enables the business to: </w:t>
      </w:r>
    </w:p>
    <w:p w14:paraId="1841B6F2" w14:textId="77777777" w:rsidR="00CE1C32" w:rsidRDefault="00000000">
      <w:pPr>
        <w:numPr>
          <w:ilvl w:val="0"/>
          <w:numId w:val="2"/>
        </w:numPr>
        <w:ind w:right="64" w:hanging="360"/>
      </w:pPr>
      <w:r>
        <w:t xml:space="preserve">Identify high-performing and low-performing channels </w:t>
      </w:r>
    </w:p>
    <w:p w14:paraId="2C1411CB" w14:textId="77777777" w:rsidR="00CE1C32" w:rsidRDefault="00000000">
      <w:pPr>
        <w:numPr>
          <w:ilvl w:val="0"/>
          <w:numId w:val="2"/>
        </w:numPr>
        <w:ind w:right="64" w:hanging="360"/>
      </w:pPr>
      <w:proofErr w:type="spellStart"/>
      <w:r>
        <w:t>Analyze</w:t>
      </w:r>
      <w:proofErr w:type="spellEnd"/>
      <w:r>
        <w:t xml:space="preserve"> cancellation trends by channel </w:t>
      </w:r>
    </w:p>
    <w:p w14:paraId="18FB7536" w14:textId="77777777" w:rsidR="00CE1C32" w:rsidRDefault="00000000">
      <w:pPr>
        <w:numPr>
          <w:ilvl w:val="0"/>
          <w:numId w:val="2"/>
        </w:numPr>
        <w:ind w:right="64" w:hanging="360"/>
      </w:pPr>
      <w:r>
        <w:t xml:space="preserve">Optimize distribution and marketing strategies </w:t>
      </w:r>
    </w:p>
    <w:p w14:paraId="01CC51A4" w14:textId="77777777" w:rsidR="00CE1C32" w:rsidRDefault="00000000">
      <w:pPr>
        <w:spacing w:after="158" w:line="259" w:lineRule="auto"/>
        <w:ind w:left="0" w:firstLine="0"/>
      </w:pPr>
      <w:r>
        <w:t xml:space="preserve"> </w:t>
      </w:r>
    </w:p>
    <w:p w14:paraId="1664BCD3" w14:textId="77777777" w:rsidR="00CE1C32" w:rsidRDefault="00000000">
      <w:pPr>
        <w:ind w:left="-5" w:right="64"/>
      </w:pPr>
      <w:r>
        <w:t xml:space="preserve">Business Value </w:t>
      </w:r>
    </w:p>
    <w:p w14:paraId="31AC9FA1" w14:textId="77777777" w:rsidR="00CE1C32" w:rsidRDefault="00000000">
      <w:pPr>
        <w:ind w:left="-5" w:right="64"/>
      </w:pPr>
      <w:r>
        <w:t xml:space="preserve">Tracking </w:t>
      </w:r>
      <w:proofErr w:type="gramStart"/>
      <w:r>
        <w:t>DSRN ,ADR</w:t>
      </w:r>
      <w:proofErr w:type="gramEnd"/>
      <w:r>
        <w:t xml:space="preserve"> , realization percentage, weekday vs weekend performance, and channel-level bookings </w:t>
      </w:r>
      <w:proofErr w:type="gramStart"/>
      <w:r>
        <w:t>provides</w:t>
      </w:r>
      <w:proofErr w:type="gramEnd"/>
      <w:r>
        <w:t xml:space="preserve"> a comprehensive view of actual customer stays, improves forecasting accuracy, and supports better revenue and operational decisions. </w:t>
      </w:r>
    </w:p>
    <w:p w14:paraId="4674BE14" w14:textId="77777777" w:rsidR="00CE1C32" w:rsidRDefault="00000000">
      <w:pPr>
        <w:spacing w:after="158" w:line="259" w:lineRule="auto"/>
        <w:ind w:left="0" w:firstLine="0"/>
      </w:pPr>
      <w:r>
        <w:t xml:space="preserve"> </w:t>
      </w:r>
    </w:p>
    <w:p w14:paraId="07ACCFE6" w14:textId="77777777" w:rsidR="00CE1C32" w:rsidRDefault="00000000">
      <w:pPr>
        <w:spacing w:after="158" w:line="259" w:lineRule="auto"/>
        <w:ind w:left="0" w:firstLine="0"/>
      </w:pPr>
      <w:r>
        <w:t xml:space="preserve"> </w:t>
      </w:r>
    </w:p>
    <w:p w14:paraId="0BB05ABD" w14:textId="77777777" w:rsidR="00CE1C32" w:rsidRDefault="00000000">
      <w:pPr>
        <w:spacing w:after="158" w:line="259" w:lineRule="auto"/>
        <w:ind w:left="0" w:firstLine="0"/>
      </w:pPr>
      <w:r>
        <w:t xml:space="preserve"> </w:t>
      </w:r>
    </w:p>
    <w:p w14:paraId="0795B046" w14:textId="77777777" w:rsidR="00CE1C32" w:rsidRDefault="00000000">
      <w:pPr>
        <w:spacing w:after="156" w:line="259" w:lineRule="auto"/>
        <w:ind w:left="0" w:firstLine="0"/>
      </w:pPr>
      <w:r>
        <w:t xml:space="preserve"> </w:t>
      </w:r>
    </w:p>
    <w:p w14:paraId="149815F8" w14:textId="77777777" w:rsidR="00CE1C32" w:rsidRDefault="00000000">
      <w:pPr>
        <w:spacing w:after="158" w:line="259" w:lineRule="auto"/>
        <w:ind w:left="0" w:firstLine="0"/>
      </w:pPr>
      <w:r>
        <w:t xml:space="preserve"> </w:t>
      </w:r>
    </w:p>
    <w:p w14:paraId="298F88D6" w14:textId="77777777" w:rsidR="00CE1C32" w:rsidRDefault="00000000">
      <w:pPr>
        <w:spacing w:after="158" w:line="259" w:lineRule="auto"/>
        <w:ind w:left="0" w:firstLine="0"/>
      </w:pPr>
      <w:r>
        <w:t xml:space="preserve"> </w:t>
      </w:r>
    </w:p>
    <w:p w14:paraId="028146FF" w14:textId="77777777" w:rsidR="00CE1C32" w:rsidRDefault="00000000">
      <w:pPr>
        <w:spacing w:after="158" w:line="259" w:lineRule="auto"/>
        <w:ind w:left="0" w:firstLine="0"/>
      </w:pPr>
      <w:r>
        <w:t xml:space="preserve"> </w:t>
      </w:r>
    </w:p>
    <w:p w14:paraId="348D6287" w14:textId="77777777" w:rsidR="00CE1C32" w:rsidRDefault="00000000">
      <w:pPr>
        <w:spacing w:after="156" w:line="259" w:lineRule="auto"/>
        <w:ind w:left="0" w:firstLine="0"/>
      </w:pPr>
      <w:r>
        <w:t xml:space="preserve"> </w:t>
      </w:r>
    </w:p>
    <w:p w14:paraId="2F09B03C" w14:textId="77777777" w:rsidR="00CE1C32" w:rsidRDefault="00000000">
      <w:pPr>
        <w:spacing w:after="158" w:line="259" w:lineRule="auto"/>
        <w:ind w:left="0" w:firstLine="0"/>
      </w:pPr>
      <w:r>
        <w:t xml:space="preserve"> </w:t>
      </w:r>
    </w:p>
    <w:p w14:paraId="21BABA73" w14:textId="77777777" w:rsidR="00CE1C32" w:rsidRDefault="00000000">
      <w:pPr>
        <w:spacing w:after="158" w:line="259" w:lineRule="auto"/>
        <w:ind w:left="0" w:firstLine="0"/>
      </w:pPr>
      <w:r>
        <w:t xml:space="preserve"> </w:t>
      </w:r>
    </w:p>
    <w:p w14:paraId="138FA0A7" w14:textId="77777777" w:rsidR="00CE1C32" w:rsidRDefault="00000000">
      <w:pPr>
        <w:spacing w:after="158" w:line="259" w:lineRule="auto"/>
        <w:ind w:left="0" w:firstLine="0"/>
      </w:pPr>
      <w:r>
        <w:t xml:space="preserve"> </w:t>
      </w:r>
    </w:p>
    <w:p w14:paraId="0812D61A" w14:textId="77777777" w:rsidR="00CE1C32" w:rsidRDefault="00000000">
      <w:pPr>
        <w:spacing w:after="0" w:line="259" w:lineRule="auto"/>
        <w:ind w:left="0" w:firstLine="0"/>
      </w:pPr>
      <w:r>
        <w:t xml:space="preserve"> </w:t>
      </w:r>
    </w:p>
    <w:p w14:paraId="55AC5619" w14:textId="77777777" w:rsidR="00CE1C32" w:rsidRDefault="00000000">
      <w:pPr>
        <w:spacing w:after="105" w:line="259" w:lineRule="auto"/>
        <w:ind w:left="0" w:right="1337" w:firstLine="0"/>
        <w:jc w:val="right"/>
      </w:pPr>
      <w:r>
        <w:rPr>
          <w:noProof/>
        </w:rPr>
        <w:lastRenderedPageBreak/>
        <w:drawing>
          <wp:inline distT="0" distB="0" distL="0" distR="0" wp14:anchorId="04034067" wp14:editId="0BCA545C">
            <wp:extent cx="4884420" cy="3345180"/>
            <wp:effectExtent l="0" t="0" r="0" b="0"/>
            <wp:docPr id="283" name="Picture 283"/>
            <wp:cNvGraphicFramePr/>
            <a:graphic xmlns:a="http://schemas.openxmlformats.org/drawingml/2006/main">
              <a:graphicData uri="http://schemas.openxmlformats.org/drawingml/2006/picture">
                <pic:pic xmlns:pic="http://schemas.openxmlformats.org/drawingml/2006/picture">
                  <pic:nvPicPr>
                    <pic:cNvPr id="283" name="Picture 283"/>
                    <pic:cNvPicPr/>
                  </pic:nvPicPr>
                  <pic:blipFill>
                    <a:blip r:embed="rId8"/>
                    <a:stretch>
                      <a:fillRect/>
                    </a:stretch>
                  </pic:blipFill>
                  <pic:spPr>
                    <a:xfrm>
                      <a:off x="0" y="0"/>
                      <a:ext cx="4884420" cy="3345180"/>
                    </a:xfrm>
                    <a:prstGeom prst="rect">
                      <a:avLst/>
                    </a:prstGeom>
                  </pic:spPr>
                </pic:pic>
              </a:graphicData>
            </a:graphic>
          </wp:inline>
        </w:drawing>
      </w:r>
      <w:r>
        <w:t xml:space="preserve"> </w:t>
      </w:r>
    </w:p>
    <w:p w14:paraId="4F6FCED4" w14:textId="77777777" w:rsidR="00CE1C32" w:rsidRDefault="00000000">
      <w:pPr>
        <w:ind w:left="-5" w:right="64"/>
      </w:pPr>
      <w:r>
        <w:t xml:space="preserve">Week Number Assignment Logic </w:t>
      </w:r>
    </w:p>
    <w:p w14:paraId="0F5E7B60" w14:textId="77777777" w:rsidR="00CE1C32" w:rsidRDefault="00000000">
      <w:pPr>
        <w:ind w:left="-5" w:right="64"/>
      </w:pPr>
      <w:r>
        <w:t xml:space="preserve">The dataset uses an ISO-based business week mapping. Although 1 May 2022 falls on a Sunday, it is assigned to Week 19 in the dataset. This is because Week 19 represents the business week starting from Monday, 2 May 2022, and the preceding Sunday is grouped with the upcoming business week for consistent weekly reporting. </w:t>
      </w:r>
    </w:p>
    <w:p w14:paraId="36AFDBFB" w14:textId="77777777" w:rsidR="00CE1C32" w:rsidRDefault="00000000">
      <w:pPr>
        <w:spacing w:after="1"/>
        <w:ind w:left="-5" w:right="64"/>
      </w:pPr>
      <w:r>
        <w:t xml:space="preserve">Week numbers in the dataset follow a year-based calendar system. </w:t>
      </w:r>
    </w:p>
    <w:p w14:paraId="1396F850" w14:textId="77777777" w:rsidR="00CE1C32" w:rsidRDefault="00000000">
      <w:pPr>
        <w:ind w:left="-5" w:right="64"/>
      </w:pPr>
      <w:r>
        <w:t xml:space="preserve">Therefore, the same week number appearing across different months represents the same business week, with month labels used only for reporting purposes. </w:t>
      </w:r>
    </w:p>
    <w:p w14:paraId="21C0DD85" w14:textId="77777777" w:rsidR="00CE1C32" w:rsidRDefault="00000000">
      <w:pPr>
        <w:ind w:left="-5" w:right="64"/>
      </w:pPr>
      <w:r>
        <w:t xml:space="preserve">This week-mapping approach ensures uniform aggregation of revenue, occupancy, and booking metrics at a weekly level and is commonly used in analytics and reporting systems. </w:t>
      </w:r>
    </w:p>
    <w:p w14:paraId="7EFF0397" w14:textId="77777777" w:rsidR="00CE1C32" w:rsidRDefault="00000000">
      <w:pPr>
        <w:spacing w:after="158" w:line="259" w:lineRule="auto"/>
        <w:ind w:left="0" w:firstLine="0"/>
      </w:pPr>
      <w:r>
        <w:t xml:space="preserve"> </w:t>
      </w:r>
    </w:p>
    <w:p w14:paraId="1839B49D" w14:textId="77777777" w:rsidR="00CE1C32" w:rsidRDefault="00000000">
      <w:pPr>
        <w:spacing w:after="158" w:line="259" w:lineRule="auto"/>
        <w:ind w:left="0" w:firstLine="0"/>
      </w:pPr>
      <w:r>
        <w:t xml:space="preserve"> </w:t>
      </w:r>
    </w:p>
    <w:p w14:paraId="78D2AF24" w14:textId="77777777" w:rsidR="00CE1C32" w:rsidRDefault="00000000">
      <w:pPr>
        <w:spacing w:after="158" w:line="259" w:lineRule="auto"/>
        <w:ind w:left="0" w:firstLine="0"/>
      </w:pPr>
      <w:r>
        <w:t xml:space="preserve"> </w:t>
      </w:r>
    </w:p>
    <w:p w14:paraId="4595FC8D" w14:textId="77777777" w:rsidR="00CE1C32" w:rsidRDefault="00000000">
      <w:pPr>
        <w:spacing w:after="156" w:line="259" w:lineRule="auto"/>
        <w:ind w:left="0" w:firstLine="0"/>
      </w:pPr>
      <w:r>
        <w:t xml:space="preserve"> </w:t>
      </w:r>
    </w:p>
    <w:p w14:paraId="26068C75" w14:textId="77777777" w:rsidR="00CE1C32" w:rsidRDefault="00000000">
      <w:pPr>
        <w:spacing w:after="158" w:line="259" w:lineRule="auto"/>
        <w:ind w:left="0" w:firstLine="0"/>
      </w:pPr>
      <w:r>
        <w:t xml:space="preserve"> </w:t>
      </w:r>
    </w:p>
    <w:p w14:paraId="6447392C" w14:textId="77777777" w:rsidR="00CE1C32" w:rsidRDefault="00000000">
      <w:pPr>
        <w:spacing w:after="158" w:line="259" w:lineRule="auto"/>
        <w:ind w:left="0" w:firstLine="0"/>
      </w:pPr>
      <w:r>
        <w:t xml:space="preserve"> </w:t>
      </w:r>
    </w:p>
    <w:p w14:paraId="1B693091" w14:textId="77777777" w:rsidR="00CE1C32" w:rsidRDefault="00000000">
      <w:pPr>
        <w:spacing w:after="158" w:line="259" w:lineRule="auto"/>
        <w:ind w:left="0" w:firstLine="0"/>
      </w:pPr>
      <w:r>
        <w:t xml:space="preserve"> </w:t>
      </w:r>
    </w:p>
    <w:p w14:paraId="2D78ED83" w14:textId="77777777" w:rsidR="00CE1C32" w:rsidRDefault="00000000">
      <w:pPr>
        <w:spacing w:after="156" w:line="259" w:lineRule="auto"/>
        <w:ind w:left="0" w:firstLine="0"/>
      </w:pPr>
      <w:r>
        <w:t xml:space="preserve"> </w:t>
      </w:r>
    </w:p>
    <w:p w14:paraId="133C9555" w14:textId="77777777" w:rsidR="00CE1C32" w:rsidRDefault="00000000">
      <w:pPr>
        <w:spacing w:after="158" w:line="259" w:lineRule="auto"/>
        <w:ind w:left="0" w:firstLine="0"/>
      </w:pPr>
      <w:r>
        <w:t xml:space="preserve"> </w:t>
      </w:r>
    </w:p>
    <w:p w14:paraId="16399015" w14:textId="77777777" w:rsidR="00CE1C32" w:rsidRDefault="00000000">
      <w:pPr>
        <w:spacing w:after="0" w:line="259" w:lineRule="auto"/>
        <w:ind w:left="0" w:firstLine="0"/>
      </w:pPr>
      <w:r>
        <w:t xml:space="preserve"> </w:t>
      </w:r>
    </w:p>
    <w:p w14:paraId="395943EE" w14:textId="77777777" w:rsidR="00CE1C32" w:rsidRDefault="00000000">
      <w:pPr>
        <w:spacing w:after="1"/>
        <w:ind w:left="-5" w:right="64"/>
      </w:pPr>
      <w:r>
        <w:lastRenderedPageBreak/>
        <w:t xml:space="preserve">Time Period: May 2022 – July 2022 </w:t>
      </w:r>
    </w:p>
    <w:p w14:paraId="308FD42F" w14:textId="77777777" w:rsidR="00CE1C32" w:rsidRDefault="00000000">
      <w:pPr>
        <w:spacing w:after="1"/>
        <w:ind w:left="-5" w:right="64"/>
      </w:pPr>
      <w:r>
        <w:t xml:space="preserve">Category: Elite Mumbai  </w:t>
      </w:r>
    </w:p>
    <w:p w14:paraId="18CBD6EF" w14:textId="77777777" w:rsidR="00CE1C32" w:rsidRDefault="00000000">
      <w:pPr>
        <w:ind w:left="-5" w:right="64"/>
      </w:pPr>
      <w:r>
        <w:t xml:space="preserve">Granularity: Weekly Revenue (₹ Millions) </w:t>
      </w:r>
    </w:p>
    <w:p w14:paraId="5F0149B7" w14:textId="77777777" w:rsidR="00CE1C32" w:rsidRDefault="00000000">
      <w:pPr>
        <w:spacing w:after="158" w:line="259" w:lineRule="auto"/>
        <w:ind w:left="0" w:firstLine="0"/>
      </w:pPr>
      <w:r>
        <w:t xml:space="preserve"> </w:t>
      </w:r>
    </w:p>
    <w:p w14:paraId="4F75E8D7" w14:textId="77777777" w:rsidR="00CE1C32" w:rsidRDefault="00000000">
      <w:pPr>
        <w:spacing w:after="1"/>
        <w:ind w:left="-5" w:right="64"/>
      </w:pPr>
      <w:r>
        <w:t xml:space="preserve">Weekly revenue data was consolidated at the Year–Week level to ensure accurate representation of weekly business performance. This aggregation eliminated duplicate counts caused by month-level splits (e.g., May W23 and June W23 were combined), providing true weekly figures for Aggregated Weekly Revenue (Rounded): </w:t>
      </w:r>
    </w:p>
    <w:tbl>
      <w:tblPr>
        <w:tblStyle w:val="TableGrid"/>
        <w:tblW w:w="2246" w:type="dxa"/>
        <w:tblInd w:w="5" w:type="dxa"/>
        <w:tblCellMar>
          <w:top w:w="62" w:type="dxa"/>
          <w:left w:w="108" w:type="dxa"/>
          <w:bottom w:w="0" w:type="dxa"/>
          <w:right w:w="48" w:type="dxa"/>
        </w:tblCellMar>
        <w:tblLook w:val="04A0" w:firstRow="1" w:lastRow="0" w:firstColumn="1" w:lastColumn="0" w:noHBand="0" w:noVBand="1"/>
      </w:tblPr>
      <w:tblGrid>
        <w:gridCol w:w="758"/>
        <w:gridCol w:w="1488"/>
      </w:tblGrid>
      <w:tr w:rsidR="00CE1C32" w14:paraId="6A5BB42A" w14:textId="77777777">
        <w:trPr>
          <w:trHeight w:val="286"/>
        </w:trPr>
        <w:tc>
          <w:tcPr>
            <w:tcW w:w="758" w:type="dxa"/>
            <w:tcBorders>
              <w:top w:val="single" w:sz="4" w:space="0" w:color="000000"/>
              <w:left w:val="single" w:sz="4" w:space="0" w:color="000000"/>
              <w:bottom w:val="single" w:sz="4" w:space="0" w:color="000000"/>
              <w:right w:val="single" w:sz="4" w:space="0" w:color="000000"/>
            </w:tcBorders>
          </w:tcPr>
          <w:p w14:paraId="79726781" w14:textId="77777777" w:rsidR="00CE1C32" w:rsidRDefault="00000000">
            <w:pPr>
              <w:spacing w:after="0" w:line="259" w:lineRule="auto"/>
              <w:ind w:left="0" w:firstLine="0"/>
              <w:jc w:val="both"/>
            </w:pPr>
            <w:r>
              <w:t xml:space="preserve">Week </w:t>
            </w:r>
          </w:p>
        </w:tc>
        <w:tc>
          <w:tcPr>
            <w:tcW w:w="1488" w:type="dxa"/>
            <w:tcBorders>
              <w:top w:val="single" w:sz="4" w:space="0" w:color="000000"/>
              <w:left w:val="single" w:sz="4" w:space="0" w:color="000000"/>
              <w:bottom w:val="single" w:sz="4" w:space="0" w:color="000000"/>
              <w:right w:val="single" w:sz="4" w:space="0" w:color="000000"/>
            </w:tcBorders>
          </w:tcPr>
          <w:p w14:paraId="34F9B32E" w14:textId="77777777" w:rsidR="00CE1C32" w:rsidRDefault="00000000">
            <w:pPr>
              <w:spacing w:after="0" w:line="259" w:lineRule="auto"/>
              <w:ind w:left="0" w:firstLine="0"/>
              <w:jc w:val="both"/>
            </w:pPr>
            <w:r>
              <w:t xml:space="preserve">Revenue (M) </w:t>
            </w:r>
          </w:p>
        </w:tc>
      </w:tr>
      <w:tr w:rsidR="00CE1C32" w14:paraId="0E5C9051" w14:textId="77777777">
        <w:trPr>
          <w:trHeight w:val="286"/>
        </w:trPr>
        <w:tc>
          <w:tcPr>
            <w:tcW w:w="758" w:type="dxa"/>
            <w:tcBorders>
              <w:top w:val="single" w:sz="4" w:space="0" w:color="000000"/>
              <w:left w:val="single" w:sz="4" w:space="0" w:color="000000"/>
              <w:bottom w:val="single" w:sz="4" w:space="0" w:color="000000"/>
              <w:right w:val="single" w:sz="4" w:space="0" w:color="000000"/>
            </w:tcBorders>
          </w:tcPr>
          <w:p w14:paraId="5B1BA1E6" w14:textId="77777777" w:rsidR="00CE1C32" w:rsidRDefault="00000000">
            <w:pPr>
              <w:spacing w:after="0" w:line="259" w:lineRule="auto"/>
              <w:ind w:left="0" w:firstLine="0"/>
              <w:jc w:val="both"/>
            </w:pPr>
            <w:r>
              <w:t xml:space="preserve">W19 </w:t>
            </w:r>
          </w:p>
        </w:tc>
        <w:tc>
          <w:tcPr>
            <w:tcW w:w="1488" w:type="dxa"/>
            <w:tcBorders>
              <w:top w:val="single" w:sz="4" w:space="0" w:color="000000"/>
              <w:left w:val="single" w:sz="4" w:space="0" w:color="000000"/>
              <w:bottom w:val="single" w:sz="4" w:space="0" w:color="000000"/>
              <w:right w:val="single" w:sz="4" w:space="0" w:color="000000"/>
            </w:tcBorders>
          </w:tcPr>
          <w:p w14:paraId="4E1ECAF2" w14:textId="77777777" w:rsidR="00CE1C32" w:rsidRDefault="00000000">
            <w:pPr>
              <w:spacing w:after="0" w:line="259" w:lineRule="auto"/>
              <w:ind w:left="0" w:firstLine="0"/>
            </w:pPr>
            <w:r>
              <w:t xml:space="preserve">54 </w:t>
            </w:r>
          </w:p>
        </w:tc>
      </w:tr>
      <w:tr w:rsidR="00CE1C32" w14:paraId="12BEBF2F" w14:textId="77777777">
        <w:trPr>
          <w:trHeight w:val="286"/>
        </w:trPr>
        <w:tc>
          <w:tcPr>
            <w:tcW w:w="758" w:type="dxa"/>
            <w:tcBorders>
              <w:top w:val="single" w:sz="4" w:space="0" w:color="000000"/>
              <w:left w:val="single" w:sz="4" w:space="0" w:color="000000"/>
              <w:bottom w:val="single" w:sz="4" w:space="0" w:color="000000"/>
              <w:right w:val="single" w:sz="4" w:space="0" w:color="000000"/>
            </w:tcBorders>
          </w:tcPr>
          <w:p w14:paraId="10192435" w14:textId="77777777" w:rsidR="00CE1C32" w:rsidRDefault="00000000">
            <w:pPr>
              <w:spacing w:after="0" w:line="259" w:lineRule="auto"/>
              <w:ind w:left="0" w:firstLine="0"/>
              <w:jc w:val="both"/>
            </w:pPr>
            <w:r>
              <w:t xml:space="preserve">W20 </w:t>
            </w:r>
          </w:p>
        </w:tc>
        <w:tc>
          <w:tcPr>
            <w:tcW w:w="1488" w:type="dxa"/>
            <w:tcBorders>
              <w:top w:val="single" w:sz="4" w:space="0" w:color="000000"/>
              <w:left w:val="single" w:sz="4" w:space="0" w:color="000000"/>
              <w:bottom w:val="single" w:sz="4" w:space="0" w:color="000000"/>
              <w:right w:val="single" w:sz="4" w:space="0" w:color="000000"/>
            </w:tcBorders>
          </w:tcPr>
          <w:p w14:paraId="2F8EC23F" w14:textId="77777777" w:rsidR="00CE1C32" w:rsidRDefault="00000000">
            <w:pPr>
              <w:spacing w:after="0" w:line="259" w:lineRule="auto"/>
              <w:ind w:left="0" w:firstLine="0"/>
            </w:pPr>
            <w:r>
              <w:t xml:space="preserve">50 </w:t>
            </w:r>
          </w:p>
        </w:tc>
      </w:tr>
      <w:tr w:rsidR="00CE1C32" w14:paraId="26D7343B" w14:textId="77777777">
        <w:trPr>
          <w:trHeight w:val="286"/>
        </w:trPr>
        <w:tc>
          <w:tcPr>
            <w:tcW w:w="758" w:type="dxa"/>
            <w:tcBorders>
              <w:top w:val="single" w:sz="4" w:space="0" w:color="000000"/>
              <w:left w:val="single" w:sz="4" w:space="0" w:color="000000"/>
              <w:bottom w:val="single" w:sz="4" w:space="0" w:color="000000"/>
              <w:right w:val="single" w:sz="4" w:space="0" w:color="000000"/>
            </w:tcBorders>
          </w:tcPr>
          <w:p w14:paraId="3AB92ED0" w14:textId="77777777" w:rsidR="00CE1C32" w:rsidRDefault="00000000">
            <w:pPr>
              <w:spacing w:after="0" w:line="259" w:lineRule="auto"/>
              <w:ind w:left="0" w:firstLine="0"/>
              <w:jc w:val="both"/>
            </w:pPr>
            <w:r>
              <w:rPr>
                <w:color w:val="8EAADB"/>
              </w:rPr>
              <w:t xml:space="preserve">W21 </w:t>
            </w:r>
          </w:p>
        </w:tc>
        <w:tc>
          <w:tcPr>
            <w:tcW w:w="1488" w:type="dxa"/>
            <w:tcBorders>
              <w:top w:val="single" w:sz="4" w:space="0" w:color="000000"/>
              <w:left w:val="single" w:sz="4" w:space="0" w:color="000000"/>
              <w:bottom w:val="single" w:sz="4" w:space="0" w:color="000000"/>
              <w:right w:val="single" w:sz="4" w:space="0" w:color="000000"/>
            </w:tcBorders>
          </w:tcPr>
          <w:p w14:paraId="6D45B900" w14:textId="77777777" w:rsidR="00CE1C32" w:rsidRDefault="00000000">
            <w:pPr>
              <w:spacing w:after="0" w:line="259" w:lineRule="auto"/>
              <w:ind w:left="0" w:firstLine="0"/>
            </w:pPr>
            <w:r>
              <w:rPr>
                <w:color w:val="8EAADB"/>
              </w:rPr>
              <w:t xml:space="preserve">49 </w:t>
            </w:r>
          </w:p>
        </w:tc>
      </w:tr>
      <w:tr w:rsidR="00CE1C32" w14:paraId="357AA6C3" w14:textId="77777777">
        <w:trPr>
          <w:trHeight w:val="288"/>
        </w:trPr>
        <w:tc>
          <w:tcPr>
            <w:tcW w:w="758" w:type="dxa"/>
            <w:tcBorders>
              <w:top w:val="single" w:sz="4" w:space="0" w:color="000000"/>
              <w:left w:val="single" w:sz="4" w:space="0" w:color="000000"/>
              <w:bottom w:val="single" w:sz="4" w:space="0" w:color="000000"/>
              <w:right w:val="single" w:sz="4" w:space="0" w:color="000000"/>
            </w:tcBorders>
          </w:tcPr>
          <w:p w14:paraId="28FB7F65" w14:textId="77777777" w:rsidR="00CE1C32" w:rsidRDefault="00000000">
            <w:pPr>
              <w:spacing w:after="0" w:line="259" w:lineRule="auto"/>
              <w:ind w:left="0" w:firstLine="0"/>
              <w:jc w:val="both"/>
            </w:pPr>
            <w:r>
              <w:t xml:space="preserve">W22 </w:t>
            </w:r>
          </w:p>
        </w:tc>
        <w:tc>
          <w:tcPr>
            <w:tcW w:w="1488" w:type="dxa"/>
            <w:tcBorders>
              <w:top w:val="single" w:sz="4" w:space="0" w:color="000000"/>
              <w:left w:val="single" w:sz="4" w:space="0" w:color="000000"/>
              <w:bottom w:val="single" w:sz="4" w:space="0" w:color="000000"/>
              <w:right w:val="single" w:sz="4" w:space="0" w:color="000000"/>
            </w:tcBorders>
          </w:tcPr>
          <w:p w14:paraId="535315DD" w14:textId="77777777" w:rsidR="00CE1C32" w:rsidRDefault="00000000">
            <w:pPr>
              <w:spacing w:after="0" w:line="259" w:lineRule="auto"/>
              <w:ind w:left="0" w:firstLine="0"/>
            </w:pPr>
            <w:r>
              <w:t xml:space="preserve">51 </w:t>
            </w:r>
          </w:p>
        </w:tc>
      </w:tr>
      <w:tr w:rsidR="00CE1C32" w14:paraId="36D43E21" w14:textId="77777777">
        <w:trPr>
          <w:trHeight w:val="286"/>
        </w:trPr>
        <w:tc>
          <w:tcPr>
            <w:tcW w:w="758" w:type="dxa"/>
            <w:tcBorders>
              <w:top w:val="single" w:sz="4" w:space="0" w:color="000000"/>
              <w:left w:val="single" w:sz="4" w:space="0" w:color="000000"/>
              <w:bottom w:val="single" w:sz="4" w:space="0" w:color="000000"/>
              <w:right w:val="single" w:sz="4" w:space="0" w:color="000000"/>
            </w:tcBorders>
          </w:tcPr>
          <w:p w14:paraId="3D5C5AC3" w14:textId="77777777" w:rsidR="00CE1C32" w:rsidRDefault="00000000">
            <w:pPr>
              <w:spacing w:after="0" w:line="259" w:lineRule="auto"/>
              <w:ind w:left="0" w:firstLine="0"/>
              <w:jc w:val="both"/>
            </w:pPr>
            <w:r>
              <w:rPr>
                <w:color w:val="8EAADB"/>
              </w:rPr>
              <w:t xml:space="preserve">W23 </w:t>
            </w:r>
          </w:p>
        </w:tc>
        <w:tc>
          <w:tcPr>
            <w:tcW w:w="1488" w:type="dxa"/>
            <w:tcBorders>
              <w:top w:val="single" w:sz="4" w:space="0" w:color="000000"/>
              <w:left w:val="single" w:sz="4" w:space="0" w:color="000000"/>
              <w:bottom w:val="single" w:sz="4" w:space="0" w:color="000000"/>
              <w:right w:val="single" w:sz="4" w:space="0" w:color="000000"/>
            </w:tcBorders>
          </w:tcPr>
          <w:p w14:paraId="1B12AF1A" w14:textId="77777777" w:rsidR="00CE1C32" w:rsidRDefault="00000000">
            <w:pPr>
              <w:spacing w:after="0" w:line="259" w:lineRule="auto"/>
              <w:ind w:left="0" w:firstLine="0"/>
            </w:pPr>
            <w:r>
              <w:rPr>
                <w:color w:val="8EAADB"/>
              </w:rPr>
              <w:t xml:space="preserve">49 </w:t>
            </w:r>
          </w:p>
        </w:tc>
      </w:tr>
      <w:tr w:rsidR="00CE1C32" w14:paraId="0F96987C" w14:textId="77777777">
        <w:trPr>
          <w:trHeight w:val="286"/>
        </w:trPr>
        <w:tc>
          <w:tcPr>
            <w:tcW w:w="758" w:type="dxa"/>
            <w:tcBorders>
              <w:top w:val="single" w:sz="4" w:space="0" w:color="000000"/>
              <w:left w:val="single" w:sz="4" w:space="0" w:color="000000"/>
              <w:bottom w:val="single" w:sz="4" w:space="0" w:color="000000"/>
              <w:right w:val="single" w:sz="4" w:space="0" w:color="000000"/>
            </w:tcBorders>
          </w:tcPr>
          <w:p w14:paraId="07604EFC" w14:textId="77777777" w:rsidR="00CE1C32" w:rsidRDefault="00000000">
            <w:pPr>
              <w:spacing w:after="0" w:line="259" w:lineRule="auto"/>
              <w:ind w:left="0" w:firstLine="0"/>
              <w:jc w:val="both"/>
            </w:pPr>
            <w:r>
              <w:t xml:space="preserve">W24 </w:t>
            </w:r>
          </w:p>
        </w:tc>
        <w:tc>
          <w:tcPr>
            <w:tcW w:w="1488" w:type="dxa"/>
            <w:tcBorders>
              <w:top w:val="single" w:sz="4" w:space="0" w:color="000000"/>
              <w:left w:val="single" w:sz="4" w:space="0" w:color="000000"/>
              <w:bottom w:val="single" w:sz="4" w:space="0" w:color="000000"/>
              <w:right w:val="single" w:sz="4" w:space="0" w:color="000000"/>
            </w:tcBorders>
          </w:tcPr>
          <w:p w14:paraId="14C2C89B" w14:textId="77777777" w:rsidR="00CE1C32" w:rsidRDefault="00000000">
            <w:pPr>
              <w:spacing w:after="0" w:line="259" w:lineRule="auto"/>
              <w:ind w:left="0" w:firstLine="0"/>
            </w:pPr>
            <w:r>
              <w:t xml:space="preserve">55 </w:t>
            </w:r>
          </w:p>
        </w:tc>
      </w:tr>
      <w:tr w:rsidR="00CE1C32" w14:paraId="208977D4" w14:textId="77777777">
        <w:trPr>
          <w:trHeight w:val="286"/>
        </w:trPr>
        <w:tc>
          <w:tcPr>
            <w:tcW w:w="758" w:type="dxa"/>
            <w:tcBorders>
              <w:top w:val="single" w:sz="4" w:space="0" w:color="000000"/>
              <w:left w:val="single" w:sz="4" w:space="0" w:color="000000"/>
              <w:bottom w:val="single" w:sz="4" w:space="0" w:color="000000"/>
              <w:right w:val="single" w:sz="4" w:space="0" w:color="000000"/>
            </w:tcBorders>
          </w:tcPr>
          <w:p w14:paraId="1F648D0A" w14:textId="77777777" w:rsidR="00CE1C32" w:rsidRDefault="00000000">
            <w:pPr>
              <w:spacing w:after="0" w:line="259" w:lineRule="auto"/>
              <w:ind w:left="0" w:firstLine="0"/>
              <w:jc w:val="both"/>
            </w:pPr>
            <w:r>
              <w:t xml:space="preserve">W25 </w:t>
            </w:r>
          </w:p>
        </w:tc>
        <w:tc>
          <w:tcPr>
            <w:tcW w:w="1488" w:type="dxa"/>
            <w:tcBorders>
              <w:top w:val="single" w:sz="4" w:space="0" w:color="000000"/>
              <w:left w:val="single" w:sz="4" w:space="0" w:color="000000"/>
              <w:bottom w:val="single" w:sz="4" w:space="0" w:color="000000"/>
              <w:right w:val="single" w:sz="4" w:space="0" w:color="000000"/>
            </w:tcBorders>
          </w:tcPr>
          <w:p w14:paraId="6F8370C0" w14:textId="77777777" w:rsidR="00CE1C32" w:rsidRDefault="00000000">
            <w:pPr>
              <w:spacing w:after="0" w:line="259" w:lineRule="auto"/>
              <w:ind w:left="0" w:firstLine="0"/>
            </w:pPr>
            <w:r>
              <w:t xml:space="preserve">50 </w:t>
            </w:r>
          </w:p>
        </w:tc>
      </w:tr>
      <w:tr w:rsidR="00CE1C32" w14:paraId="5792FE6F" w14:textId="77777777">
        <w:trPr>
          <w:trHeight w:val="286"/>
        </w:trPr>
        <w:tc>
          <w:tcPr>
            <w:tcW w:w="758" w:type="dxa"/>
            <w:tcBorders>
              <w:top w:val="single" w:sz="4" w:space="0" w:color="000000"/>
              <w:left w:val="single" w:sz="4" w:space="0" w:color="000000"/>
              <w:bottom w:val="single" w:sz="4" w:space="0" w:color="000000"/>
              <w:right w:val="single" w:sz="4" w:space="0" w:color="000000"/>
            </w:tcBorders>
          </w:tcPr>
          <w:p w14:paraId="54C6C014" w14:textId="77777777" w:rsidR="00CE1C32" w:rsidRDefault="00000000">
            <w:pPr>
              <w:spacing w:after="0" w:line="259" w:lineRule="auto"/>
              <w:ind w:left="0" w:firstLine="0"/>
              <w:jc w:val="both"/>
            </w:pPr>
            <w:r>
              <w:rPr>
                <w:color w:val="C45911"/>
              </w:rPr>
              <w:t xml:space="preserve">W26 </w:t>
            </w:r>
          </w:p>
        </w:tc>
        <w:tc>
          <w:tcPr>
            <w:tcW w:w="1488" w:type="dxa"/>
            <w:tcBorders>
              <w:top w:val="single" w:sz="4" w:space="0" w:color="000000"/>
              <w:left w:val="single" w:sz="4" w:space="0" w:color="000000"/>
              <w:bottom w:val="single" w:sz="4" w:space="0" w:color="000000"/>
              <w:right w:val="single" w:sz="4" w:space="0" w:color="000000"/>
            </w:tcBorders>
          </w:tcPr>
          <w:p w14:paraId="67C3A4B7" w14:textId="77777777" w:rsidR="00CE1C32" w:rsidRDefault="00000000">
            <w:pPr>
              <w:spacing w:after="0" w:line="259" w:lineRule="auto"/>
              <w:ind w:left="0" w:firstLine="0"/>
            </w:pPr>
            <w:r>
              <w:rPr>
                <w:color w:val="C45911"/>
              </w:rPr>
              <w:t xml:space="preserve">47 </w:t>
            </w:r>
          </w:p>
        </w:tc>
      </w:tr>
      <w:tr w:rsidR="00CE1C32" w14:paraId="45E090EF" w14:textId="77777777">
        <w:trPr>
          <w:trHeight w:val="286"/>
        </w:trPr>
        <w:tc>
          <w:tcPr>
            <w:tcW w:w="758" w:type="dxa"/>
            <w:tcBorders>
              <w:top w:val="single" w:sz="4" w:space="0" w:color="000000"/>
              <w:left w:val="single" w:sz="4" w:space="0" w:color="000000"/>
              <w:bottom w:val="single" w:sz="4" w:space="0" w:color="000000"/>
              <w:right w:val="single" w:sz="4" w:space="0" w:color="000000"/>
            </w:tcBorders>
          </w:tcPr>
          <w:p w14:paraId="3D37CF20" w14:textId="77777777" w:rsidR="00CE1C32" w:rsidRDefault="00000000">
            <w:pPr>
              <w:spacing w:after="0" w:line="259" w:lineRule="auto"/>
              <w:ind w:left="0" w:firstLine="0"/>
              <w:jc w:val="both"/>
            </w:pPr>
            <w:r>
              <w:t xml:space="preserve">W27 </w:t>
            </w:r>
          </w:p>
        </w:tc>
        <w:tc>
          <w:tcPr>
            <w:tcW w:w="1488" w:type="dxa"/>
            <w:tcBorders>
              <w:top w:val="single" w:sz="4" w:space="0" w:color="000000"/>
              <w:left w:val="single" w:sz="4" w:space="0" w:color="000000"/>
              <w:bottom w:val="single" w:sz="4" w:space="0" w:color="000000"/>
              <w:right w:val="single" w:sz="4" w:space="0" w:color="000000"/>
            </w:tcBorders>
          </w:tcPr>
          <w:p w14:paraId="2111E08F" w14:textId="77777777" w:rsidR="00CE1C32" w:rsidRDefault="00000000">
            <w:pPr>
              <w:spacing w:after="0" w:line="259" w:lineRule="auto"/>
              <w:ind w:left="0" w:firstLine="0"/>
            </w:pPr>
            <w:r>
              <w:t xml:space="preserve">53 </w:t>
            </w:r>
          </w:p>
        </w:tc>
      </w:tr>
      <w:tr w:rsidR="00CE1C32" w14:paraId="0C38C4B5" w14:textId="77777777">
        <w:trPr>
          <w:trHeight w:val="286"/>
        </w:trPr>
        <w:tc>
          <w:tcPr>
            <w:tcW w:w="758" w:type="dxa"/>
            <w:tcBorders>
              <w:top w:val="single" w:sz="4" w:space="0" w:color="000000"/>
              <w:left w:val="single" w:sz="4" w:space="0" w:color="000000"/>
              <w:bottom w:val="single" w:sz="4" w:space="0" w:color="000000"/>
              <w:right w:val="single" w:sz="4" w:space="0" w:color="000000"/>
            </w:tcBorders>
          </w:tcPr>
          <w:p w14:paraId="53250980" w14:textId="77777777" w:rsidR="00CE1C32" w:rsidRDefault="00000000">
            <w:pPr>
              <w:spacing w:after="0" w:line="259" w:lineRule="auto"/>
              <w:ind w:left="0" w:firstLine="0"/>
              <w:jc w:val="both"/>
            </w:pPr>
            <w:r>
              <w:t xml:space="preserve">W28 </w:t>
            </w:r>
          </w:p>
        </w:tc>
        <w:tc>
          <w:tcPr>
            <w:tcW w:w="1488" w:type="dxa"/>
            <w:tcBorders>
              <w:top w:val="single" w:sz="4" w:space="0" w:color="000000"/>
              <w:left w:val="single" w:sz="4" w:space="0" w:color="000000"/>
              <w:bottom w:val="single" w:sz="4" w:space="0" w:color="000000"/>
              <w:right w:val="single" w:sz="4" w:space="0" w:color="000000"/>
            </w:tcBorders>
          </w:tcPr>
          <w:p w14:paraId="4EEA43D3" w14:textId="77777777" w:rsidR="00CE1C32" w:rsidRDefault="00000000">
            <w:pPr>
              <w:spacing w:after="0" w:line="259" w:lineRule="auto"/>
              <w:ind w:left="0" w:firstLine="0"/>
            </w:pPr>
            <w:r>
              <w:t xml:space="preserve">54 </w:t>
            </w:r>
          </w:p>
        </w:tc>
      </w:tr>
      <w:tr w:rsidR="00CE1C32" w14:paraId="07509BF1" w14:textId="77777777">
        <w:trPr>
          <w:trHeight w:val="288"/>
        </w:trPr>
        <w:tc>
          <w:tcPr>
            <w:tcW w:w="758" w:type="dxa"/>
            <w:tcBorders>
              <w:top w:val="single" w:sz="4" w:space="0" w:color="000000"/>
              <w:left w:val="single" w:sz="4" w:space="0" w:color="000000"/>
              <w:bottom w:val="single" w:sz="4" w:space="0" w:color="000000"/>
              <w:right w:val="single" w:sz="4" w:space="0" w:color="000000"/>
            </w:tcBorders>
          </w:tcPr>
          <w:p w14:paraId="78DEF911" w14:textId="77777777" w:rsidR="00CE1C32" w:rsidRDefault="00000000">
            <w:pPr>
              <w:spacing w:after="0" w:line="259" w:lineRule="auto"/>
              <w:ind w:left="0" w:firstLine="0"/>
              <w:jc w:val="both"/>
            </w:pPr>
            <w:r>
              <w:t xml:space="preserve">W29 </w:t>
            </w:r>
          </w:p>
        </w:tc>
        <w:tc>
          <w:tcPr>
            <w:tcW w:w="1488" w:type="dxa"/>
            <w:tcBorders>
              <w:top w:val="single" w:sz="4" w:space="0" w:color="000000"/>
              <w:left w:val="single" w:sz="4" w:space="0" w:color="000000"/>
              <w:bottom w:val="single" w:sz="4" w:space="0" w:color="000000"/>
              <w:right w:val="single" w:sz="4" w:space="0" w:color="000000"/>
            </w:tcBorders>
          </w:tcPr>
          <w:p w14:paraId="1D05EC8D" w14:textId="77777777" w:rsidR="00CE1C32" w:rsidRDefault="00000000">
            <w:pPr>
              <w:spacing w:after="0" w:line="259" w:lineRule="auto"/>
              <w:ind w:left="0" w:firstLine="0"/>
            </w:pPr>
            <w:r>
              <w:t xml:space="preserve">49 </w:t>
            </w:r>
          </w:p>
        </w:tc>
      </w:tr>
      <w:tr w:rsidR="00CE1C32" w14:paraId="020BE584" w14:textId="77777777">
        <w:trPr>
          <w:trHeight w:val="286"/>
        </w:trPr>
        <w:tc>
          <w:tcPr>
            <w:tcW w:w="758" w:type="dxa"/>
            <w:tcBorders>
              <w:top w:val="single" w:sz="4" w:space="0" w:color="000000"/>
              <w:left w:val="single" w:sz="4" w:space="0" w:color="000000"/>
              <w:bottom w:val="single" w:sz="4" w:space="0" w:color="000000"/>
              <w:right w:val="single" w:sz="4" w:space="0" w:color="000000"/>
            </w:tcBorders>
          </w:tcPr>
          <w:p w14:paraId="3A7B214D" w14:textId="77777777" w:rsidR="00CE1C32" w:rsidRDefault="00000000">
            <w:pPr>
              <w:spacing w:after="0" w:line="259" w:lineRule="auto"/>
              <w:ind w:left="0" w:firstLine="0"/>
              <w:jc w:val="both"/>
            </w:pPr>
            <w:r>
              <w:rPr>
                <w:color w:val="C45911"/>
              </w:rPr>
              <w:t xml:space="preserve">W30 </w:t>
            </w:r>
          </w:p>
        </w:tc>
        <w:tc>
          <w:tcPr>
            <w:tcW w:w="1488" w:type="dxa"/>
            <w:tcBorders>
              <w:top w:val="single" w:sz="4" w:space="0" w:color="000000"/>
              <w:left w:val="single" w:sz="4" w:space="0" w:color="000000"/>
              <w:bottom w:val="single" w:sz="4" w:space="0" w:color="000000"/>
              <w:right w:val="single" w:sz="4" w:space="0" w:color="000000"/>
            </w:tcBorders>
          </w:tcPr>
          <w:p w14:paraId="20B95C05" w14:textId="77777777" w:rsidR="00CE1C32" w:rsidRDefault="00000000">
            <w:pPr>
              <w:spacing w:after="0" w:line="259" w:lineRule="auto"/>
              <w:ind w:left="0" w:firstLine="0"/>
            </w:pPr>
            <w:r>
              <w:rPr>
                <w:color w:val="C45911"/>
              </w:rPr>
              <w:t xml:space="preserve">42 </w:t>
            </w:r>
          </w:p>
        </w:tc>
      </w:tr>
      <w:tr w:rsidR="00CE1C32" w14:paraId="476A47E6" w14:textId="77777777">
        <w:trPr>
          <w:trHeight w:val="286"/>
        </w:trPr>
        <w:tc>
          <w:tcPr>
            <w:tcW w:w="758" w:type="dxa"/>
            <w:tcBorders>
              <w:top w:val="single" w:sz="4" w:space="0" w:color="000000"/>
              <w:left w:val="single" w:sz="4" w:space="0" w:color="000000"/>
              <w:bottom w:val="single" w:sz="4" w:space="0" w:color="000000"/>
              <w:right w:val="single" w:sz="4" w:space="0" w:color="000000"/>
            </w:tcBorders>
          </w:tcPr>
          <w:p w14:paraId="1D70A730" w14:textId="77777777" w:rsidR="00CE1C32" w:rsidRDefault="00000000">
            <w:pPr>
              <w:spacing w:after="0" w:line="259" w:lineRule="auto"/>
              <w:ind w:left="0" w:firstLine="0"/>
              <w:jc w:val="both"/>
            </w:pPr>
            <w:r>
              <w:rPr>
                <w:color w:val="C45911"/>
              </w:rPr>
              <w:t xml:space="preserve">W31 </w:t>
            </w:r>
          </w:p>
        </w:tc>
        <w:tc>
          <w:tcPr>
            <w:tcW w:w="1488" w:type="dxa"/>
            <w:tcBorders>
              <w:top w:val="single" w:sz="4" w:space="0" w:color="000000"/>
              <w:left w:val="single" w:sz="4" w:space="0" w:color="000000"/>
              <w:bottom w:val="single" w:sz="4" w:space="0" w:color="000000"/>
              <w:right w:val="single" w:sz="4" w:space="0" w:color="000000"/>
            </w:tcBorders>
          </w:tcPr>
          <w:p w14:paraId="05CA92B1" w14:textId="77777777" w:rsidR="00CE1C32" w:rsidRDefault="00000000">
            <w:pPr>
              <w:spacing w:after="0" w:line="259" w:lineRule="auto"/>
              <w:ind w:left="0" w:firstLine="0"/>
            </w:pPr>
            <w:r>
              <w:rPr>
                <w:color w:val="C45911"/>
              </w:rPr>
              <w:t xml:space="preserve">32 </w:t>
            </w:r>
          </w:p>
        </w:tc>
      </w:tr>
    </w:tbl>
    <w:p w14:paraId="535513DA" w14:textId="77777777" w:rsidR="00CE1C32" w:rsidRDefault="00000000">
      <w:pPr>
        <w:spacing w:after="158" w:line="259" w:lineRule="auto"/>
        <w:ind w:left="0" w:firstLine="0"/>
      </w:pPr>
      <w:r>
        <w:t xml:space="preserve"> </w:t>
      </w:r>
    </w:p>
    <w:p w14:paraId="01E76F1C" w14:textId="77777777" w:rsidR="00CE1C32" w:rsidRDefault="00000000">
      <w:pPr>
        <w:ind w:left="-5" w:right="64"/>
      </w:pPr>
      <w:r>
        <w:t xml:space="preserve">The healthy weekly revenue range was established by </w:t>
      </w:r>
      <w:proofErr w:type="spellStart"/>
      <w:r>
        <w:t>analyzing</w:t>
      </w:r>
      <w:proofErr w:type="spellEnd"/>
      <w:r>
        <w:t xml:space="preserve"> historical weekly revenue and validated statistically using mean and standard deviation. Weeks consistently falling between 48–55 M were considered normal, representing expected performance. Deviations outside this range were flagged for further investigation </w:t>
      </w:r>
    </w:p>
    <w:p w14:paraId="269E41A4" w14:textId="77777777" w:rsidR="00CE1C32" w:rsidRDefault="00000000">
      <w:pPr>
        <w:ind w:left="-5" w:right="64"/>
      </w:pPr>
      <w:r>
        <w:t xml:space="preserve">Root Cause Analysis – Occupancy Validation </w:t>
      </w:r>
    </w:p>
    <w:p w14:paraId="2048FA76" w14:textId="77777777" w:rsidR="00CE1C32" w:rsidRDefault="00000000">
      <w:pPr>
        <w:ind w:left="-5" w:right="64"/>
      </w:pPr>
      <w:r>
        <w:t xml:space="preserve">To investigate the revenue decline, Week 31 (₹32 M) was compared against a normal reference week (Week 28, ₹54 M), which falls within the established healthy revenue range and represents typical business performance for the Elite Mumbai – Luxury category. </w:t>
      </w:r>
    </w:p>
    <w:p w14:paraId="2ABD4F18" w14:textId="77777777" w:rsidR="00CE1C32" w:rsidRDefault="00000000">
      <w:pPr>
        <w:spacing w:after="156" w:line="259" w:lineRule="auto"/>
        <w:ind w:left="0" w:firstLine="0"/>
      </w:pPr>
      <w:r>
        <w:t xml:space="preserve"> </w:t>
      </w:r>
    </w:p>
    <w:p w14:paraId="3B901779" w14:textId="77777777" w:rsidR="00CE1C32" w:rsidRDefault="00000000">
      <w:pPr>
        <w:spacing w:line="259" w:lineRule="auto"/>
        <w:ind w:left="0" w:firstLine="0"/>
      </w:pPr>
      <w:r>
        <w:t xml:space="preserve"> </w:t>
      </w:r>
    </w:p>
    <w:p w14:paraId="21E148F0" w14:textId="77777777" w:rsidR="00CE1C32" w:rsidRDefault="00000000">
      <w:pPr>
        <w:ind w:left="-5" w:right="64"/>
      </w:pPr>
      <w:r>
        <w:t xml:space="preserve">Key Observation 1: Occupancy % </w:t>
      </w:r>
    </w:p>
    <w:p w14:paraId="5AB7D9B5" w14:textId="77777777" w:rsidR="00CE1C32" w:rsidRDefault="00000000">
      <w:pPr>
        <w:numPr>
          <w:ilvl w:val="0"/>
          <w:numId w:val="3"/>
        </w:numPr>
        <w:ind w:right="64" w:hanging="360"/>
      </w:pPr>
      <w:r>
        <w:t xml:space="preserve">Week 31 Occupancy: ~51% </w:t>
      </w:r>
    </w:p>
    <w:p w14:paraId="5A27C946" w14:textId="77777777" w:rsidR="00CE1C32" w:rsidRDefault="00000000">
      <w:pPr>
        <w:numPr>
          <w:ilvl w:val="0"/>
          <w:numId w:val="3"/>
        </w:numPr>
        <w:ind w:right="64" w:hanging="360"/>
      </w:pPr>
      <w:r>
        <w:t xml:space="preserve">Normal Week (W28) Occupancy: ~61–66% </w:t>
      </w:r>
    </w:p>
    <w:p w14:paraId="43615813" w14:textId="77777777" w:rsidR="00CE1C32" w:rsidRDefault="00000000">
      <w:pPr>
        <w:spacing w:after="1"/>
        <w:ind w:left="-5" w:right="64"/>
      </w:pPr>
      <w:r>
        <w:lastRenderedPageBreak/>
        <w:t xml:space="preserve">Insight: </w:t>
      </w:r>
    </w:p>
    <w:p w14:paraId="087C9BFC" w14:textId="77777777" w:rsidR="00CE1C32" w:rsidRDefault="00000000">
      <w:pPr>
        <w:ind w:left="-5" w:right="64"/>
      </w:pPr>
      <w:r>
        <w:t xml:space="preserve">Week 31 experienced a noticeable decline in occupancy compared to the normal reference week, indicating reduced room utilization during the affected period. </w:t>
      </w:r>
    </w:p>
    <w:p w14:paraId="2F78C62C" w14:textId="77777777" w:rsidR="00CE1C32" w:rsidRDefault="00000000">
      <w:pPr>
        <w:ind w:left="-5" w:right="64"/>
      </w:pPr>
      <w:r>
        <w:t xml:space="preserve">However, further analysis shows that similar occupancy levels (~51%) were also observed in other weeks (W21, W23, W26, W30), where revenue impact was comparatively moderate and did not always result in a severe drop. </w:t>
      </w:r>
    </w:p>
    <w:p w14:paraId="47576598" w14:textId="77777777" w:rsidR="00CE1C32" w:rsidRDefault="00000000">
      <w:pPr>
        <w:spacing w:after="1"/>
        <w:ind w:left="-5" w:right="64"/>
      </w:pPr>
      <w:r>
        <w:t xml:space="preserve">Conclusion: </w:t>
      </w:r>
    </w:p>
    <w:p w14:paraId="7EE1495D" w14:textId="77777777" w:rsidR="00CE1C32" w:rsidRDefault="00000000">
      <w:pPr>
        <w:ind w:left="-5" w:right="64"/>
      </w:pPr>
      <w:r>
        <w:t xml:space="preserve">This indicates that lower occupancy is a contributing factor, but not the sole driver of the sharp revenue decline in Week 31. The severity of the revenue dip suggests the presence of additional influencing factors beyond occupancy alone. </w:t>
      </w:r>
    </w:p>
    <w:p w14:paraId="23C86A20" w14:textId="77777777" w:rsidR="00CE1C32" w:rsidRDefault="00000000">
      <w:pPr>
        <w:spacing w:after="160" w:line="259" w:lineRule="auto"/>
        <w:ind w:left="0" w:firstLine="0"/>
      </w:pPr>
      <w:r>
        <w:t xml:space="preserve"> </w:t>
      </w:r>
    </w:p>
    <w:p w14:paraId="5A9C127C" w14:textId="77777777" w:rsidR="00CE1C32" w:rsidRDefault="00000000">
      <w:pPr>
        <w:ind w:left="-5" w:right="64"/>
      </w:pPr>
      <w:r>
        <w:rPr>
          <w:b/>
        </w:rPr>
        <w:t>Daily sellable room nights (DSRN)</w:t>
      </w:r>
      <w:r>
        <w:t xml:space="preserve"> remained constant during the critical week, indicating that the revenue dip was not due to room availability but driven by occupancy, realized bookings, or pricing factors. </w:t>
      </w:r>
    </w:p>
    <w:p w14:paraId="307DF61D" w14:textId="77777777" w:rsidR="00CE1C32" w:rsidRDefault="00000000">
      <w:pPr>
        <w:spacing w:after="156" w:line="259" w:lineRule="auto"/>
        <w:ind w:left="0" w:firstLine="0"/>
      </w:pPr>
      <w:r>
        <w:rPr>
          <w:b/>
        </w:rPr>
        <w:t xml:space="preserve"> </w:t>
      </w:r>
    </w:p>
    <w:p w14:paraId="6B5792EB" w14:textId="77777777" w:rsidR="00CE1C32" w:rsidRDefault="00000000">
      <w:pPr>
        <w:spacing w:after="161"/>
        <w:ind w:left="-5"/>
      </w:pPr>
      <w:r>
        <w:rPr>
          <w:b/>
        </w:rPr>
        <w:t xml:space="preserve">Booking Realization Analysis </w:t>
      </w:r>
    </w:p>
    <w:p w14:paraId="19AC4027" w14:textId="77777777" w:rsidR="00CE1C32" w:rsidRDefault="00000000">
      <w:pPr>
        <w:ind w:left="-5" w:right="64"/>
      </w:pPr>
      <w:r>
        <w:t xml:space="preserve">Booking realization was </w:t>
      </w:r>
      <w:proofErr w:type="spellStart"/>
      <w:r>
        <w:t>analyzed</w:t>
      </w:r>
      <w:proofErr w:type="spellEnd"/>
      <w:r>
        <w:t xml:space="preserve"> to determine whether cancellations or no-shows contributed to the observed revenue decline. </w:t>
      </w:r>
    </w:p>
    <w:p w14:paraId="0025D889" w14:textId="77777777" w:rsidR="00CE1C32" w:rsidRDefault="00000000">
      <w:pPr>
        <w:ind w:left="-5" w:right="64"/>
      </w:pPr>
      <w:r>
        <w:t xml:space="preserve">The realization ratio (URN / BRN) remained stable throughout the analysis period, ranging between ~69% and 71% across both normal and low-performing weeks. </w:t>
      </w:r>
    </w:p>
    <w:p w14:paraId="46F0B45E" w14:textId="77777777" w:rsidR="00CE1C32" w:rsidRDefault="00000000">
      <w:pPr>
        <w:ind w:left="-5" w:right="64"/>
      </w:pPr>
      <w:r>
        <w:t xml:space="preserve">Notably, the critical week (Week 31) showed a realization rate (~69%) consistent with historical averages, indicating no abnormal increase in cancellations or no-shows. </w:t>
      </w:r>
    </w:p>
    <w:p w14:paraId="1B44679F" w14:textId="77777777" w:rsidR="00CE1C32" w:rsidRDefault="00000000">
      <w:pPr>
        <w:ind w:left="-5" w:right="64"/>
      </w:pPr>
      <w:r>
        <w:t xml:space="preserve">Conclusion: Booking realization was not a contributing factor to the revenue decline, and the issue lies elsewhere in the revenue generation process. </w:t>
      </w:r>
    </w:p>
    <w:p w14:paraId="2A480F16" w14:textId="77777777" w:rsidR="00CE1C32" w:rsidRDefault="00000000">
      <w:pPr>
        <w:ind w:left="-5" w:right="64"/>
      </w:pPr>
      <w:r>
        <w:t xml:space="preserve">Since occupancy, realization, and ADR remained largely stable across both normal and affected weeks, further analysis was conducted at the segment level to identify shifts in revenue contribution. </w:t>
      </w:r>
    </w:p>
    <w:p w14:paraId="29778E0B" w14:textId="77777777" w:rsidR="00CE1C32" w:rsidRDefault="00000000">
      <w:pPr>
        <w:ind w:left="-5" w:right="64"/>
      </w:pPr>
      <w:r>
        <w:t xml:space="preserve">Segment-wise revenue trends revealed a significant decline in the Luxury segment, where weekly revenue dropped from approximately ₹31 M to ₹17 M toward the latter part of the analysis period. </w:t>
      </w:r>
    </w:p>
    <w:p w14:paraId="6A9107AC" w14:textId="77777777" w:rsidR="00CE1C32" w:rsidRDefault="00000000">
      <w:pPr>
        <w:ind w:left="-5" w:right="64"/>
      </w:pPr>
      <w:r>
        <w:t xml:space="preserve">This sharp decline in luxury revenue explains the overall revenue drop observed at the aggregate level, despite stable operational KPIs. </w:t>
      </w:r>
    </w:p>
    <w:p w14:paraId="58E03CDB" w14:textId="77777777" w:rsidR="00CE1C32" w:rsidRDefault="00000000">
      <w:pPr>
        <w:ind w:left="-5" w:right="64"/>
      </w:pPr>
      <w:r>
        <w:t xml:space="preserve">Conclusion: The revenue decline is primarily driven by reduced contribution from the Luxury segment rather than changes in occupancy, pricing, or booking realization. </w:t>
      </w:r>
    </w:p>
    <w:p w14:paraId="2D8B8290" w14:textId="77777777" w:rsidR="00CE1C32" w:rsidRDefault="00000000">
      <w:pPr>
        <w:spacing w:after="158" w:line="259" w:lineRule="auto"/>
        <w:ind w:left="0" w:firstLine="0"/>
      </w:pPr>
      <w:r>
        <w:t xml:space="preserve"> </w:t>
      </w:r>
    </w:p>
    <w:p w14:paraId="5C1CA275" w14:textId="77777777" w:rsidR="00CE1C32" w:rsidRDefault="00000000">
      <w:pPr>
        <w:spacing w:after="158" w:line="259" w:lineRule="auto"/>
        <w:ind w:left="0" w:firstLine="0"/>
      </w:pPr>
      <w:r>
        <w:t xml:space="preserve"> </w:t>
      </w:r>
    </w:p>
    <w:p w14:paraId="51913BAB" w14:textId="77777777" w:rsidR="00CE1C32" w:rsidRDefault="00000000">
      <w:pPr>
        <w:ind w:left="-5" w:right="64"/>
      </w:pPr>
      <w:r>
        <w:lastRenderedPageBreak/>
        <w:t xml:space="preserve">The Luxury segment was selected for deeper analysis as it exhibited the most pronounced revenue decline compared to other segments, making it the primary contributor to the overall revenue drop. </w:t>
      </w:r>
    </w:p>
    <w:p w14:paraId="4BAAEECE" w14:textId="77777777" w:rsidR="00CE1C32" w:rsidRDefault="00000000">
      <w:pPr>
        <w:ind w:left="-5" w:right="64"/>
      </w:pPr>
      <w:r>
        <w:t xml:space="preserve">A weekday vs weekend analysis was conducted by aggregating data across May–July to understand demand and pricing </w:t>
      </w:r>
      <w:proofErr w:type="spellStart"/>
      <w:r>
        <w:t>behavior</w:t>
      </w:r>
      <w:proofErr w:type="spellEnd"/>
      <w:r>
        <w:t xml:space="preserve">. </w:t>
      </w:r>
    </w:p>
    <w:p w14:paraId="77982CF3" w14:textId="77777777" w:rsidR="00CE1C32" w:rsidRDefault="00000000">
      <w:pPr>
        <w:ind w:left="-5" w:right="64"/>
      </w:pPr>
      <w:r>
        <w:t xml:space="preserve">Weekends showed higher occupancy (64%) compared to weekdays (57.4%), indicating stronger leisure demand. However, average daily rates remained nearly identical across both periods (~₹15.2K). </w:t>
      </w:r>
    </w:p>
    <w:p w14:paraId="2401577F" w14:textId="77777777" w:rsidR="00CE1C32" w:rsidRDefault="00000000">
      <w:pPr>
        <w:ind w:left="-5" w:right="64"/>
      </w:pPr>
      <w:r>
        <w:t xml:space="preserve">As a result, weekend revenue (₹20,582) did not surpass weekday revenue (₹22,519), despite better room utilization. </w:t>
      </w:r>
    </w:p>
    <w:p w14:paraId="72FF3850" w14:textId="77777777" w:rsidR="00863768" w:rsidRDefault="00863768">
      <w:pPr>
        <w:ind w:left="-5" w:right="64"/>
      </w:pPr>
    </w:p>
    <w:p w14:paraId="25715A87" w14:textId="182E72AA" w:rsidR="00863768" w:rsidRDefault="00863768">
      <w:pPr>
        <w:ind w:left="-5" w:right="64"/>
      </w:pPr>
      <w:r>
        <w:tab/>
      </w:r>
      <w:r>
        <w:tab/>
      </w:r>
      <w:r>
        <w:tab/>
      </w:r>
      <w:r>
        <w:tab/>
      </w:r>
      <w:r>
        <w:tab/>
      </w:r>
      <w:r>
        <w:tab/>
        <w:t xml:space="preserve">CONCLUSION </w:t>
      </w:r>
    </w:p>
    <w:p w14:paraId="756AAE99" w14:textId="77777777" w:rsidR="00863768" w:rsidRDefault="00863768" w:rsidP="00863768">
      <w:pPr>
        <w:spacing w:after="0" w:line="259" w:lineRule="auto"/>
        <w:ind w:left="0" w:firstLine="0"/>
      </w:pPr>
      <w:r w:rsidRPr="00863768">
        <w:rPr>
          <w:bCs/>
        </w:rPr>
        <w:t>The revenue decline observed during the analysis period is not driven by operational</w:t>
      </w:r>
      <w:r w:rsidRPr="00863768">
        <w:rPr>
          <w:b/>
          <w:bCs/>
        </w:rPr>
        <w:t xml:space="preserve"> </w:t>
      </w:r>
      <w:r w:rsidRPr="00863768">
        <w:t>constraints such as room availability or booking realization. Daily Sellable Room Nights (DSRN) remained constant, and booking realization percentages stayed stable (~69–71%) across both normal and low-performing weeks, ruling out cancellations or inventory issues as primary causes.</w:t>
      </w:r>
    </w:p>
    <w:p w14:paraId="7B263DB8" w14:textId="77777777" w:rsidR="00863768" w:rsidRPr="00863768" w:rsidRDefault="00863768" w:rsidP="00863768">
      <w:pPr>
        <w:spacing w:after="0" w:line="259" w:lineRule="auto"/>
        <w:ind w:left="0" w:firstLine="0"/>
      </w:pPr>
    </w:p>
    <w:p w14:paraId="18B90897" w14:textId="77777777" w:rsidR="00863768" w:rsidRPr="00863768" w:rsidRDefault="00863768" w:rsidP="00863768">
      <w:pPr>
        <w:spacing w:after="0" w:line="259" w:lineRule="auto"/>
        <w:ind w:left="0" w:firstLine="0"/>
      </w:pPr>
      <w:r w:rsidRPr="00863768">
        <w:t>While lower occupancy was observed in the critical week (Week 31), similar occupancy levels were also present in other weeks without a proportionate revenue impact. This indicates that occupancy alone does not fully explain the severity of the revenue drop.</w:t>
      </w:r>
    </w:p>
    <w:p w14:paraId="0D8B36A4" w14:textId="77777777" w:rsidR="00863768" w:rsidRDefault="00863768" w:rsidP="00863768">
      <w:pPr>
        <w:spacing w:after="0" w:line="259" w:lineRule="auto"/>
        <w:ind w:left="0" w:firstLine="0"/>
      </w:pPr>
      <w:r w:rsidRPr="00863768">
        <w:t>Further investigation at the segment level revealed that the Luxury segment experienced a sharp decline in revenue contribution, making it the primary driver of the overall revenue downturn. This decline occurred despite relatively stable ADR and realization metrics at an aggregate level.</w:t>
      </w:r>
    </w:p>
    <w:p w14:paraId="6CA47600" w14:textId="77777777" w:rsidR="00863768" w:rsidRPr="00863768" w:rsidRDefault="00863768" w:rsidP="00863768">
      <w:pPr>
        <w:spacing w:after="0" w:line="259" w:lineRule="auto"/>
        <w:ind w:left="0" w:firstLine="0"/>
      </w:pPr>
    </w:p>
    <w:p w14:paraId="30BBE461" w14:textId="77777777" w:rsidR="00863768" w:rsidRDefault="00863768" w:rsidP="00863768">
      <w:pPr>
        <w:spacing w:after="0" w:line="259" w:lineRule="auto"/>
        <w:ind w:left="0" w:firstLine="0"/>
      </w:pPr>
      <w:r w:rsidRPr="00863768">
        <w:t xml:space="preserve">Additionally, weekday vs weekend analysis showed higher weekend occupancy but no corresponding premium pricing, resulting in missed revenue opportunities during high-demand periods. The issue was further compounded by a sudden reduction in ADR within the Offline Direct channel, particularly during June, suggesting a pricing strategy shift that may not have been aligned with demand </w:t>
      </w:r>
      <w:proofErr w:type="spellStart"/>
      <w:r w:rsidRPr="00863768">
        <w:t>behavior</w:t>
      </w:r>
      <w:proofErr w:type="spellEnd"/>
      <w:r w:rsidRPr="00863768">
        <w:t>.</w:t>
      </w:r>
    </w:p>
    <w:p w14:paraId="1F59DF39" w14:textId="77777777" w:rsidR="00863768" w:rsidRPr="00863768" w:rsidRDefault="00863768" w:rsidP="00863768">
      <w:pPr>
        <w:spacing w:after="0" w:line="259" w:lineRule="auto"/>
        <w:ind w:left="0" w:firstLine="0"/>
      </w:pPr>
    </w:p>
    <w:p w14:paraId="33353CEC" w14:textId="77777777" w:rsidR="00863768" w:rsidRPr="00863768" w:rsidRDefault="00863768" w:rsidP="00863768">
      <w:pPr>
        <w:spacing w:after="0" w:line="259" w:lineRule="auto"/>
        <w:ind w:left="0" w:firstLine="0"/>
        <w:rPr>
          <w:b/>
          <w:bCs/>
        </w:rPr>
      </w:pPr>
      <w:r w:rsidRPr="00863768">
        <w:rPr>
          <w:b/>
          <w:bCs/>
        </w:rPr>
        <w:t>Final Insight</w:t>
      </w:r>
    </w:p>
    <w:p w14:paraId="1C6F01DA" w14:textId="77777777" w:rsidR="00863768" w:rsidRPr="00863768" w:rsidRDefault="00863768" w:rsidP="00863768">
      <w:pPr>
        <w:spacing w:after="0" w:line="259" w:lineRule="auto"/>
        <w:ind w:left="0" w:firstLine="0"/>
      </w:pPr>
      <w:r w:rsidRPr="00863768">
        <w:t>The revenue decline is primarily attributed to suboptimal pricing and revenue optimization strategies within the Luxury segment, rather than demand loss, inventory limitations, or booking inefficiencies. Addressing pricing alignment, especially during weekends and across key channels, presents a significant opportunity for revenue recovery and growth.</w:t>
      </w:r>
    </w:p>
    <w:p w14:paraId="00388486" w14:textId="77777777" w:rsidR="00CE1C32" w:rsidRPr="00863768" w:rsidRDefault="00000000">
      <w:pPr>
        <w:spacing w:after="0" w:line="259" w:lineRule="auto"/>
        <w:ind w:left="0" w:firstLine="0"/>
      </w:pPr>
      <w:r w:rsidRPr="00863768">
        <w:t xml:space="preserve"> </w:t>
      </w:r>
    </w:p>
    <w:sectPr w:rsidR="00CE1C32" w:rsidRPr="00863768">
      <w:headerReference w:type="even" r:id="rId9"/>
      <w:headerReference w:type="default" r:id="rId10"/>
      <w:footerReference w:type="even" r:id="rId11"/>
      <w:footerReference w:type="default" r:id="rId12"/>
      <w:headerReference w:type="first" r:id="rId13"/>
      <w:footerReference w:type="first" r:id="rId14"/>
      <w:pgSz w:w="11906" w:h="16838"/>
      <w:pgMar w:top="1440" w:right="1376" w:bottom="1773" w:left="1440" w:header="480" w:footer="47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944136" w14:textId="77777777" w:rsidR="001953F0" w:rsidRDefault="001953F0">
      <w:pPr>
        <w:spacing w:after="0" w:line="240" w:lineRule="auto"/>
      </w:pPr>
      <w:r>
        <w:separator/>
      </w:r>
    </w:p>
  </w:endnote>
  <w:endnote w:type="continuationSeparator" w:id="0">
    <w:p w14:paraId="22E6FB8F" w14:textId="77777777" w:rsidR="001953F0" w:rsidRDefault="001953F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A23EA9" w14:textId="77777777" w:rsidR="00CE1C32" w:rsidRDefault="00000000">
    <w:pPr>
      <w:spacing w:after="0" w:line="259" w:lineRule="auto"/>
      <w:ind w:left="-1440" w:right="10531" w:firstLine="0"/>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14:anchorId="76F6277B" wp14:editId="5C559AEF">
              <wp:simplePos x="0" y="0"/>
              <wp:positionH relativeFrom="page">
                <wp:posOffset>304800</wp:posOffset>
              </wp:positionH>
              <wp:positionV relativeFrom="page">
                <wp:posOffset>10383012</wp:posOffset>
              </wp:positionV>
              <wp:extent cx="6952488" cy="6096"/>
              <wp:effectExtent l="0" t="0" r="0" b="0"/>
              <wp:wrapSquare wrapText="bothSides"/>
              <wp:docPr id="6782" name="Group 6782"/>
              <wp:cNvGraphicFramePr/>
              <a:graphic xmlns:a="http://schemas.openxmlformats.org/drawingml/2006/main">
                <a:graphicData uri="http://schemas.microsoft.com/office/word/2010/wordprocessingGroup">
                  <wpg:wgp>
                    <wpg:cNvGrpSpPr/>
                    <wpg:grpSpPr>
                      <a:xfrm>
                        <a:off x="0" y="0"/>
                        <a:ext cx="6952488" cy="6096"/>
                        <a:chOff x="0" y="0"/>
                        <a:chExt cx="6952488" cy="6096"/>
                      </a:xfrm>
                    </wpg:grpSpPr>
                    <wps:wsp>
                      <wps:cNvPr id="7075" name="Shape 7075"/>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76" name="Shape 7076"/>
                      <wps:cNvSpPr/>
                      <wps:spPr>
                        <a:xfrm>
                          <a:off x="6096" y="0"/>
                          <a:ext cx="6940296" cy="9144"/>
                        </a:xfrm>
                        <a:custGeom>
                          <a:avLst/>
                          <a:gdLst/>
                          <a:ahLst/>
                          <a:cxnLst/>
                          <a:rect l="0" t="0" r="0" b="0"/>
                          <a:pathLst>
                            <a:path w="6940296" h="9144">
                              <a:moveTo>
                                <a:pt x="0" y="0"/>
                              </a:moveTo>
                              <a:lnTo>
                                <a:pt x="6940296" y="0"/>
                              </a:lnTo>
                              <a:lnTo>
                                <a:pt x="69402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77" name="Shape 7077"/>
                      <wps:cNvSpPr/>
                      <wps:spPr>
                        <a:xfrm>
                          <a:off x="69463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782" style="width:547.44pt;height:0.47998pt;position:absolute;mso-position-horizontal-relative:page;mso-position-horizontal:absolute;margin-left:24pt;mso-position-vertical-relative:page;margin-top:817.56pt;" coordsize="69524,60">
              <v:shape id="Shape 7078" style="position:absolute;width:91;height:91;left:0;top:0;" coordsize="9144,9144" path="m0,0l9144,0l9144,9144l0,9144l0,0">
                <v:stroke weight="0pt" endcap="flat" joinstyle="miter" miterlimit="10" on="false" color="#000000" opacity="0"/>
                <v:fill on="true" color="#000000"/>
              </v:shape>
              <v:shape id="Shape 7079" style="position:absolute;width:69402;height:91;left:60;top:0;" coordsize="6940296,9144" path="m0,0l6940296,0l6940296,9144l0,9144l0,0">
                <v:stroke weight="0pt" endcap="flat" joinstyle="miter" miterlimit="10" on="false" color="#000000" opacity="0"/>
                <v:fill on="true" color="#000000"/>
              </v:shape>
              <v:shape id="Shape 7080" style="position:absolute;width:91;height:91;left:69463;top:0;" coordsize="9144,9144" path="m0,0l9144,0l9144,9144l0,9144l0,0">
                <v:stroke weight="0pt" endcap="flat" joinstyle="miter" miterlimit="10" on="false" color="#000000" opacity="0"/>
                <v:fill on="true" color="#000000"/>
              </v:shape>
              <w10:wrap type="square"/>
            </v:group>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B0A09D" w14:textId="77777777" w:rsidR="00CE1C32" w:rsidRDefault="00000000">
    <w:pPr>
      <w:spacing w:after="0" w:line="259" w:lineRule="auto"/>
      <w:ind w:left="-1440" w:right="10531" w:firstLine="0"/>
    </w:pPr>
    <w:r>
      <w:rPr>
        <w:rFonts w:ascii="Calibri" w:eastAsia="Calibri" w:hAnsi="Calibri" w:cs="Calibri"/>
        <w:noProof/>
        <w:sz w:val="22"/>
      </w:rPr>
      <mc:AlternateContent>
        <mc:Choice Requires="wpg">
          <w:drawing>
            <wp:anchor distT="0" distB="0" distL="114300" distR="114300" simplePos="0" relativeHeight="251665408" behindDoc="0" locked="0" layoutInCell="1" allowOverlap="1" wp14:anchorId="5B25B4F0" wp14:editId="509B4D87">
              <wp:simplePos x="0" y="0"/>
              <wp:positionH relativeFrom="page">
                <wp:posOffset>304800</wp:posOffset>
              </wp:positionH>
              <wp:positionV relativeFrom="page">
                <wp:posOffset>10383012</wp:posOffset>
              </wp:positionV>
              <wp:extent cx="6952488" cy="6096"/>
              <wp:effectExtent l="0" t="0" r="0" b="0"/>
              <wp:wrapSquare wrapText="bothSides"/>
              <wp:docPr id="6763" name="Group 6763"/>
              <wp:cNvGraphicFramePr/>
              <a:graphic xmlns:a="http://schemas.openxmlformats.org/drawingml/2006/main">
                <a:graphicData uri="http://schemas.microsoft.com/office/word/2010/wordprocessingGroup">
                  <wpg:wgp>
                    <wpg:cNvGrpSpPr/>
                    <wpg:grpSpPr>
                      <a:xfrm>
                        <a:off x="0" y="0"/>
                        <a:ext cx="6952488" cy="6096"/>
                        <a:chOff x="0" y="0"/>
                        <a:chExt cx="6952488" cy="6096"/>
                      </a:xfrm>
                    </wpg:grpSpPr>
                    <wps:wsp>
                      <wps:cNvPr id="7069" name="Shape 7069"/>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70" name="Shape 7070"/>
                      <wps:cNvSpPr/>
                      <wps:spPr>
                        <a:xfrm>
                          <a:off x="6096" y="0"/>
                          <a:ext cx="6940296" cy="9144"/>
                        </a:xfrm>
                        <a:custGeom>
                          <a:avLst/>
                          <a:gdLst/>
                          <a:ahLst/>
                          <a:cxnLst/>
                          <a:rect l="0" t="0" r="0" b="0"/>
                          <a:pathLst>
                            <a:path w="6940296" h="9144">
                              <a:moveTo>
                                <a:pt x="0" y="0"/>
                              </a:moveTo>
                              <a:lnTo>
                                <a:pt x="6940296" y="0"/>
                              </a:lnTo>
                              <a:lnTo>
                                <a:pt x="69402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71" name="Shape 7071"/>
                      <wps:cNvSpPr/>
                      <wps:spPr>
                        <a:xfrm>
                          <a:off x="69463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763" style="width:547.44pt;height:0.47998pt;position:absolute;mso-position-horizontal-relative:page;mso-position-horizontal:absolute;margin-left:24pt;mso-position-vertical-relative:page;margin-top:817.56pt;" coordsize="69524,60">
              <v:shape id="Shape 7072" style="position:absolute;width:91;height:91;left:0;top:0;" coordsize="9144,9144" path="m0,0l9144,0l9144,9144l0,9144l0,0">
                <v:stroke weight="0pt" endcap="flat" joinstyle="miter" miterlimit="10" on="false" color="#000000" opacity="0"/>
                <v:fill on="true" color="#000000"/>
              </v:shape>
              <v:shape id="Shape 7073" style="position:absolute;width:69402;height:91;left:60;top:0;" coordsize="6940296,9144" path="m0,0l6940296,0l6940296,9144l0,9144l0,0">
                <v:stroke weight="0pt" endcap="flat" joinstyle="miter" miterlimit="10" on="false" color="#000000" opacity="0"/>
                <v:fill on="true" color="#000000"/>
              </v:shape>
              <v:shape id="Shape 7074" style="position:absolute;width:91;height:91;left:69463;top:0;" coordsize="9144,9144" path="m0,0l9144,0l9144,9144l0,9144l0,0">
                <v:stroke weight="0pt" endcap="flat" joinstyle="miter" miterlimit="10" on="false" color="#000000" opacity="0"/>
                <v:fill on="true" color="#000000"/>
              </v:shape>
              <w10:wrap type="square"/>
            </v:group>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9E2335" w14:textId="77777777" w:rsidR="00CE1C32" w:rsidRDefault="00000000">
    <w:pPr>
      <w:spacing w:after="0" w:line="259" w:lineRule="auto"/>
      <w:ind w:left="-1440" w:right="10531" w:firstLine="0"/>
    </w:pPr>
    <w:r>
      <w:rPr>
        <w:rFonts w:ascii="Calibri" w:eastAsia="Calibri" w:hAnsi="Calibri" w:cs="Calibri"/>
        <w:noProof/>
        <w:sz w:val="22"/>
      </w:rPr>
      <mc:AlternateContent>
        <mc:Choice Requires="wpg">
          <w:drawing>
            <wp:anchor distT="0" distB="0" distL="114300" distR="114300" simplePos="0" relativeHeight="251666432" behindDoc="0" locked="0" layoutInCell="1" allowOverlap="1" wp14:anchorId="445EA6E4" wp14:editId="7E35586F">
              <wp:simplePos x="0" y="0"/>
              <wp:positionH relativeFrom="page">
                <wp:posOffset>304800</wp:posOffset>
              </wp:positionH>
              <wp:positionV relativeFrom="page">
                <wp:posOffset>10383012</wp:posOffset>
              </wp:positionV>
              <wp:extent cx="6952488" cy="6096"/>
              <wp:effectExtent l="0" t="0" r="0" b="0"/>
              <wp:wrapSquare wrapText="bothSides"/>
              <wp:docPr id="6744" name="Group 6744"/>
              <wp:cNvGraphicFramePr/>
              <a:graphic xmlns:a="http://schemas.openxmlformats.org/drawingml/2006/main">
                <a:graphicData uri="http://schemas.microsoft.com/office/word/2010/wordprocessingGroup">
                  <wpg:wgp>
                    <wpg:cNvGrpSpPr/>
                    <wpg:grpSpPr>
                      <a:xfrm>
                        <a:off x="0" y="0"/>
                        <a:ext cx="6952488" cy="6096"/>
                        <a:chOff x="0" y="0"/>
                        <a:chExt cx="6952488" cy="6096"/>
                      </a:xfrm>
                    </wpg:grpSpPr>
                    <wps:wsp>
                      <wps:cNvPr id="7063" name="Shape 7063"/>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64" name="Shape 7064"/>
                      <wps:cNvSpPr/>
                      <wps:spPr>
                        <a:xfrm>
                          <a:off x="6096" y="0"/>
                          <a:ext cx="6940296" cy="9144"/>
                        </a:xfrm>
                        <a:custGeom>
                          <a:avLst/>
                          <a:gdLst/>
                          <a:ahLst/>
                          <a:cxnLst/>
                          <a:rect l="0" t="0" r="0" b="0"/>
                          <a:pathLst>
                            <a:path w="6940296" h="9144">
                              <a:moveTo>
                                <a:pt x="0" y="0"/>
                              </a:moveTo>
                              <a:lnTo>
                                <a:pt x="6940296" y="0"/>
                              </a:lnTo>
                              <a:lnTo>
                                <a:pt x="69402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65" name="Shape 7065"/>
                      <wps:cNvSpPr/>
                      <wps:spPr>
                        <a:xfrm>
                          <a:off x="69463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744" style="width:547.44pt;height:0.47998pt;position:absolute;mso-position-horizontal-relative:page;mso-position-horizontal:absolute;margin-left:24pt;mso-position-vertical-relative:page;margin-top:817.56pt;" coordsize="69524,60">
              <v:shape id="Shape 7066" style="position:absolute;width:91;height:91;left:0;top:0;" coordsize="9144,9144" path="m0,0l9144,0l9144,9144l0,9144l0,0">
                <v:stroke weight="0pt" endcap="flat" joinstyle="miter" miterlimit="10" on="false" color="#000000" opacity="0"/>
                <v:fill on="true" color="#000000"/>
              </v:shape>
              <v:shape id="Shape 7067" style="position:absolute;width:69402;height:91;left:60;top:0;" coordsize="6940296,9144" path="m0,0l6940296,0l6940296,9144l0,9144l0,0">
                <v:stroke weight="0pt" endcap="flat" joinstyle="miter" miterlimit="10" on="false" color="#000000" opacity="0"/>
                <v:fill on="true" color="#000000"/>
              </v:shape>
              <v:shape id="Shape 7068" style="position:absolute;width:91;height:91;left:69463;top:0;" coordsize="9144,9144" path="m0,0l9144,0l9144,9144l0,9144l0,0">
                <v:stroke weight="0pt" endcap="flat" joinstyle="miter" miterlimit="10" on="false" color="#000000" opacity="0"/>
                <v:fill on="true" color="#000000"/>
              </v:shape>
              <w10:wrap type="squar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7A8C4F" w14:textId="77777777" w:rsidR="001953F0" w:rsidRDefault="001953F0">
      <w:pPr>
        <w:spacing w:after="0" w:line="240" w:lineRule="auto"/>
      </w:pPr>
      <w:r>
        <w:separator/>
      </w:r>
    </w:p>
  </w:footnote>
  <w:footnote w:type="continuationSeparator" w:id="0">
    <w:p w14:paraId="49DE6FAB" w14:textId="77777777" w:rsidR="001953F0" w:rsidRDefault="001953F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10D0AC" w14:textId="77777777" w:rsidR="00CE1C32" w:rsidRDefault="00000000">
    <w:pPr>
      <w:spacing w:after="0" w:line="259" w:lineRule="auto"/>
      <w:ind w:left="-1440" w:right="10531" w:firstLine="0"/>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093E491A" wp14:editId="358724E4">
              <wp:simplePos x="0" y="0"/>
              <wp:positionH relativeFrom="page">
                <wp:posOffset>304800</wp:posOffset>
              </wp:positionH>
              <wp:positionV relativeFrom="page">
                <wp:posOffset>304800</wp:posOffset>
              </wp:positionV>
              <wp:extent cx="6952488" cy="6096"/>
              <wp:effectExtent l="0" t="0" r="0" b="0"/>
              <wp:wrapSquare wrapText="bothSides"/>
              <wp:docPr id="6771" name="Group 6771"/>
              <wp:cNvGraphicFramePr/>
              <a:graphic xmlns:a="http://schemas.openxmlformats.org/drawingml/2006/main">
                <a:graphicData uri="http://schemas.microsoft.com/office/word/2010/wordprocessingGroup">
                  <wpg:wgp>
                    <wpg:cNvGrpSpPr/>
                    <wpg:grpSpPr>
                      <a:xfrm>
                        <a:off x="0" y="0"/>
                        <a:ext cx="6952488" cy="6096"/>
                        <a:chOff x="0" y="0"/>
                        <a:chExt cx="6952488" cy="6096"/>
                      </a:xfrm>
                    </wpg:grpSpPr>
                    <wps:wsp>
                      <wps:cNvPr id="7053" name="Shape 7053"/>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54" name="Shape 7054"/>
                      <wps:cNvSpPr/>
                      <wps:spPr>
                        <a:xfrm>
                          <a:off x="6096" y="0"/>
                          <a:ext cx="6940296" cy="9144"/>
                        </a:xfrm>
                        <a:custGeom>
                          <a:avLst/>
                          <a:gdLst/>
                          <a:ahLst/>
                          <a:cxnLst/>
                          <a:rect l="0" t="0" r="0" b="0"/>
                          <a:pathLst>
                            <a:path w="6940296" h="9144">
                              <a:moveTo>
                                <a:pt x="0" y="0"/>
                              </a:moveTo>
                              <a:lnTo>
                                <a:pt x="6940296" y="0"/>
                              </a:lnTo>
                              <a:lnTo>
                                <a:pt x="69402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55" name="Shape 7055"/>
                      <wps:cNvSpPr/>
                      <wps:spPr>
                        <a:xfrm>
                          <a:off x="69463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771" style="width:547.44pt;height:0.47998pt;position:absolute;mso-position-horizontal-relative:page;mso-position-horizontal:absolute;margin-left:24pt;mso-position-vertical-relative:page;margin-top:24pt;" coordsize="69524,60">
              <v:shape id="Shape 7056" style="position:absolute;width:91;height:91;left:0;top:0;" coordsize="9144,9144" path="m0,0l9144,0l9144,9144l0,9144l0,0">
                <v:stroke weight="0pt" endcap="flat" joinstyle="miter" miterlimit="10" on="false" color="#000000" opacity="0"/>
                <v:fill on="true" color="#000000"/>
              </v:shape>
              <v:shape id="Shape 7057" style="position:absolute;width:69402;height:91;left:60;top:0;" coordsize="6940296,9144" path="m0,0l6940296,0l6940296,9144l0,9144l0,0">
                <v:stroke weight="0pt" endcap="flat" joinstyle="miter" miterlimit="10" on="false" color="#000000" opacity="0"/>
                <v:fill on="true" color="#000000"/>
              </v:shape>
              <v:shape id="Shape 7058" style="position:absolute;width:91;height:91;left:69463;top:0;" coordsize="9144,9144" path="m0,0l9144,0l9144,9144l0,9144l0,0">
                <v:stroke weight="0pt" endcap="flat" joinstyle="miter" miterlimit="10" on="false" color="#000000" opacity="0"/>
                <v:fill on="true" color="#000000"/>
              </v:shape>
              <w10:wrap type="square"/>
            </v:group>
          </w:pict>
        </mc:Fallback>
      </mc:AlternateContent>
    </w:r>
  </w:p>
  <w:p w14:paraId="0B2256EA" w14:textId="77777777" w:rsidR="00CE1C32" w:rsidRDefault="00000000">
    <w:r>
      <w:rPr>
        <w:rFonts w:ascii="Calibri" w:eastAsia="Calibri" w:hAnsi="Calibri" w:cs="Calibri"/>
        <w:noProof/>
        <w:sz w:val="22"/>
      </w:rPr>
      <mc:AlternateContent>
        <mc:Choice Requires="wpg">
          <w:drawing>
            <wp:anchor distT="0" distB="0" distL="114300" distR="114300" simplePos="0" relativeHeight="251659264" behindDoc="1" locked="0" layoutInCell="1" allowOverlap="1" wp14:anchorId="1C9F0C62" wp14:editId="1CAABF01">
              <wp:simplePos x="0" y="0"/>
              <wp:positionH relativeFrom="page">
                <wp:posOffset>304800</wp:posOffset>
              </wp:positionH>
              <wp:positionV relativeFrom="page">
                <wp:posOffset>310896</wp:posOffset>
              </wp:positionV>
              <wp:extent cx="6952488" cy="10072116"/>
              <wp:effectExtent l="0" t="0" r="0" b="0"/>
              <wp:wrapNone/>
              <wp:docPr id="6775" name="Group 6775"/>
              <wp:cNvGraphicFramePr/>
              <a:graphic xmlns:a="http://schemas.openxmlformats.org/drawingml/2006/main">
                <a:graphicData uri="http://schemas.microsoft.com/office/word/2010/wordprocessingGroup">
                  <wpg:wgp>
                    <wpg:cNvGrpSpPr/>
                    <wpg:grpSpPr>
                      <a:xfrm>
                        <a:off x="0" y="0"/>
                        <a:ext cx="6952488" cy="10072116"/>
                        <a:chOff x="0" y="0"/>
                        <a:chExt cx="6952488" cy="10072116"/>
                      </a:xfrm>
                    </wpg:grpSpPr>
                    <wps:wsp>
                      <wps:cNvPr id="7059" name="Shape 7059"/>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60" name="Shape 7060"/>
                      <wps:cNvSpPr/>
                      <wps:spPr>
                        <a:xfrm>
                          <a:off x="6946393"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775" style="width:547.44pt;height:793.08pt;position:absolute;z-index:-2147483648;mso-position-horizontal-relative:page;mso-position-horizontal:absolute;margin-left:24pt;mso-position-vertical-relative:page;margin-top:24.48pt;" coordsize="69524,100721">
              <v:shape id="Shape 7061" style="position:absolute;width:91;height:100721;left:0;top:0;" coordsize="9144,10072116" path="m0,0l9144,0l9144,10072116l0,10072116l0,0">
                <v:stroke weight="0pt" endcap="flat" joinstyle="miter" miterlimit="10" on="false" color="#000000" opacity="0"/>
                <v:fill on="true" color="#000000"/>
              </v:shape>
              <v:shape id="Shape 7062" style="position:absolute;width:91;height:100721;left:69463;top:0;" coordsize="9144,10072116" path="m0,0l9144,0l9144,10072116l0,10072116l0,0">
                <v:stroke weight="0pt" endcap="flat" joinstyle="miter" miterlimit="10" on="false" color="#000000" opacity="0"/>
                <v:fill on="true" color="#000000"/>
              </v:shap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EDCABB" w14:textId="77777777" w:rsidR="00CE1C32" w:rsidRDefault="00000000">
    <w:pPr>
      <w:spacing w:after="0" w:line="259" w:lineRule="auto"/>
      <w:ind w:left="-1440" w:right="10531" w:firstLine="0"/>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5D6E5411" wp14:editId="6C9BEDAF">
              <wp:simplePos x="0" y="0"/>
              <wp:positionH relativeFrom="page">
                <wp:posOffset>304800</wp:posOffset>
              </wp:positionH>
              <wp:positionV relativeFrom="page">
                <wp:posOffset>304800</wp:posOffset>
              </wp:positionV>
              <wp:extent cx="6952488" cy="6096"/>
              <wp:effectExtent l="0" t="0" r="0" b="0"/>
              <wp:wrapSquare wrapText="bothSides"/>
              <wp:docPr id="6752" name="Group 6752"/>
              <wp:cNvGraphicFramePr/>
              <a:graphic xmlns:a="http://schemas.openxmlformats.org/drawingml/2006/main">
                <a:graphicData uri="http://schemas.microsoft.com/office/word/2010/wordprocessingGroup">
                  <wpg:wgp>
                    <wpg:cNvGrpSpPr/>
                    <wpg:grpSpPr>
                      <a:xfrm>
                        <a:off x="0" y="0"/>
                        <a:ext cx="6952488" cy="6096"/>
                        <a:chOff x="0" y="0"/>
                        <a:chExt cx="6952488" cy="6096"/>
                      </a:xfrm>
                    </wpg:grpSpPr>
                    <wps:wsp>
                      <wps:cNvPr id="7043" name="Shape 7043"/>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44" name="Shape 7044"/>
                      <wps:cNvSpPr/>
                      <wps:spPr>
                        <a:xfrm>
                          <a:off x="6096" y="0"/>
                          <a:ext cx="6940296" cy="9144"/>
                        </a:xfrm>
                        <a:custGeom>
                          <a:avLst/>
                          <a:gdLst/>
                          <a:ahLst/>
                          <a:cxnLst/>
                          <a:rect l="0" t="0" r="0" b="0"/>
                          <a:pathLst>
                            <a:path w="6940296" h="9144">
                              <a:moveTo>
                                <a:pt x="0" y="0"/>
                              </a:moveTo>
                              <a:lnTo>
                                <a:pt x="6940296" y="0"/>
                              </a:lnTo>
                              <a:lnTo>
                                <a:pt x="69402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45" name="Shape 7045"/>
                      <wps:cNvSpPr/>
                      <wps:spPr>
                        <a:xfrm>
                          <a:off x="69463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752" style="width:547.44pt;height:0.47998pt;position:absolute;mso-position-horizontal-relative:page;mso-position-horizontal:absolute;margin-left:24pt;mso-position-vertical-relative:page;margin-top:24pt;" coordsize="69524,60">
              <v:shape id="Shape 7046" style="position:absolute;width:91;height:91;left:0;top:0;" coordsize="9144,9144" path="m0,0l9144,0l9144,9144l0,9144l0,0">
                <v:stroke weight="0pt" endcap="flat" joinstyle="miter" miterlimit="10" on="false" color="#000000" opacity="0"/>
                <v:fill on="true" color="#000000"/>
              </v:shape>
              <v:shape id="Shape 7047" style="position:absolute;width:69402;height:91;left:60;top:0;" coordsize="6940296,9144" path="m0,0l6940296,0l6940296,9144l0,9144l0,0">
                <v:stroke weight="0pt" endcap="flat" joinstyle="miter" miterlimit="10" on="false" color="#000000" opacity="0"/>
                <v:fill on="true" color="#000000"/>
              </v:shape>
              <v:shape id="Shape 7048" style="position:absolute;width:91;height:91;left:69463;top:0;" coordsize="9144,9144" path="m0,0l9144,0l9144,9144l0,9144l0,0">
                <v:stroke weight="0pt" endcap="flat" joinstyle="miter" miterlimit="10" on="false" color="#000000" opacity="0"/>
                <v:fill on="true" color="#000000"/>
              </v:shape>
              <w10:wrap type="square"/>
            </v:group>
          </w:pict>
        </mc:Fallback>
      </mc:AlternateContent>
    </w:r>
  </w:p>
  <w:p w14:paraId="1E875DA6" w14:textId="77777777" w:rsidR="00CE1C32" w:rsidRDefault="00000000">
    <w:r>
      <w:rPr>
        <w:rFonts w:ascii="Calibri" w:eastAsia="Calibri" w:hAnsi="Calibri" w:cs="Calibri"/>
        <w:noProof/>
        <w:sz w:val="22"/>
      </w:rPr>
      <mc:AlternateContent>
        <mc:Choice Requires="wpg">
          <w:drawing>
            <wp:anchor distT="0" distB="0" distL="114300" distR="114300" simplePos="0" relativeHeight="251661312" behindDoc="1" locked="0" layoutInCell="1" allowOverlap="1" wp14:anchorId="34FA46CA" wp14:editId="007A82BC">
              <wp:simplePos x="0" y="0"/>
              <wp:positionH relativeFrom="page">
                <wp:posOffset>304800</wp:posOffset>
              </wp:positionH>
              <wp:positionV relativeFrom="page">
                <wp:posOffset>310896</wp:posOffset>
              </wp:positionV>
              <wp:extent cx="6952488" cy="10072116"/>
              <wp:effectExtent l="0" t="0" r="0" b="0"/>
              <wp:wrapNone/>
              <wp:docPr id="6756" name="Group 6756"/>
              <wp:cNvGraphicFramePr/>
              <a:graphic xmlns:a="http://schemas.openxmlformats.org/drawingml/2006/main">
                <a:graphicData uri="http://schemas.microsoft.com/office/word/2010/wordprocessingGroup">
                  <wpg:wgp>
                    <wpg:cNvGrpSpPr/>
                    <wpg:grpSpPr>
                      <a:xfrm>
                        <a:off x="0" y="0"/>
                        <a:ext cx="6952488" cy="10072116"/>
                        <a:chOff x="0" y="0"/>
                        <a:chExt cx="6952488" cy="10072116"/>
                      </a:xfrm>
                    </wpg:grpSpPr>
                    <wps:wsp>
                      <wps:cNvPr id="7049" name="Shape 7049"/>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50" name="Shape 7050"/>
                      <wps:cNvSpPr/>
                      <wps:spPr>
                        <a:xfrm>
                          <a:off x="6946393"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756" style="width:547.44pt;height:793.08pt;position:absolute;z-index:-2147483648;mso-position-horizontal-relative:page;mso-position-horizontal:absolute;margin-left:24pt;mso-position-vertical-relative:page;margin-top:24.48pt;" coordsize="69524,100721">
              <v:shape id="Shape 7051" style="position:absolute;width:91;height:100721;left:0;top:0;" coordsize="9144,10072116" path="m0,0l9144,0l9144,10072116l0,10072116l0,0">
                <v:stroke weight="0pt" endcap="flat" joinstyle="miter" miterlimit="10" on="false" color="#000000" opacity="0"/>
                <v:fill on="true" color="#000000"/>
              </v:shape>
              <v:shape id="Shape 7052" style="position:absolute;width:91;height:100721;left:69463;top:0;" coordsize="9144,10072116" path="m0,0l9144,0l9144,10072116l0,10072116l0,0">
                <v:stroke weight="0pt" endcap="flat" joinstyle="miter" miterlimit="10" on="false" color="#000000" opacity="0"/>
                <v:fill on="true" color="#000000"/>
              </v:shap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7E8E0A" w14:textId="77777777" w:rsidR="00CE1C32" w:rsidRDefault="00000000">
    <w:pPr>
      <w:spacing w:after="0" w:line="259" w:lineRule="auto"/>
      <w:ind w:left="-1440" w:right="10531" w:firstLine="0"/>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70FA14EC" wp14:editId="45019C9E">
              <wp:simplePos x="0" y="0"/>
              <wp:positionH relativeFrom="page">
                <wp:posOffset>304800</wp:posOffset>
              </wp:positionH>
              <wp:positionV relativeFrom="page">
                <wp:posOffset>304800</wp:posOffset>
              </wp:positionV>
              <wp:extent cx="6952488" cy="6096"/>
              <wp:effectExtent l="0" t="0" r="0" b="0"/>
              <wp:wrapSquare wrapText="bothSides"/>
              <wp:docPr id="6733" name="Group 6733"/>
              <wp:cNvGraphicFramePr/>
              <a:graphic xmlns:a="http://schemas.openxmlformats.org/drawingml/2006/main">
                <a:graphicData uri="http://schemas.microsoft.com/office/word/2010/wordprocessingGroup">
                  <wpg:wgp>
                    <wpg:cNvGrpSpPr/>
                    <wpg:grpSpPr>
                      <a:xfrm>
                        <a:off x="0" y="0"/>
                        <a:ext cx="6952488" cy="6096"/>
                        <a:chOff x="0" y="0"/>
                        <a:chExt cx="6952488" cy="6096"/>
                      </a:xfrm>
                    </wpg:grpSpPr>
                    <wps:wsp>
                      <wps:cNvPr id="7033" name="Shape 7033"/>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34" name="Shape 7034"/>
                      <wps:cNvSpPr/>
                      <wps:spPr>
                        <a:xfrm>
                          <a:off x="6096" y="0"/>
                          <a:ext cx="6940296" cy="9144"/>
                        </a:xfrm>
                        <a:custGeom>
                          <a:avLst/>
                          <a:gdLst/>
                          <a:ahLst/>
                          <a:cxnLst/>
                          <a:rect l="0" t="0" r="0" b="0"/>
                          <a:pathLst>
                            <a:path w="6940296" h="9144">
                              <a:moveTo>
                                <a:pt x="0" y="0"/>
                              </a:moveTo>
                              <a:lnTo>
                                <a:pt x="6940296" y="0"/>
                              </a:lnTo>
                              <a:lnTo>
                                <a:pt x="69402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35" name="Shape 7035"/>
                      <wps:cNvSpPr/>
                      <wps:spPr>
                        <a:xfrm>
                          <a:off x="69463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733" style="width:547.44pt;height:0.47998pt;position:absolute;mso-position-horizontal-relative:page;mso-position-horizontal:absolute;margin-left:24pt;mso-position-vertical-relative:page;margin-top:24pt;" coordsize="69524,60">
              <v:shape id="Shape 7036" style="position:absolute;width:91;height:91;left:0;top:0;" coordsize="9144,9144" path="m0,0l9144,0l9144,9144l0,9144l0,0">
                <v:stroke weight="0pt" endcap="flat" joinstyle="miter" miterlimit="10" on="false" color="#000000" opacity="0"/>
                <v:fill on="true" color="#000000"/>
              </v:shape>
              <v:shape id="Shape 7037" style="position:absolute;width:69402;height:91;left:60;top:0;" coordsize="6940296,9144" path="m0,0l6940296,0l6940296,9144l0,9144l0,0">
                <v:stroke weight="0pt" endcap="flat" joinstyle="miter" miterlimit="10" on="false" color="#000000" opacity="0"/>
                <v:fill on="true" color="#000000"/>
              </v:shape>
              <v:shape id="Shape 7038" style="position:absolute;width:91;height:91;left:69463;top:0;" coordsize="9144,9144" path="m0,0l9144,0l9144,9144l0,9144l0,0">
                <v:stroke weight="0pt" endcap="flat" joinstyle="miter" miterlimit="10" on="false" color="#000000" opacity="0"/>
                <v:fill on="true" color="#000000"/>
              </v:shape>
              <w10:wrap type="square"/>
            </v:group>
          </w:pict>
        </mc:Fallback>
      </mc:AlternateContent>
    </w:r>
  </w:p>
  <w:p w14:paraId="441BF40B" w14:textId="77777777" w:rsidR="00CE1C32" w:rsidRDefault="00000000">
    <w:r>
      <w:rPr>
        <w:rFonts w:ascii="Calibri" w:eastAsia="Calibri" w:hAnsi="Calibri" w:cs="Calibri"/>
        <w:noProof/>
        <w:sz w:val="22"/>
      </w:rPr>
      <mc:AlternateContent>
        <mc:Choice Requires="wpg">
          <w:drawing>
            <wp:anchor distT="0" distB="0" distL="114300" distR="114300" simplePos="0" relativeHeight="251663360" behindDoc="1" locked="0" layoutInCell="1" allowOverlap="1" wp14:anchorId="69E22F0A" wp14:editId="25338414">
              <wp:simplePos x="0" y="0"/>
              <wp:positionH relativeFrom="page">
                <wp:posOffset>304800</wp:posOffset>
              </wp:positionH>
              <wp:positionV relativeFrom="page">
                <wp:posOffset>310896</wp:posOffset>
              </wp:positionV>
              <wp:extent cx="6952488" cy="10072116"/>
              <wp:effectExtent l="0" t="0" r="0" b="0"/>
              <wp:wrapNone/>
              <wp:docPr id="6737" name="Group 6737"/>
              <wp:cNvGraphicFramePr/>
              <a:graphic xmlns:a="http://schemas.openxmlformats.org/drawingml/2006/main">
                <a:graphicData uri="http://schemas.microsoft.com/office/word/2010/wordprocessingGroup">
                  <wpg:wgp>
                    <wpg:cNvGrpSpPr/>
                    <wpg:grpSpPr>
                      <a:xfrm>
                        <a:off x="0" y="0"/>
                        <a:ext cx="6952488" cy="10072116"/>
                        <a:chOff x="0" y="0"/>
                        <a:chExt cx="6952488" cy="10072116"/>
                      </a:xfrm>
                    </wpg:grpSpPr>
                    <wps:wsp>
                      <wps:cNvPr id="7039" name="Shape 7039"/>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40" name="Shape 7040"/>
                      <wps:cNvSpPr/>
                      <wps:spPr>
                        <a:xfrm>
                          <a:off x="6946393"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737" style="width:547.44pt;height:793.08pt;position:absolute;z-index:-2147483648;mso-position-horizontal-relative:page;mso-position-horizontal:absolute;margin-left:24pt;mso-position-vertical-relative:page;margin-top:24.48pt;" coordsize="69524,100721">
              <v:shape id="Shape 7041" style="position:absolute;width:91;height:100721;left:0;top:0;" coordsize="9144,10072116" path="m0,0l9144,0l9144,10072116l0,10072116l0,0">
                <v:stroke weight="0pt" endcap="flat" joinstyle="miter" miterlimit="10" on="false" color="#000000" opacity="0"/>
                <v:fill on="true" color="#000000"/>
              </v:shape>
              <v:shape id="Shape 7042" style="position:absolute;width:91;height:100721;left:69463;top:0;" coordsize="9144,10072116" path="m0,0l9144,0l9144,10072116l0,10072116l0,0">
                <v:stroke weight="0pt" endcap="flat" joinstyle="miter" miterlimit="10" on="false" color="#000000" opacity="0"/>
                <v:fill on="true" color="#000000"/>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AC457E"/>
    <w:multiLevelType w:val="hybridMultilevel"/>
    <w:tmpl w:val="65FE51B6"/>
    <w:lvl w:ilvl="0" w:tplc="06B24B84">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BDCDC8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D3FADA40">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4FEEBCB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32C673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ECEDC4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3502C5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AECC02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D46EBD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4EAE2438"/>
    <w:multiLevelType w:val="hybridMultilevel"/>
    <w:tmpl w:val="759673CE"/>
    <w:lvl w:ilvl="0" w:tplc="0AB40B12">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1F6170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36AB40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63828B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2E8820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324A70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01266A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23CB38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8B2843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60FA13E2"/>
    <w:multiLevelType w:val="hybridMultilevel"/>
    <w:tmpl w:val="F2C64114"/>
    <w:lvl w:ilvl="0" w:tplc="F0C07428">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5EE887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8D30F0E0">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0E4772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F82C78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63439A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F40249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31E1ECC">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348DF5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num w:numId="1" w16cid:durableId="79568003">
    <w:abstractNumId w:val="2"/>
  </w:num>
  <w:num w:numId="2" w16cid:durableId="1589927678">
    <w:abstractNumId w:val="0"/>
  </w:num>
  <w:num w:numId="3" w16cid:durableId="25914208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E1C32"/>
    <w:rsid w:val="001953F0"/>
    <w:rsid w:val="0054460F"/>
    <w:rsid w:val="00863768"/>
    <w:rsid w:val="00CE1C32"/>
    <w:rsid w:val="00F571E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7D8DCA"/>
  <w15:docId w15:val="{A131FD5A-68D9-449B-ADB4-C2305E1620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59" w:line="258" w:lineRule="auto"/>
      <w:ind w:left="10" w:hanging="10"/>
    </w:pPr>
    <w:rPr>
      <w:rFonts w:ascii="Times New Roman" w:eastAsia="Times New Roman" w:hAnsi="Times New Roman" w:cs="Times New Roman"/>
      <w:color w:val="00000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Pages>
  <Words>1458</Words>
  <Characters>8311</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Shifa Siddiqui</dc:creator>
  <cp:keywords/>
  <cp:lastModifiedBy>Shifa Siddiqui</cp:lastModifiedBy>
  <cp:revision>3</cp:revision>
  <dcterms:created xsi:type="dcterms:W3CDTF">2026-02-09T11:44:00Z</dcterms:created>
  <dcterms:modified xsi:type="dcterms:W3CDTF">2026-02-09T11:44:00Z</dcterms:modified>
</cp:coreProperties>
</file>