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9"/>
      </w:pPr>
      <w:r>
        <w:rPr>
          <w:b/>
          <w:bCs/>
        </w:rPr>
        <w:t>1. Dalvik Virtual Instructions</w:t>
      </w:r>
    </w:p>
    <w:p>
      <w:pPr>
        <w:pStyle w:val="style19"/>
      </w:pPr>
      <w:r>
        <w:rPr/>
      </w:r>
    </w:p>
    <w:tbl>
      <w:tblPr>
        <w:jc w:val="left"/>
        <w:tblInd w:type="dxa" w:w="-108"/>
        <w:tblBorders/>
      </w:tblPr>
      <w:tblGrid>
        <w:gridCol w:w="1727"/>
        <w:gridCol w:w="1709"/>
        <w:gridCol w:w="3239"/>
        <w:gridCol w:w="3872"/>
      </w:tblGrid>
      <w:tr>
        <w:trPr>
          <w:cantSplit w:val="false"/>
        </w:trPr>
        <w:tc>
          <w:tcPr>
            <w:tcW w:type="dxa" w:w="1727"/>
            <w:tcBorders/>
            <w:shd w:fill="auto" w:val="clear"/>
            <w:tcMar>
              <w:top w:type="dxa" w:w="0"/>
              <w:left w:type="dxa" w:w="108"/>
              <w:bottom w:type="dxa" w:w="0"/>
              <w:right w:type="dxa" w:w="108"/>
            </w:tcMar>
          </w:tcPr>
          <w:p>
            <w:pPr>
              <w:pStyle w:val="style0"/>
            </w:pPr>
            <w:r>
              <w:rPr/>
              <w:t>Opcode(hex)</w:t>
            </w:r>
          </w:p>
        </w:tc>
        <w:tc>
          <w:tcPr>
            <w:tcW w:type="dxa" w:w="1709"/>
            <w:tcBorders/>
            <w:shd w:fill="auto" w:val="clear"/>
            <w:tcMar>
              <w:top w:type="dxa" w:w="0"/>
              <w:left w:type="dxa" w:w="108"/>
              <w:bottom w:type="dxa" w:w="0"/>
              <w:right w:type="dxa" w:w="108"/>
            </w:tcMar>
          </w:tcPr>
          <w:p>
            <w:pPr>
              <w:pStyle w:val="style0"/>
            </w:pPr>
            <w:r>
              <w:rPr/>
              <w:t>Opcode Name</w:t>
            </w:r>
          </w:p>
        </w:tc>
        <w:tc>
          <w:tcPr>
            <w:tcW w:type="dxa" w:w="3239"/>
            <w:tcBorders/>
            <w:shd w:fill="auto" w:val="clear"/>
            <w:tcMar>
              <w:top w:type="dxa" w:w="0"/>
              <w:left w:type="dxa" w:w="108"/>
              <w:bottom w:type="dxa" w:w="0"/>
              <w:right w:type="dxa" w:w="108"/>
            </w:tcMar>
          </w:tcPr>
          <w:p>
            <w:pPr>
              <w:pStyle w:val="style0"/>
            </w:pPr>
            <w:r>
              <w:rPr/>
              <w:t xml:space="preserve">Explanation </w:t>
            </w:r>
          </w:p>
        </w:tc>
        <w:tc>
          <w:tcPr>
            <w:tcW w:type="dxa" w:w="3872"/>
            <w:tcBorders/>
            <w:shd w:fill="auto" w:val="clear"/>
            <w:tcMar>
              <w:top w:type="dxa" w:w="0"/>
              <w:left w:type="dxa" w:w="108"/>
              <w:bottom w:type="dxa" w:w="0"/>
              <w:right w:type="dxa" w:w="108"/>
            </w:tcMar>
          </w:tcPr>
          <w:p>
            <w:pPr>
              <w:pStyle w:val="style0"/>
            </w:pPr>
            <w:bookmarkStart w:id="0" w:name="_GoBack"/>
            <w:bookmarkEnd w:id="0"/>
            <w:r>
              <w:rPr/>
              <w:t>Example</w:t>
            </w:r>
          </w:p>
        </w:tc>
      </w:tr>
      <w:tr>
        <w:trPr>
          <w:cantSplit w:val="false"/>
        </w:trPr>
        <w:tc>
          <w:tcPr>
            <w:tcW w:type="dxa" w:w="1727"/>
            <w:tcBorders/>
            <w:shd w:fill="auto" w:val="clear"/>
            <w:tcMar>
              <w:top w:type="dxa" w:w="0"/>
              <w:left w:type="dxa" w:w="108"/>
              <w:bottom w:type="dxa" w:w="0"/>
              <w:right w:type="dxa" w:w="108"/>
            </w:tcMar>
          </w:tcPr>
          <w:p>
            <w:pPr>
              <w:pStyle w:val="style0"/>
            </w:pPr>
            <w:r>
              <w:rPr/>
              <w:t>00</w:t>
            </w:r>
          </w:p>
        </w:tc>
        <w:tc>
          <w:tcPr>
            <w:tcW w:type="dxa" w:w="1709"/>
            <w:tcBorders/>
            <w:shd w:fill="auto" w:val="clear"/>
            <w:tcMar>
              <w:top w:type="dxa" w:w="0"/>
              <w:left w:type="dxa" w:w="108"/>
              <w:bottom w:type="dxa" w:w="0"/>
              <w:right w:type="dxa" w:w="108"/>
            </w:tcMar>
          </w:tcPr>
          <w:p>
            <w:pPr>
              <w:pStyle w:val="style0"/>
            </w:pPr>
            <w:r>
              <w:rPr/>
              <w:t>nop</w:t>
            </w:r>
          </w:p>
        </w:tc>
        <w:tc>
          <w:tcPr>
            <w:tcW w:type="dxa" w:w="3239"/>
            <w:tcBorders/>
            <w:shd w:fill="auto" w:val="clear"/>
            <w:tcMar>
              <w:top w:type="dxa" w:w="0"/>
              <w:left w:type="dxa" w:w="108"/>
              <w:bottom w:type="dxa" w:w="0"/>
              <w:right w:type="dxa" w:w="108"/>
            </w:tcMar>
          </w:tcPr>
          <w:p>
            <w:pPr>
              <w:pStyle w:val="style0"/>
            </w:pPr>
            <w:r>
              <w:rPr/>
              <w:t>No Operation</w:t>
            </w:r>
          </w:p>
        </w:tc>
        <w:tc>
          <w:tcPr>
            <w:tcW w:type="dxa" w:w="3872"/>
            <w:tcBorders/>
            <w:shd w:fill="auto" w:val="clear"/>
            <w:tcMar>
              <w:top w:type="dxa" w:w="0"/>
              <w:left w:type="dxa" w:w="108"/>
              <w:bottom w:type="dxa" w:w="0"/>
              <w:right w:type="dxa" w:w="108"/>
            </w:tcMar>
          </w:tcPr>
          <w:p>
            <w:pPr>
              <w:pStyle w:val="style0"/>
            </w:pPr>
            <w:r>
              <w:rPr/>
              <w:t>0000 – nop</w:t>
            </w:r>
          </w:p>
        </w:tc>
      </w:tr>
      <w:tr>
        <w:trPr>
          <w:cantSplit w:val="false"/>
        </w:trPr>
        <w:tc>
          <w:tcPr>
            <w:tcW w:type="dxa" w:w="1727"/>
            <w:tcBorders/>
            <w:shd w:fill="auto" w:val="clear"/>
            <w:tcMar>
              <w:top w:type="dxa" w:w="0"/>
              <w:left w:type="dxa" w:w="108"/>
              <w:bottom w:type="dxa" w:w="0"/>
              <w:right w:type="dxa" w:w="108"/>
            </w:tcMar>
          </w:tcPr>
          <w:p>
            <w:pPr>
              <w:pStyle w:val="style0"/>
            </w:pPr>
            <w:r>
              <w:rPr/>
              <w:t>01</w:t>
            </w:r>
          </w:p>
        </w:tc>
        <w:tc>
          <w:tcPr>
            <w:tcW w:type="dxa" w:w="1709"/>
            <w:tcBorders/>
            <w:shd w:fill="auto" w:val="clear"/>
            <w:tcMar>
              <w:top w:type="dxa" w:w="0"/>
              <w:left w:type="dxa" w:w="108"/>
              <w:bottom w:type="dxa" w:w="0"/>
              <w:right w:type="dxa" w:w="108"/>
            </w:tcMar>
          </w:tcPr>
          <w:p>
            <w:pPr>
              <w:pStyle w:val="style0"/>
            </w:pPr>
            <w:r>
              <w:rPr/>
              <w:t>Move vx, vy</w:t>
            </w:r>
          </w:p>
        </w:tc>
        <w:tc>
          <w:tcPr>
            <w:tcW w:type="dxa" w:w="3239"/>
            <w:tcBorders/>
            <w:shd w:fill="auto" w:val="clear"/>
            <w:tcMar>
              <w:top w:type="dxa" w:w="0"/>
              <w:left w:type="dxa" w:w="108"/>
              <w:bottom w:type="dxa" w:w="0"/>
              <w:right w:type="dxa" w:w="108"/>
            </w:tcMar>
          </w:tcPr>
          <w:p>
            <w:pPr>
              <w:pStyle w:val="style0"/>
            </w:pPr>
            <w:r>
              <w:rPr/>
              <w:t>Moves the content of vy into vx. Both registers must be in the first 256 register range.</w:t>
            </w:r>
          </w:p>
        </w:tc>
        <w:tc>
          <w:tcPr>
            <w:tcW w:type="dxa" w:w="3872"/>
            <w:tcBorders/>
            <w:shd w:fill="auto" w:val="clear"/>
            <w:tcMar>
              <w:top w:type="dxa" w:w="0"/>
              <w:left w:type="dxa" w:w="108"/>
              <w:bottom w:type="dxa" w:w="0"/>
              <w:right w:type="dxa" w:w="108"/>
            </w:tcMar>
          </w:tcPr>
          <w:p>
            <w:pPr>
              <w:pStyle w:val="style0"/>
            </w:pPr>
            <w:r>
              <w:rPr/>
              <w:t>0110 – move v0, v1 Moves v1 into v0.</w:t>
            </w:r>
          </w:p>
        </w:tc>
      </w:tr>
      <w:tr>
        <w:trPr>
          <w:cantSplit w:val="false"/>
        </w:trPr>
        <w:tc>
          <w:tcPr>
            <w:tcW w:type="dxa" w:w="1727"/>
            <w:tcBorders/>
            <w:shd w:fill="auto" w:val="clear"/>
            <w:tcMar>
              <w:top w:type="dxa" w:w="0"/>
              <w:left w:type="dxa" w:w="108"/>
              <w:bottom w:type="dxa" w:w="0"/>
              <w:right w:type="dxa" w:w="108"/>
            </w:tcMar>
          </w:tcPr>
          <w:p>
            <w:pPr>
              <w:pStyle w:val="style0"/>
            </w:pPr>
            <w:r>
              <w:rPr/>
              <w:t>0E</w:t>
            </w:r>
          </w:p>
        </w:tc>
        <w:tc>
          <w:tcPr>
            <w:tcW w:type="dxa" w:w="1709"/>
            <w:tcBorders/>
            <w:shd w:fill="auto" w:val="clear"/>
            <w:tcMar>
              <w:top w:type="dxa" w:w="0"/>
              <w:left w:type="dxa" w:w="108"/>
              <w:bottom w:type="dxa" w:w="0"/>
              <w:right w:type="dxa" w:w="108"/>
            </w:tcMar>
          </w:tcPr>
          <w:p>
            <w:pPr>
              <w:pStyle w:val="style0"/>
            </w:pPr>
            <w:r>
              <w:rPr/>
              <w:t>Return-void</w:t>
            </w:r>
          </w:p>
        </w:tc>
        <w:tc>
          <w:tcPr>
            <w:tcW w:type="dxa" w:w="3239"/>
            <w:tcBorders/>
            <w:shd w:fill="auto" w:val="clear"/>
            <w:tcMar>
              <w:top w:type="dxa" w:w="0"/>
              <w:left w:type="dxa" w:w="108"/>
              <w:bottom w:type="dxa" w:w="0"/>
              <w:right w:type="dxa" w:w="108"/>
            </w:tcMar>
          </w:tcPr>
          <w:p>
            <w:pPr>
              <w:pStyle w:val="style0"/>
            </w:pPr>
            <w:r>
              <w:rPr/>
              <w:t>Return without a return value</w:t>
            </w:r>
          </w:p>
        </w:tc>
        <w:tc>
          <w:tcPr>
            <w:tcW w:type="dxa" w:w="3872"/>
            <w:tcBorders/>
            <w:shd w:fill="auto" w:val="clear"/>
            <w:tcMar>
              <w:top w:type="dxa" w:w="0"/>
              <w:left w:type="dxa" w:w="108"/>
              <w:bottom w:type="dxa" w:w="0"/>
              <w:right w:type="dxa" w:w="108"/>
            </w:tcMar>
          </w:tcPr>
          <w:p>
            <w:pPr>
              <w:pStyle w:val="style0"/>
            </w:pPr>
            <w:r>
              <w:rPr/>
              <w:t>0E00 – return-void</w:t>
            </w:r>
          </w:p>
        </w:tc>
      </w:tr>
      <w:tr>
        <w:trPr>
          <w:cantSplit w:val="false"/>
        </w:trPr>
        <w:tc>
          <w:tcPr>
            <w:tcW w:type="dxa" w:w="1727"/>
            <w:tcBorders/>
            <w:shd w:fill="auto" w:val="clear"/>
            <w:tcMar>
              <w:top w:type="dxa" w:w="0"/>
              <w:left w:type="dxa" w:w="108"/>
              <w:bottom w:type="dxa" w:w="0"/>
              <w:right w:type="dxa" w:w="108"/>
            </w:tcMar>
          </w:tcPr>
          <w:p>
            <w:pPr>
              <w:pStyle w:val="style0"/>
            </w:pPr>
            <w:r>
              <w:rPr/>
              <w:t>14</w:t>
            </w:r>
          </w:p>
        </w:tc>
        <w:tc>
          <w:tcPr>
            <w:tcW w:type="dxa" w:w="1709"/>
            <w:tcBorders/>
            <w:shd w:fill="auto" w:val="clear"/>
            <w:tcMar>
              <w:top w:type="dxa" w:w="0"/>
              <w:left w:type="dxa" w:w="108"/>
              <w:bottom w:type="dxa" w:w="0"/>
              <w:right w:type="dxa" w:w="108"/>
            </w:tcMar>
          </w:tcPr>
          <w:p>
            <w:pPr>
              <w:pStyle w:val="style0"/>
            </w:pPr>
            <w:r>
              <w:rPr/>
              <w:t>Const vx, lit32</w:t>
            </w:r>
          </w:p>
        </w:tc>
        <w:tc>
          <w:tcPr>
            <w:tcW w:type="dxa" w:w="3239"/>
            <w:tcBorders/>
            <w:shd w:fill="auto" w:val="clear"/>
            <w:tcMar>
              <w:top w:type="dxa" w:w="0"/>
              <w:left w:type="dxa" w:w="108"/>
              <w:bottom w:type="dxa" w:w="0"/>
              <w:right w:type="dxa" w:w="108"/>
            </w:tcMar>
          </w:tcPr>
          <w:p>
            <w:pPr>
              <w:pStyle w:val="style0"/>
            </w:pPr>
            <w:r>
              <w:rPr/>
              <w:t>Puts the integer constant into vx</w:t>
            </w:r>
          </w:p>
        </w:tc>
        <w:tc>
          <w:tcPr>
            <w:tcW w:type="dxa" w:w="3872"/>
            <w:tcBorders/>
            <w:shd w:fill="auto" w:val="clear"/>
            <w:tcMar>
              <w:top w:type="dxa" w:w="0"/>
              <w:left w:type="dxa" w:w="108"/>
              <w:bottom w:type="dxa" w:w="0"/>
              <w:right w:type="dxa" w:w="108"/>
            </w:tcMar>
          </w:tcPr>
          <w:p>
            <w:pPr>
              <w:pStyle w:val="style0"/>
            </w:pPr>
            <w:r>
              <w:rPr/>
              <w:t>1400 4E61 BC00 – constv0, #12345678//</w:t>
            </w:r>
          </w:p>
          <w:p>
            <w:pPr>
              <w:pStyle w:val="style0"/>
            </w:pPr>
            <w:r>
              <w:rPr/>
              <w:t>#00BC614E</w:t>
            </w:r>
          </w:p>
          <w:p>
            <w:pPr>
              <w:pStyle w:val="style0"/>
            </w:pPr>
            <w:r>
              <w:rPr/>
              <w:t>Moves literal 12345678 into v0.</w:t>
            </w:r>
          </w:p>
        </w:tc>
      </w:tr>
      <w:tr>
        <w:trPr>
          <w:cantSplit w:val="false"/>
        </w:trPr>
        <w:tc>
          <w:tcPr>
            <w:tcW w:type="dxa" w:w="1727"/>
            <w:tcBorders/>
            <w:shd w:fill="auto" w:val="clear"/>
            <w:tcMar>
              <w:top w:type="dxa" w:w="0"/>
              <w:left w:type="dxa" w:w="108"/>
              <w:bottom w:type="dxa" w:w="0"/>
              <w:right w:type="dxa" w:w="108"/>
            </w:tcMar>
          </w:tcPr>
          <w:p>
            <w:pPr>
              <w:pStyle w:val="style0"/>
            </w:pPr>
            <w:r>
              <w:rPr/>
              <w:t>1E</w:t>
            </w:r>
          </w:p>
        </w:tc>
        <w:tc>
          <w:tcPr>
            <w:tcW w:type="dxa" w:w="1709"/>
            <w:tcBorders/>
            <w:shd w:fill="auto" w:val="clear"/>
            <w:tcMar>
              <w:top w:type="dxa" w:w="0"/>
              <w:left w:type="dxa" w:w="108"/>
              <w:bottom w:type="dxa" w:w="0"/>
              <w:right w:type="dxa" w:w="108"/>
            </w:tcMar>
          </w:tcPr>
          <w:p>
            <w:pPr>
              <w:pStyle w:val="style0"/>
            </w:pPr>
            <w:r>
              <w:rPr/>
              <w:t>Monitor-exit</w:t>
            </w:r>
          </w:p>
        </w:tc>
        <w:tc>
          <w:tcPr>
            <w:tcW w:type="dxa" w:w="3239"/>
            <w:tcBorders/>
            <w:shd w:fill="auto" w:val="clear"/>
            <w:tcMar>
              <w:top w:type="dxa" w:w="0"/>
              <w:left w:type="dxa" w:w="108"/>
              <w:bottom w:type="dxa" w:w="0"/>
              <w:right w:type="dxa" w:w="108"/>
            </w:tcMar>
          </w:tcPr>
          <w:p>
            <w:pPr>
              <w:pStyle w:val="style0"/>
            </w:pPr>
            <w:r>
              <w:rPr/>
              <w:t>Releases the monitor of the object referenced by vx</w:t>
            </w:r>
          </w:p>
        </w:tc>
        <w:tc>
          <w:tcPr>
            <w:tcW w:type="dxa" w:w="3872"/>
            <w:tcBorders/>
            <w:shd w:fill="auto" w:val="clear"/>
            <w:tcMar>
              <w:top w:type="dxa" w:w="0"/>
              <w:left w:type="dxa" w:w="108"/>
              <w:bottom w:type="dxa" w:w="0"/>
              <w:right w:type="dxa" w:w="108"/>
            </w:tcMar>
          </w:tcPr>
          <w:p>
            <w:pPr>
              <w:pStyle w:val="style0"/>
            </w:pPr>
            <w:r>
              <w:rPr/>
              <w:t>1E03- monitor-exit v3</w:t>
            </w:r>
          </w:p>
          <w:p>
            <w:pPr>
              <w:pStyle w:val="style0"/>
            </w:pPr>
            <w:r>
              <w:rPr/>
              <w:t>Releases the monitor of the object referenced by v3.</w:t>
            </w:r>
          </w:p>
        </w:tc>
      </w:tr>
      <w:tr>
        <w:trPr>
          <w:cantSplit w:val="false"/>
        </w:trPr>
        <w:tc>
          <w:tcPr>
            <w:tcW w:type="dxa" w:w="1727"/>
            <w:tcBorders/>
            <w:shd w:fill="auto" w:val="clear"/>
            <w:tcMar>
              <w:top w:type="dxa" w:w="0"/>
              <w:left w:type="dxa" w:w="108"/>
              <w:bottom w:type="dxa" w:w="0"/>
              <w:right w:type="dxa" w:w="108"/>
            </w:tcMar>
          </w:tcPr>
          <w:p>
            <w:pPr>
              <w:pStyle w:val="style0"/>
            </w:pPr>
            <w:r>
              <w:rPr/>
              <w:t>22</w:t>
            </w:r>
          </w:p>
        </w:tc>
        <w:tc>
          <w:tcPr>
            <w:tcW w:type="dxa" w:w="1709"/>
            <w:tcBorders/>
            <w:shd w:fill="auto" w:val="clear"/>
            <w:tcMar>
              <w:top w:type="dxa" w:w="0"/>
              <w:left w:type="dxa" w:w="108"/>
              <w:bottom w:type="dxa" w:w="0"/>
              <w:right w:type="dxa" w:w="108"/>
            </w:tcMar>
          </w:tcPr>
          <w:p>
            <w:pPr>
              <w:pStyle w:val="style0"/>
            </w:pPr>
            <w:r>
              <w:rPr/>
              <w:t>New-instance vx, type</w:t>
            </w:r>
          </w:p>
        </w:tc>
        <w:tc>
          <w:tcPr>
            <w:tcW w:type="dxa" w:w="3239"/>
            <w:tcBorders/>
            <w:shd w:fill="auto" w:val="clear"/>
            <w:tcMar>
              <w:top w:type="dxa" w:w="0"/>
              <w:left w:type="dxa" w:w="108"/>
              <w:bottom w:type="dxa" w:w="0"/>
              <w:right w:type="dxa" w:w="108"/>
            </w:tcMar>
          </w:tcPr>
          <w:p>
            <w:pPr>
              <w:pStyle w:val="style0"/>
            </w:pPr>
            <w:r>
              <w:rPr/>
              <w:t>Instantiates an object type and puts the reference of the newly created instance into vx</w:t>
            </w:r>
          </w:p>
        </w:tc>
        <w:tc>
          <w:tcPr>
            <w:tcW w:type="dxa" w:w="3872"/>
            <w:tcBorders/>
            <w:shd w:fill="auto" w:val="clear"/>
            <w:tcMar>
              <w:top w:type="dxa" w:w="0"/>
              <w:left w:type="dxa" w:w="108"/>
              <w:bottom w:type="dxa" w:w="0"/>
              <w:right w:type="dxa" w:w="108"/>
            </w:tcMar>
          </w:tcPr>
          <w:p>
            <w:pPr>
              <w:pStyle w:val="style0"/>
            </w:pPr>
            <w:r>
              <w:rPr/>
              <w:t>2200 1500 – new-instance v0,</w:t>
            </w:r>
          </w:p>
          <w:p>
            <w:pPr>
              <w:pStyle w:val="style0"/>
            </w:pPr>
            <w:hyperlink r:id="rId2">
              <w:r>
                <w:rPr>
                  <w:rStyle w:val="style17"/>
                </w:rPr>
                <w:t>Java.io.FileInputStream//type@0015</w:t>
              </w:r>
            </w:hyperlink>
          </w:p>
          <w:p>
            <w:pPr>
              <w:pStyle w:val="style0"/>
            </w:pPr>
            <w:r>
              <w:rPr/>
              <w:t>Instantiates type@0015 (entry #15H in the type table ) and puts its reference into v0.</w:t>
            </w:r>
          </w:p>
        </w:tc>
      </w:tr>
      <w:tr>
        <w:trPr>
          <w:cantSplit w:val="false"/>
        </w:trPr>
        <w:tc>
          <w:tcPr>
            <w:tcW w:type="dxa" w:w="1727"/>
            <w:tcBorders/>
            <w:shd w:fill="auto" w:val="clear"/>
            <w:tcMar>
              <w:top w:type="dxa" w:w="0"/>
              <w:left w:type="dxa" w:w="108"/>
              <w:bottom w:type="dxa" w:w="0"/>
              <w:right w:type="dxa" w:w="108"/>
            </w:tcMar>
          </w:tcPr>
          <w:p>
            <w:pPr>
              <w:pStyle w:val="style0"/>
            </w:pPr>
            <w:r>
              <w:rPr/>
              <w:t>27</w:t>
            </w:r>
          </w:p>
        </w:tc>
        <w:tc>
          <w:tcPr>
            <w:tcW w:type="dxa" w:w="1709"/>
            <w:tcBorders/>
            <w:shd w:fill="auto" w:val="clear"/>
            <w:tcMar>
              <w:top w:type="dxa" w:w="0"/>
              <w:left w:type="dxa" w:w="108"/>
              <w:bottom w:type="dxa" w:w="0"/>
              <w:right w:type="dxa" w:w="108"/>
            </w:tcMar>
          </w:tcPr>
          <w:p>
            <w:pPr>
              <w:pStyle w:val="style0"/>
            </w:pPr>
            <w:r>
              <w:rPr/>
              <w:t>Throw vx</w:t>
            </w:r>
          </w:p>
        </w:tc>
        <w:tc>
          <w:tcPr>
            <w:tcW w:type="dxa" w:w="3239"/>
            <w:tcBorders/>
            <w:shd w:fill="auto" w:val="clear"/>
            <w:tcMar>
              <w:top w:type="dxa" w:w="0"/>
              <w:left w:type="dxa" w:w="108"/>
              <w:bottom w:type="dxa" w:w="0"/>
              <w:right w:type="dxa" w:w="108"/>
            </w:tcMar>
          </w:tcPr>
          <w:p>
            <w:pPr>
              <w:pStyle w:val="style0"/>
            </w:pPr>
            <w:r>
              <w:rPr/>
              <w:t>Throws an exception object. The reference of the exception object is in vx.</w:t>
            </w:r>
          </w:p>
        </w:tc>
        <w:tc>
          <w:tcPr>
            <w:tcW w:type="dxa" w:w="3872"/>
            <w:tcBorders/>
            <w:shd w:fill="auto" w:val="clear"/>
            <w:tcMar>
              <w:top w:type="dxa" w:w="0"/>
              <w:left w:type="dxa" w:w="108"/>
              <w:bottom w:type="dxa" w:w="0"/>
              <w:right w:type="dxa" w:w="108"/>
            </w:tcMar>
          </w:tcPr>
          <w:p>
            <w:pPr>
              <w:pStyle w:val="style0"/>
            </w:pPr>
            <w:r>
              <w:rPr/>
              <w:t>2700 – throw v0.</w:t>
            </w:r>
          </w:p>
          <w:p>
            <w:pPr>
              <w:pStyle w:val="style0"/>
            </w:pPr>
            <w:r>
              <w:rPr/>
              <w:t>Throws a n exception. The exception object reference is in v0.</w:t>
            </w:r>
          </w:p>
        </w:tc>
      </w:tr>
    </w:tbl>
    <w:p>
      <w:pPr>
        <w:pStyle w:val="style0"/>
      </w:pPr>
      <w:r>
        <w:rPr>
          <w:b/>
        </w:rPr>
        <w:t>3. Differences between Mobile computing and Cloud Computing</w:t>
      </w:r>
    </w:p>
    <w:p>
      <w:pPr>
        <w:pStyle w:val="style0"/>
      </w:pPr>
      <w:r>
        <w:rPr>
          <w:b w:val="false"/>
          <w:bCs w:val="false"/>
        </w:rPr>
        <w:t>--------------------------------------------------------------------------------------------------------</w:t>
      </w:r>
    </w:p>
    <w:p>
      <w:pPr>
        <w:pStyle w:val="style0"/>
      </w:pPr>
      <w:r>
        <w:rPr>
          <w:b/>
        </w:rPr>
        <w:t>Cloud computing</w:t>
      </w:r>
      <w:r>
        <w:rPr/>
        <w:t>, allows us to store our files and folders in a “cloud” area on the Internet, allowing us access to all of our files and folders wherever we are in the world – but we do need a physical device with Internet access to access it.</w:t>
      </w:r>
    </w:p>
    <w:p>
      <w:pPr>
        <w:pStyle w:val="style0"/>
      </w:pPr>
      <w:r>
        <w:rPr>
          <w:b/>
          <w:color w:val="252525"/>
        </w:rPr>
        <w:t>Cloud Computing</w:t>
      </w:r>
      <w:r>
        <w:rPr>
          <w:rStyle w:val="style16"/>
          <w:color w:val="252525"/>
        </w:rPr>
        <w:t> </w:t>
      </w:r>
      <w:r>
        <w:rPr>
          <w:color w:val="252525"/>
        </w:rPr>
        <w:t>isn’t that much better. Sure, you can have all your files synchronised between devices so wherever you go, you’ll always have access to your files, but the technology doesn’t fully exist yet. It’s getting there, but it’s slow and temperamental, difficult to use and often the average user (even me, an advanced user) gets confused as to where the files are actually stored and/or where else they are stored. Even tho</w:t>
      </w:r>
      <w:bookmarkStart w:id="1" w:name="_GoBack1"/>
      <w:bookmarkEnd w:id="1"/>
      <w:r>
        <w:rPr>
          <w:color w:val="252525"/>
        </w:rPr>
        <w:t>ugh you don’t need to carry round a laptop with you, you still need some physical device to access your service which almost defeats the point anyway. Having everything in your very own secure cloud so you can access anything anywhere is put back by the fact you have to find a computer to use anyway</w:t>
      </w:r>
      <w:r>
        <w:rPr>
          <w:rFonts w:ascii="Verdana" w:hAnsi="Verdana"/>
          <w:color w:val="252525"/>
          <w:sz w:val="18"/>
          <w:szCs w:val="18"/>
        </w:rPr>
        <w:t>.</w:t>
      </w:r>
    </w:p>
    <w:p>
      <w:pPr>
        <w:pStyle w:val="style0"/>
      </w:pPr>
      <w:r>
        <w:rPr>
          <w:b/>
        </w:rPr>
        <w:t>Mobile computing</w:t>
      </w:r>
      <w:r>
        <w:rPr/>
        <w:t xml:space="preserve"> is taking a physical device with us. This could be a laptop or a mobile phone or some device which enables us to telework – working wherever we go because of the small size of the device we’re using. </w:t>
      </w:r>
    </w:p>
    <w:p>
      <w:pPr>
        <w:pStyle w:val="style0"/>
      </w:pPr>
      <w:r>
        <w:rPr>
          <w:color w:val="252525"/>
          <w:sz w:val="22"/>
          <w:szCs w:val="22"/>
          <w:shd w:fill="FFFFFF" w:val="clear"/>
        </w:rPr>
        <w:t xml:space="preserve">In </w:t>
      </w:r>
      <w:r>
        <w:rPr>
          <w:b/>
          <w:color w:val="252525"/>
          <w:sz w:val="22"/>
          <w:szCs w:val="22"/>
          <w:shd w:fill="FFFFFF" w:val="clear"/>
        </w:rPr>
        <w:t>Mobile Computing,</w:t>
      </w:r>
      <w:r>
        <w:rPr>
          <w:color w:val="252525"/>
          <w:sz w:val="22"/>
          <w:szCs w:val="22"/>
          <w:shd w:fill="FFFFFF" w:val="clear"/>
        </w:rPr>
        <w:t xml:space="preserve"> You can hold up to 2GB-4GB on even the cheaper ones, you do need a computer to use it but at least you can fit everything you need to physically store your files in your pocket.</w:t>
      </w:r>
    </w:p>
    <w:p>
      <w:pPr>
        <w:pStyle w:val="style0"/>
      </w:pPr>
      <w:r>
        <w:rPr/>
      </w:r>
    </w:p>
    <w:p>
      <w:pPr>
        <w:pStyle w:val="style0"/>
      </w:pPr>
      <w:r>
        <w:rPr>
          <w:b/>
          <w:bCs/>
          <w:color w:val="252525"/>
          <w:sz w:val="22"/>
          <w:szCs w:val="22"/>
          <w:shd w:fill="FFFFFF" w:val="clear"/>
        </w:rPr>
        <w:t>3. Example for an application simulating context-aware computing:</w:t>
      </w:r>
    </w:p>
    <w:p>
      <w:pPr>
        <w:pStyle w:val="style0"/>
      </w:pPr>
      <w:r>
        <w:rPr>
          <w:color w:val="252525"/>
          <w:sz w:val="22"/>
          <w:szCs w:val="22"/>
          <w:shd w:fill="FFFFFF" w:val="clear"/>
        </w:rPr>
        <w:t>---------------------------------------------------------------------</w:t>
        <w:t>----------------------------</w:t>
      </w:r>
    </w:p>
    <w:p>
      <w:pPr>
        <w:pStyle w:val="style0"/>
      </w:pPr>
      <w:r>
        <w:rPr>
          <w:color w:val="252525"/>
          <w:sz w:val="22"/>
          <w:szCs w:val="22"/>
          <w:shd w:fill="FFFFFF" w:val="clear"/>
        </w:rPr>
        <w:t>Application Name: WiFi Chat , an Android mobile application.</w:t>
      </w:r>
    </w:p>
    <w:p>
      <w:pPr>
        <w:pStyle w:val="style0"/>
      </w:pPr>
      <w:r>
        <w:rPr>
          <w:color w:val="252525"/>
          <w:sz w:val="22"/>
          <w:szCs w:val="22"/>
          <w:shd w:fill="FFFFFF" w:val="clear"/>
        </w:rPr>
      </w:r>
    </w:p>
    <w:p>
      <w:pPr>
        <w:pStyle w:val="style0"/>
      </w:pPr>
      <w:r>
        <w:rPr>
          <w:color w:val="252525"/>
          <w:sz w:val="22"/>
          <w:szCs w:val="22"/>
          <w:shd w:fill="FFFFFF" w:val="clear"/>
        </w:rPr>
        <w:t>Justification:  Wi-Fi proximity is the main idea behind Wi-Fi chat. If two users can see the same Wi-Fi access point (Wi-Fi network) then it is very</w:t>
      </w:r>
    </w:p>
    <w:p>
      <w:pPr>
        <w:pStyle w:val="style0"/>
      </w:pPr>
      <w:r>
        <w:rPr>
          <w:color w:val="252525"/>
          <w:sz w:val="22"/>
          <w:szCs w:val="22"/>
          <w:shd w:fill="FFFFFF" w:val="clear"/>
        </w:rPr>
        <w:t xml:space="preserve">                </w:t>
      </w:r>
      <w:r>
        <w:rPr>
          <w:color w:val="252525"/>
          <w:sz w:val="22"/>
          <w:szCs w:val="22"/>
          <w:shd w:fill="FFFFFF" w:val="clear"/>
        </w:rPr>
        <w:t xml:space="preserve">probable that both can see each other. In other words, it is very likely that both are close to each other. Close in the geographical sense, of course.So, WiFiChat lets them create discussions (forums) as well as live web chats associated with Wi-Fi access points.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apple-converted-space"/>
    <w:basedOn w:val="style15"/>
    <w:next w:val="style16"/>
    <w:rPr/>
  </w:style>
  <w:style w:styleId="style17" w:type="character">
    <w:name w:val="Internet Link"/>
    <w:basedOn w:val="style15"/>
    <w:next w:val="style17"/>
    <w:rPr>
      <w:color w:val="0000FF"/>
      <w:u w:val="single"/>
      <w:lang w:bidi="en-US" w:eastAsia="en-US" w:val="en-US"/>
    </w:rPr>
  </w:style>
  <w:style w:styleId="style18" w:type="paragraph">
    <w:name w:val="Heading"/>
    <w:basedOn w:val="style0"/>
    <w:next w:val="style19"/>
    <w:pPr>
      <w:keepNext/>
      <w:spacing w:after="120" w:before="240"/>
    </w:pPr>
    <w:rPr>
      <w:rFonts w:ascii="Arial" w:cs="Lohit Hindi"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ohit Hindi"/>
    </w:rPr>
  </w:style>
  <w:style w:styleId="style21" w:type="paragraph">
    <w:name w:val="Caption"/>
    <w:basedOn w:val="style0"/>
    <w:next w:val="style21"/>
    <w:pPr>
      <w:suppressLineNumbers/>
      <w:spacing w:after="120" w:before="120"/>
    </w:pPr>
    <w:rPr>
      <w:rFonts w:cs="Lohit Hindi"/>
      <w:i/>
      <w:iCs/>
      <w:sz w:val="24"/>
      <w:szCs w:val="24"/>
    </w:rPr>
  </w:style>
  <w:style w:styleId="style22" w:type="paragraph">
    <w:name w:val="Index"/>
    <w:basedOn w:val="style0"/>
    <w:next w:val="style22"/>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va.io.FileInputStream//type@0015" TargetMode="Externa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22</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2013-11-21T17:11:00.00Z</dcterms:created>
  <dc:creator>Sid</dc:creator>
  <cp:lastModifiedBy>Sid</cp:lastModifiedBy>
  <dcterms:modified xsi:type="dcterms:W3CDTF">2013-11-21T17:33:00.00Z</dcterms:modified>
  <cp:revision>3</cp:revision>
</cp:coreProperties>
</file>