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Виконання</w:t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Для дослідження даних, візуалізуйте їх. Виведіть зображення перших 24 і 36 цифр з набору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Для початку завантажимо набір даних digits за допомогою функції load_digits з модуля sklearn.datasets, що повертає ою'єкт Bunch, що містить дані цифр.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908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9081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3.1 - Набір даних digits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Оскільки зображення - це двовімірний об'єкт, то вні володіє висотою та шириною у пікселях, то за дпомогою аотрибуту images виведемо матрицю для елементу з індексом 13.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25057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5057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3.2 - Матриця двовимірного забраження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Алгоритми машинного навчання scikit-learn потребують, щоб зразки були збережені в двовимірному масиві значень з плаваючою точкою. Проте, ми маємо масив матриць чисел з плаваючою точкою, тобто тривимірний об'єкт. Однак функція load_digits повертає попередньо оброблені дані, які готові для машинного навчання. Набір даних Digits є числовим, тому load_digits просто перетворює двовимірний масив на одновимірний масив.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9076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0767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3.3 - Одновимірний масив зображення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Маємо, що перші вісім елементів - це елементи рядка з індексом 0, наступні вісім - з індексом 1 і так далі.</w:t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Імпортуємо модуль matplotlib.pyplot та за допомогою методу imshow зобразимо перші 24 з 36 зображень. За допомогою методу ravel сплюснемо двовимірний масив осей до одновимірного та за допомогою zip одночасно ітеруємося як по осях, та і по картинках і їх назвах, тобто digits.target. Для зменшення padding'га між зображеннями застосуємо plt.tight_layout.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24385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438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3.4 - Зображення перших 24 рисунків з масиву digits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Розбийте дані на навчальні та тестові, за замовчуванням train_test_split резервує 75% даних для навчання і 25% для тестування, змініть це.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Розіб'ємо дані на навчальні та тестові. Імпортуємо функцію train_test_split з sklearn.model_selection, що здійснює випадкову перестановку даних, а потім розбиває зразки в масиві data і цільові значення в масиві target на навчальний і тестовий набір. За замовчуванням функція розбиває тренувальні і тестові дані у співвіднощенні 75% до 25%.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43211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321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3.5 - Розбиття даних на тренувальні та тестові у відношенні 75% до 25%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Щоб змінити це співвідношення, потрібно задати розміри навчального і тестового набору за допомогою параметрів за замовчуванням test_size та train_size функції train_test_split. Задамо розмір test_size до 20%, а train_size вираховується автоматично.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31781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178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3.6 - Розбиття даних на тренувальні та тестові у відношенні 80% до 20%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Створити та навчити модель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Імпортуємо оцінювач KNeighborsClassifier з модуля sklearn.neighbors, який реалізує алгоритм K-Nearest Neighbors. Створимо екземпляр та вткличемо метод fit, передавши в нього X_train та y_train. k - відповідає за кількість сусідів, яких буде враховано під час класифікації. За замовчуванням їх п'ять.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129552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295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3.7 - Тренування моделі K-Nearest Neighbors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Виконайте прогнозування класів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Викличемо метод fit в об'єкта knn, передавши в нього значення для пронозування, виведемо їх.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501152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011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3.8 - Прогнозовані значення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Порівняйте прогнозовані цифри з очікуваними для перших 20, 24, 36 тестових зразків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Виведемо перші 20 елементів масивів predicted та expected. Бачимо, що тільки передостанній елемент неправильно пронозований: замість п'ятірки маємо трійку.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63201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320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3.9 - Порівняння прогнозованих даних з очікуваними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Поясніть результат, застосуйте метрики точності моделі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Оскільки кожен оцінювач має метод score, то виведемо оцінку результатів.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0341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34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3.10 - Оцінка точності моделі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Виведемо інформацію про правильно і неправильно прогнозованих значеннях за допомогою матриці невідповідностей для заданого класу.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701052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010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3.11 - Матриця невідповідностей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Виведіть звіт класифікації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За допомогою функції classification_report з модуля sklearn.metrics виведемо таблицю метрик класифікації, заснованих на очікуваних і пронозованих значеннях.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575111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751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3.12 - Звіт класифікації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Використайте декілька моделей KNeighborsClassifier, SVC і GaussianNB для пошуку найкращої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Ініціалізуємо список results, у який будемо додавати результати моделей.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55494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54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3.13 - Список результатів моделей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Імпортуємо клас GridSearch для знаходження оптимальних гіперпараметрів для кожної моделі.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62217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6221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3.14 - Імпортування GridSearchCV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Імпортуємо SVC з модуля sklearn.svm. Ядрами для SVC будуть "rbf", "linear". Задамо параметр C, який контролює трейд-офф між гладкістю вирішальної границі та правильною класифікацією точок. Де чим більше С, тим краще класифікуються точки. cv — генератор перехресної перевірки або ітерація, у цьому випадку є 10-кратна перехресна перевірка. n_jobs — максимальна кількість одночасно запущених воркерів; у цьому випадку встановлено значення -1, що означає, що використовуються всі ЦП.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499347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9934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3.15 - Тренування моделі SVM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Покажемо оптимальні параметри моделі.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84094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40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3.16 - Оптимальний параметр C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Викличемо метод fit в об'єкта svc_model, передавши в нього значення для пронозування, виведемо їх.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501152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011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3.17 - Прогнозовані значення моделі SVC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Визначимо точність моделі на тренувальних та тестових даних.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089211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892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3.18 - Точність моделі SVC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Виведемо інформацію про правильно і неправильно прогнозованих значеннях за допомогою матриці невідповідностей для заданого класу.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586752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9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867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3.19 - Матриця невідповідностей моделі SVC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Імпортуємо GaussianNB з модуля sklearn.svm. Налаштуємо гіперпараметр var_smoothing, який є обчисленням стабільності, щоб розширити (або згладити) криву і, отже, врахувати більше вибірок, які знаходяться далі від середнього розподілу. У цьому випадку np.logspace повертає числа, рівномірно розподілені в логарифмічній шкалі, починаючи з 0, закінчуючи -9, і генерує 100 зразків.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727947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27947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3.20 - Тренування моделі GaussianNB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Покажемо оптимальні параметри моделі.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484094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40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3.21 - Оптимальне значення параметру var_smoothing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Викличемо метод fit в об'єкта nbModel_grid, передавши в нього значення для пронозування, виведемо їх.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2501152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011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3.22 - Прогнозовані значення моделі GaussianNB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Визначимо точність моделі на тренувальних та тестових даних.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089211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3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0892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3.23 - Точність моделі GaussianNB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Виведемо інформацію про правильно і неправильно прогнозованих значеннях за допомогою матриці невідповідностей для заданого класу.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586752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4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867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3.24 - Матриця невідповідностей моделі GaussianNB</w:t>
        <w:br/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Налаштуйте гіперпараметр K в KNeighborsClassifier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Цього разу налаштуємо гіперпараметри за допомогою Gridsearh та звичайного циклу. Нехай будемо мати відрізок від 1 до 99 включно та визначимо найкращі параметри та порівняємо результати, перебираючи кількість сусідів.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358152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358152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3.25 - Визначення найкращого параметра за допомогою GridSearchCV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Визначимо точність моделі на тренувальних та тестових даних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860611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6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606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3.26 - Точність моделі K-Nearest Neighbors GridSearchCV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Натренуємо моделі в циклі та визначимо найкращу.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3859305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7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85930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3.27 - Визначення найкращого параметра за допомогою циклу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Визначимо найращий параметр для KNN у циклі.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203511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8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3511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3.28 - Точність моделі K-Nearest Neighbors у циклі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Бачимо, що GridSearch дуже близько підібрався до оптимального параметра. У циклі модель виявилася точнішою і k = 2 із тестовою точністю в 0.99444, де gridSearch показав, що найкращим є k = 4 із тестовою точністю в 0.98611. Додамо knn з циклу у список results.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369794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9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979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3.29 - Додавання найкращого результату KNN до результатів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Подивимося залежність точності KNN від параметру k у викгляді гістограми.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3731558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0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73155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3.30 - Зображення залежності точності KNN від значення k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Бачимо, що зі збільшенням k точність спадає.</w:t>
      </w:r>
    </w:p>
    <w:p>
      <w:pPr>
        <w:pStyle w:val="Heading2"/>
      </w:pPr>
      <w:r>
        <w:rPr>
          <w:rFonts w:ascii="Times New Roman" w:hAnsi="Times New Roman"/>
          <w:color w:val="000000"/>
          <w:sz w:val="28"/>
        </w:rPr>
        <w:t>Порівняння результатів моделей KNN, GaussianNB, SVC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Порівняємо отримані результати моделей. Утворимо датафрейм результатів.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17145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1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714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3.31 - Датафрейм результатів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Для наочності побудуємо гістограму.</w:t>
      </w:r>
    </w:p>
    <w:p>
      <w:r>
        <w:t xml:space="preserve"> </w:t>
      </w:r>
    </w:p>
    <w:p>
      <w:pPr>
        <w:spacing w:line="360" w:lineRule="auto"/>
        <w:ind w:firstLine="708" w:right="445"/>
        <w:jc w:val="center"/>
      </w:pPr>
      <w:r>
        <w:drawing>
          <wp:inline xmlns:a="http://schemas.openxmlformats.org/drawingml/2006/main" xmlns:pic="http://schemas.openxmlformats.org/drawingml/2006/picture">
            <wp:extent cx="5372100" cy="3637429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2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63742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</w:rPr>
        <w:br/>
        <w:br/>
        <w:t>Рисунок 3.32 - Результати моделей</w:t>
        <w:br/>
      </w:r>
    </w:p>
    <w:p>
      <w:pPr>
        <w:spacing w:line="360" w:lineRule="auto"/>
        <w:ind w:firstLine="708" w:right="445"/>
      </w:pPr>
      <w:r>
        <w:rPr>
          <w:rFonts w:ascii="Times New Roman" w:hAnsi="Times New Roman"/>
          <w:color w:val="000000"/>
          <w:sz w:val="28"/>
        </w:rPr>
        <w:t>З огляду бачимо, що як на тренувальних, так і на тестових найгірше себе показав GaussianNB. Краще за нього відпрацював SVC. Однак з-поміж них усіх найкраще спрогнозував результати KNN.</w:t>
      </w:r>
    </w:p>
    <w:sectPr w:rsidR="00FC693F" w:rsidRPr="0006063C" w:rsidSect="00034616">
      <w:pgSz w:w="12240" w:h="15840"/>
      <w:pgMar w:top="706" w:right="850" w:bottom="850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