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Класифікація текстових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класифікацією документів за допомогою моделей машинного навчання.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Створити програму, яка зчитує заданий набір даних, виконує попередню обробку та класифікацію документів відповідно до варіанту. Якщо недостатньо ресурсів для роботи з повним набором даних, можна виділити частину, але таким чином, щоб були присутні усі класи.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>Файл bbc-news-data.csv. В якості текстової моделі використати TD-IDF. Виконати класифікацію за допомогою алгоритмів наївний байєсів класифікатор та опорні вектори, порівняти їх точність. Спробувати покращити модель наївний байєсів класифікатор за допомогою GridSearchCV.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LibreOffice/7.3.7.2$Linux_X86_64 LibreOffice_project/30$Build-2</Application>
  <AppVersion>15.0000</AppVersion>
  <Pages>5</Pages>
  <Words>145</Words>
  <Characters>990</Characters>
  <CharactersWithSpaces>1138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2023-04-15T12:20:59Z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