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109" w:rsidRDefault="00F544A3">
      <w:pPr>
        <w:pStyle w:val="Title"/>
        <w:jc w:val="center"/>
      </w:pPr>
      <w:bookmarkStart w:id="0" w:name="_GoBack"/>
      <w:bookmarkEnd w:id="0"/>
      <w:r>
        <w:t>PROCUREMENT POLICY</w:t>
      </w:r>
    </w:p>
    <w:p w:rsidR="003E0109" w:rsidRDefault="003E0109">
      <w:pPr>
        <w:jc w:val="center"/>
        <w:rPr>
          <w:rFonts w:ascii="Times New Roman" w:hAnsi="Times New Roman" w:cs="Times New Roman"/>
          <w:b/>
          <w:sz w:val="24"/>
          <w:szCs w:val="24"/>
        </w:rPr>
      </w:pPr>
    </w:p>
    <w:p w:rsidR="003E0109" w:rsidRDefault="00F544A3">
      <w:r>
        <w:t>Established for the _________</w:t>
      </w:r>
      <w:r>
        <w:rPr>
          <w:b/>
          <w:u w:val="single"/>
        </w:rPr>
        <w:t>Tribe</w:t>
      </w:r>
      <w:r>
        <w:t>________by Board/Council action on ___</w:t>
      </w:r>
      <w:r>
        <w:rPr>
          <w:b/>
          <w:u w:val="single"/>
        </w:rPr>
        <w:t>Date</w:t>
      </w:r>
      <w:r>
        <w:t>___. The effective date of this Statement is ______</w:t>
      </w:r>
      <w:r>
        <w:rPr>
          <w:b/>
          <w:u w:val="single"/>
        </w:rPr>
        <w:t>Date</w:t>
      </w:r>
      <w:r>
        <w:t>______.</w:t>
      </w:r>
    </w:p>
    <w:p w:rsidR="003E0109" w:rsidRDefault="00F544A3">
      <w:r>
        <w:t xml:space="preserve">This Statement of Procurement Policy complies with the procurement standards of 2 CFR 200, </w:t>
      </w:r>
      <w:r>
        <w:t>Subpart D and the requirements of Section 7(b) of the Indian Self-Determination Act (25 U.S.C. 450e(b).</w:t>
      </w:r>
    </w:p>
    <w:p w:rsidR="003E0109" w:rsidRDefault="00F544A3">
      <w:pPr>
        <w:pStyle w:val="Heading1"/>
      </w:pPr>
      <w:r>
        <w:t xml:space="preserve">I. </w:t>
      </w:r>
      <w:r>
        <w:tab/>
        <w:t xml:space="preserve">General Provisions </w:t>
      </w:r>
    </w:p>
    <w:p w:rsidR="003E0109" w:rsidRDefault="00F544A3">
      <w:pPr>
        <w:pStyle w:val="Heading2"/>
      </w:pPr>
      <w:r>
        <w:t>A.</w:t>
      </w:r>
      <w:r>
        <w:tab/>
        <w:t>Purpose</w:t>
      </w:r>
    </w:p>
    <w:p w:rsidR="003E0109" w:rsidRDefault="00F544A3">
      <w:pPr>
        <w:pStyle w:val="Indent2"/>
      </w:pPr>
      <w:r>
        <w:t>The purpose of this Statement of Procurement Policy is to: (1) provide for the fair and equitable treatment of all pe</w:t>
      </w:r>
      <w:r>
        <w:t>rsons or firms involved in purchasing by the Tribe; (2) assure that supplies, services, and construction are procured efficiently, effectively, and at the most favorable prices available to the Tribe; (3) promote competition in contracting; provide safegua</w:t>
      </w:r>
      <w:r>
        <w:t>rds for maintaining a procurement system of quality and integrity; and (4) assure that Tribe purchasing actions are in full compliance with applicable Federal standards and tribal laws.</w:t>
      </w:r>
    </w:p>
    <w:p w:rsidR="003E0109" w:rsidRDefault="00F544A3">
      <w:pPr>
        <w:pStyle w:val="Heading2"/>
      </w:pPr>
      <w:r>
        <w:t>B.</w:t>
      </w:r>
      <w:r>
        <w:tab/>
        <w:t>Application</w:t>
      </w:r>
    </w:p>
    <w:p w:rsidR="003E0109" w:rsidRDefault="00F544A3">
      <w:pPr>
        <w:pStyle w:val="Indent2"/>
      </w:pPr>
      <w:r>
        <w:t>Per 2 CFR 200.318(a), the non-Federal entity must use i</w:t>
      </w:r>
      <w:r>
        <w:t>ts own documented procurement procedures which reflect applicable State and local laws and regulations, provided that the procurements conform to applicable Federal law and the standards identified in this section.  Therefore, this Statement of Procurement</w:t>
      </w:r>
      <w:r>
        <w:t xml:space="preserve"> Policy (Statement) applies to all contracts for the procurement of supplies, services, and construction entered into by the Tribe after the effective date of this Statement. It shall apply to every expenditure of funds by the Tribe for public purchasing, </w:t>
      </w:r>
      <w:r>
        <w:t>including contracts which do not involve an obligation of funds (such as concession contracts); however, nothing in this Statement shall prevent the Tribe from complying with the terms and conditions of any grant, contract, gift, or bequest that is otherwi</w:t>
      </w:r>
      <w:r>
        <w:t xml:space="preserve">se consistent with law. </w:t>
      </w:r>
    </w:p>
    <w:p w:rsidR="003E0109" w:rsidRDefault="00F544A3">
      <w:pPr>
        <w:pStyle w:val="Indent2"/>
      </w:pPr>
      <w:r>
        <w:t>When both Federal and non-Federal funds are used for a project, the work to be accomplished with the funds should be separately identified, and the provisions of this Statement must be applied to the work financed by Federal agenci</w:t>
      </w:r>
      <w:r>
        <w:t xml:space="preserve">es; if it is not possible to separate the funds, the provisions of this Statement shall be applied to the total project. </w:t>
      </w:r>
    </w:p>
    <w:p w:rsidR="003E0109" w:rsidRDefault="00F544A3">
      <w:pPr>
        <w:pStyle w:val="Indent2"/>
      </w:pPr>
      <w:r>
        <w:lastRenderedPageBreak/>
        <w:t>The term "procurement," as used in this Statement, includes both contracts and modifications (including change orders) for constructio</w:t>
      </w:r>
      <w:r>
        <w:t>n or services, as well as purchase, lease, or rental of materials, supplies and equipment.</w:t>
      </w:r>
    </w:p>
    <w:p w:rsidR="003E0109" w:rsidRDefault="00F544A3">
      <w:pPr>
        <w:pStyle w:val="Heading2"/>
      </w:pPr>
      <w:r>
        <w:t>C.</w:t>
      </w:r>
      <w:r>
        <w:tab/>
        <w:t>Procurement Authority and Administration</w:t>
      </w:r>
    </w:p>
    <w:p w:rsidR="003E0109" w:rsidRDefault="00F544A3">
      <w:pPr>
        <w:pStyle w:val="List2"/>
      </w:pPr>
      <w:r>
        <w:t>1.</w:t>
      </w:r>
      <w:r>
        <w:tab/>
      </w:r>
      <w:r>
        <w:rPr>
          <w:u w:val="single"/>
        </w:rPr>
        <w:t>Contracting Officer</w:t>
      </w:r>
      <w:r>
        <w:t>. All procurement transactions shall be administered by the Contracting Officer, who shall be the E</w:t>
      </w:r>
      <w:r>
        <w:t>xecutive Director (Tribal Administrator) or other individual he or she has delegated in writing, or such other individual specified by the Board/Council. The Executive Director (Tribal Administrator) shall issue operational procedures to implement this Sta</w:t>
      </w:r>
      <w:r>
        <w:t>tement. The Executive Director (Tribal Administrator) shall also establish a system of sanctions for violations of the ethical standards described in in this Statement.</w:t>
      </w:r>
    </w:p>
    <w:p w:rsidR="003E0109" w:rsidRDefault="00F544A3">
      <w:pPr>
        <w:pStyle w:val="List2"/>
      </w:pPr>
      <w:r>
        <w:t>2.</w:t>
      </w:r>
      <w:r>
        <w:tab/>
      </w:r>
      <w:r>
        <w:rPr>
          <w:u w:val="single"/>
        </w:rPr>
        <w:t>Executive Director (Tribal Administrator) Duties.</w:t>
      </w:r>
      <w:r>
        <w:t xml:space="preserve"> The Executive Director (Tribal Adm</w:t>
      </w:r>
      <w:r>
        <w:t>inistrator) or his/her designee shall ensure that:</w:t>
      </w:r>
    </w:p>
    <w:p w:rsidR="003E0109" w:rsidRDefault="00F544A3">
      <w:pPr>
        <w:pStyle w:val="List3"/>
      </w:pPr>
      <w:r>
        <w:t>a.</w:t>
      </w:r>
      <w:r>
        <w:tab/>
        <w:t>Procurement requirements are subject to an annual planning process to assure efficient and economical purchasing. The annual plan should be completed by ___</w:t>
      </w:r>
      <w:r>
        <w:rPr>
          <w:u w:val="single"/>
        </w:rPr>
        <w:t>Date</w:t>
      </w:r>
      <w:r>
        <w:t>___ of each year;</w:t>
      </w:r>
    </w:p>
    <w:p w:rsidR="003E0109" w:rsidRDefault="00F544A3">
      <w:pPr>
        <w:pStyle w:val="List3"/>
      </w:pPr>
      <w:r>
        <w:t>b.</w:t>
      </w:r>
      <w:r>
        <w:tab/>
        <w:t>Procurements and modi</w:t>
      </w:r>
      <w:r>
        <w:t>fications are in writing, clearly specifying the desired supplies, services, or construction activity, and are supported by sufficient documentation, regarding the history of the procurement, including as a minimum the rational for the procurement method c</w:t>
      </w:r>
      <w:r>
        <w:t>hosen, the contract type, the rationale for selecting or rejecting offers, and for procurements in excess of the Simplified Acquisition Threshold, a price or cost analysis supporting the basis for the contract price;</w:t>
      </w:r>
    </w:p>
    <w:p w:rsidR="003E0109" w:rsidRDefault="00F544A3">
      <w:pPr>
        <w:pStyle w:val="List3"/>
      </w:pPr>
      <w:r>
        <w:t>c.</w:t>
      </w:r>
      <w:r>
        <w:tab/>
        <w:t>For procurements other than small pu</w:t>
      </w:r>
      <w:r>
        <w:t>rchases, public notice is given of each upcoming procurement before a solicitation is issued; responses to such notice are honored to the maximum extent practical; a minimum of _______ days for main construction contracts and _______ days for other contrac</w:t>
      </w:r>
      <w:r>
        <w:t>ts is provided for preparation and submission of bids or proposals; and notice of contract award is made available to the public;</w:t>
      </w:r>
    </w:p>
    <w:p w:rsidR="003E0109" w:rsidRDefault="00F544A3">
      <w:pPr>
        <w:pStyle w:val="List3"/>
      </w:pPr>
      <w:r>
        <w:t>d.</w:t>
      </w:r>
      <w:r>
        <w:tab/>
        <w:t>Solicitation procedures are conducted in full compliance with Federal standards stated in 2 CFR 200.320 and the Indian pref</w:t>
      </w:r>
      <w:r>
        <w:t>erence requirements for each Federal program.</w:t>
      </w:r>
    </w:p>
    <w:p w:rsidR="003E0109" w:rsidRDefault="00F544A3">
      <w:pPr>
        <w:pStyle w:val="List3"/>
      </w:pPr>
      <w:r>
        <w:t>e.</w:t>
      </w:r>
      <w:r>
        <w:tab/>
        <w:t>An independent cost estimate is prepared before formal solicitation issuance and is appropriately safeguarded for each procurement above the small purchase limitation, and a cost or price analysis is conduct</w:t>
      </w:r>
      <w:r>
        <w:t>ed of the responses received for all procurements;</w:t>
      </w:r>
    </w:p>
    <w:p w:rsidR="003E0109" w:rsidRDefault="00F544A3">
      <w:pPr>
        <w:pStyle w:val="List3"/>
      </w:pPr>
      <w:r>
        <w:t>f.</w:t>
      </w:r>
      <w:r>
        <w:tab/>
        <w:t xml:space="preserve">There are sufficient unencumbered funds available to cover the anticipated cost of each procurement before contract award or modification (including change orders), work is </w:t>
      </w:r>
      <w:r>
        <w:lastRenderedPageBreak/>
        <w:t>inspected before payment, and</w:t>
      </w:r>
      <w:r>
        <w:t xml:space="preserve"> payment is made promptly for contract work performed and accepted;</w:t>
      </w:r>
    </w:p>
    <w:p w:rsidR="003E0109" w:rsidRDefault="00F544A3">
      <w:pPr>
        <w:pStyle w:val="List3"/>
      </w:pPr>
      <w:r>
        <w:t>g.</w:t>
      </w:r>
      <w:r>
        <w:tab/>
        <w:t xml:space="preserve">A contract administration system is maintained to ensure that contractors perform in accordance with their contracts, which provides for the proper inspection of supplies, services, or </w:t>
      </w:r>
      <w:r>
        <w:t>construction, as well as monitoring contractor performance, status reporting on construction contracts, and similar matters.</w:t>
      </w:r>
    </w:p>
    <w:p w:rsidR="003E0109" w:rsidRDefault="00F544A3">
      <w:pPr>
        <w:pStyle w:val="Heading2"/>
      </w:pPr>
      <w:r>
        <w:t>D.</w:t>
      </w:r>
      <w:r>
        <w:tab/>
        <w:t>Cooperative Purchasing</w:t>
      </w:r>
    </w:p>
    <w:p w:rsidR="003E0109" w:rsidRDefault="00F544A3">
      <w:pPr>
        <w:pStyle w:val="Indent2"/>
      </w:pPr>
      <w:r>
        <w:t>The Tribe may enter into State or tribal inter-governmental agreements to purchase or use common goods an</w:t>
      </w:r>
      <w:r>
        <w:t>d services. The decision to use an inter-governmental agreement or conduct a direct procurement shall be based on fostering greater economy and efficiency. If used, the inter-governmental agreement shall stipulate who is authorized to purchase on behalf of</w:t>
      </w:r>
      <w:r>
        <w:t xml:space="preserve"> the participating parties and shall specify inspection, acceptance, termination, payment, and other relevant terms and conditions. The Tribe is encouraged to use Federal or State excess and surplus property instead of purchasing new equipment and property</w:t>
      </w:r>
      <w:r>
        <w:t xml:space="preserve"> whenever such use is feasible and reduces project costs.</w:t>
      </w:r>
    </w:p>
    <w:p w:rsidR="003E0109" w:rsidRDefault="00F544A3">
      <w:pPr>
        <w:pStyle w:val="Heading2"/>
      </w:pPr>
      <w:r>
        <w:t>E.</w:t>
      </w:r>
      <w:r>
        <w:tab/>
        <w:t>Specifications and Scopes of Work</w:t>
      </w:r>
    </w:p>
    <w:p w:rsidR="003E0109" w:rsidRDefault="00F544A3">
      <w:pPr>
        <w:pStyle w:val="List2"/>
      </w:pPr>
      <w:r>
        <w:t>1.</w:t>
      </w:r>
      <w:r>
        <w:tab/>
      </w:r>
      <w:r>
        <w:rPr>
          <w:b/>
          <w:u w:val="single"/>
        </w:rPr>
        <w:t>General</w:t>
      </w:r>
      <w:r>
        <w:t>. All specifications and scopes of work shall be drafted to promote overall economy for the purposes intended and to encourage competition in satisfyin</w:t>
      </w:r>
      <w:r>
        <w:t>g the Tribe needs. Specifications and scopes of work shall be reviewed prior to solicitation to ensure that they are not unduly restrictive or represent unnecessary or duplicative items. Functional or performance specifications are preferred. Detailed prod</w:t>
      </w:r>
      <w:r>
        <w:t>uct specifications shall be avoided whenever possible. Consideration shall be given to consolidating or breaking out procurements to obtain a more economical purchase (but see Section V below). For equipment purchases, a lease versus purchase analysis shou</w:t>
      </w:r>
      <w:r>
        <w:t>ld be performed to determine the most economical form of procurement.</w:t>
      </w:r>
    </w:p>
    <w:p w:rsidR="003E0109" w:rsidRDefault="00F544A3">
      <w:pPr>
        <w:pStyle w:val="List2"/>
      </w:pPr>
      <w:r>
        <w:t>2.</w:t>
      </w:r>
      <w:r>
        <w:tab/>
      </w:r>
      <w:r>
        <w:rPr>
          <w:b/>
          <w:u w:val="single"/>
        </w:rPr>
        <w:t>Limitations</w:t>
      </w:r>
      <w:r>
        <w:t>. The following specification and scope of work limitations shall be avoided: geographic restrictions not mandated or encouraged by applicable Federal law (except for archi</w:t>
      </w:r>
      <w:r>
        <w:t>tect-engineer contracts, which may include geographic location as a selection factor if adequate competition is available); unnecessary bonding or experience requirements; brand name specifications (unless a written determination is made that only the iden</w:t>
      </w:r>
      <w:r>
        <w:t>tified item will satisfy the Tribe needs); brand name or equal specifications (unless they list the minimum essential characteristics and standards to which the item must conform to satisfy its intended use). Nothing in this procurement policy shall preemp</w:t>
      </w:r>
      <w:r>
        <w:t xml:space="preserve">t any State, tribal, or local licensing laws. Specifications and scopes of work shall be scrutinized to ensure that organizational conflicts of interest do </w:t>
      </w:r>
      <w:r>
        <w:lastRenderedPageBreak/>
        <w:t>not occur (for example, having a consultant perform a study of the Tribe computer needs and then all</w:t>
      </w:r>
      <w:r>
        <w:t>owing that consultant to compete for the subsequent contract for the computers).</w:t>
      </w:r>
    </w:p>
    <w:p w:rsidR="003E0109" w:rsidRDefault="00F544A3">
      <w:pPr>
        <w:pStyle w:val="Heading2"/>
      </w:pPr>
      <w:r>
        <w:t>F.</w:t>
      </w:r>
      <w:r>
        <w:tab/>
        <w:t>Assistance to Small and Minority Businesses</w:t>
      </w:r>
    </w:p>
    <w:p w:rsidR="003E0109" w:rsidRDefault="00F544A3">
      <w:pPr>
        <w:pStyle w:val="List2"/>
      </w:pPr>
      <w:r>
        <w:t>1.</w:t>
      </w:r>
      <w:r>
        <w:tab/>
      </w:r>
      <w:r>
        <w:rPr>
          <w:b/>
          <w:u w:val="single"/>
        </w:rPr>
        <w:t>Required Effort</w:t>
      </w:r>
      <w:r>
        <w:rPr>
          <w:u w:val="single"/>
        </w:rPr>
        <w:t>.</w:t>
      </w:r>
      <w:r>
        <w:t xml:space="preserve">  The Tribe must make good faith efforts to ensure those small businesses and minority-owned businesses, women’s business enterprises, and individuals or firms located within or owned in substantial part by persons residing in the area of a Tribe are used </w:t>
      </w:r>
      <w:r>
        <w:t>when possible.  Such efforts shall include, but shall not be limited to:</w:t>
      </w:r>
    </w:p>
    <w:p w:rsidR="003E0109" w:rsidRDefault="00F544A3">
      <w:pPr>
        <w:pStyle w:val="List3"/>
      </w:pPr>
      <w:r>
        <w:t>a.</w:t>
      </w:r>
      <w:r>
        <w:tab/>
        <w:t>Including such firms, when qualified, on solicitation mailing lists;</w:t>
      </w:r>
    </w:p>
    <w:p w:rsidR="003E0109" w:rsidRDefault="00F544A3">
      <w:pPr>
        <w:pStyle w:val="List3"/>
      </w:pPr>
      <w:r>
        <w:t>b.</w:t>
      </w:r>
      <w:r>
        <w:tab/>
        <w:t>Encouraging their participation through direct solicitation of bids or   proposals whenever they are potenti</w:t>
      </w:r>
      <w:r>
        <w:t>al sources;</w:t>
      </w:r>
    </w:p>
    <w:p w:rsidR="003E0109" w:rsidRDefault="00F544A3">
      <w:pPr>
        <w:pStyle w:val="List3"/>
      </w:pPr>
      <w:r>
        <w:t>c.</w:t>
      </w:r>
      <w:r>
        <w:tab/>
        <w:t>Dividing total requirements, when economically feasible, into smaller tasks or quantities to permit maximum participation by such firms;</w:t>
      </w:r>
    </w:p>
    <w:p w:rsidR="003E0109" w:rsidRDefault="00F544A3">
      <w:pPr>
        <w:pStyle w:val="List3"/>
      </w:pPr>
      <w:r>
        <w:t>d.</w:t>
      </w:r>
      <w:r>
        <w:tab/>
        <w:t>Establishing delivery schedules, where the requirement permits, which encourage participation by such</w:t>
      </w:r>
      <w:r>
        <w:t xml:space="preserve"> firms;</w:t>
      </w:r>
    </w:p>
    <w:p w:rsidR="003E0109" w:rsidRDefault="00F544A3">
      <w:pPr>
        <w:pStyle w:val="List3"/>
      </w:pPr>
      <w:r>
        <w:t>e.</w:t>
      </w:r>
      <w:r>
        <w:tab/>
        <w:t>Using the services and assistance of the Small Business Administration;</w:t>
      </w:r>
    </w:p>
    <w:p w:rsidR="003E0109" w:rsidRDefault="00F544A3">
      <w:pPr>
        <w:pStyle w:val="List3"/>
      </w:pPr>
      <w:r>
        <w:t>f.</w:t>
      </w:r>
      <w:r>
        <w:tab/>
        <w:t>Requiring prime contractors, when subcontracting is anticipated, to take the steps listed in a. through e. above.</w:t>
      </w:r>
    </w:p>
    <w:p w:rsidR="003E0109" w:rsidRDefault="00F544A3">
      <w:pPr>
        <w:pStyle w:val="Heading2"/>
      </w:pPr>
      <w:r>
        <w:t>G.</w:t>
      </w:r>
      <w:r>
        <w:tab/>
        <w:t>Contract Clauses</w:t>
      </w:r>
    </w:p>
    <w:p w:rsidR="003E0109" w:rsidRDefault="00F544A3">
      <w:pPr>
        <w:pStyle w:val="List2"/>
      </w:pPr>
      <w:r>
        <w:t>1.</w:t>
      </w:r>
      <w:r>
        <w:tab/>
      </w:r>
      <w:r>
        <w:rPr>
          <w:b/>
          <w:u w:val="single"/>
        </w:rPr>
        <w:t>Required causes</w:t>
      </w:r>
      <w:r>
        <w:t>. In addition to c</w:t>
      </w:r>
      <w:r>
        <w:t>ontaining a clause identifying the contract type, all contracts shall include any clauses required by Federal statutes, executive orders, and their implementing regulations, as provided in 2 CFR 200.326 and Appendix II to Part 200, such as the following:</w:t>
      </w:r>
    </w:p>
    <w:p w:rsidR="003E0109" w:rsidRDefault="00F544A3">
      <w:pPr>
        <w:pStyle w:val="List3"/>
      </w:pPr>
      <w:r>
        <w:t>a.</w:t>
      </w:r>
      <w:r>
        <w:tab/>
        <w:t>administrative, contractual and legal remedies when contractor violates or breaches contract (Contracts over small purchase threshold)</w:t>
      </w:r>
    </w:p>
    <w:p w:rsidR="003E0109" w:rsidRDefault="00F544A3">
      <w:pPr>
        <w:pStyle w:val="List3"/>
      </w:pPr>
      <w:r>
        <w:t>b.</w:t>
      </w:r>
      <w:r>
        <w:tab/>
        <w:t>termination for default and termination for convenience (Contracts over $10,000)</w:t>
      </w:r>
    </w:p>
    <w:p w:rsidR="003E0109" w:rsidRDefault="00F544A3">
      <w:pPr>
        <w:pStyle w:val="List3"/>
      </w:pPr>
      <w:r>
        <w:t>c.</w:t>
      </w:r>
      <w:r>
        <w:tab/>
        <w:t>Equal Employment Opportunity</w:t>
      </w:r>
    </w:p>
    <w:p w:rsidR="003E0109" w:rsidRDefault="00F544A3">
      <w:pPr>
        <w:pStyle w:val="List3"/>
      </w:pPr>
      <w:r>
        <w:t>d.</w:t>
      </w:r>
      <w:r>
        <w:tab/>
        <w:t>Davis-Bacon Act and Copeland “Anti-Kickback” Act (or Tribally-Determined Wage Rate requirements, if applicable).</w:t>
      </w:r>
    </w:p>
    <w:p w:rsidR="003E0109" w:rsidRDefault="00F544A3">
      <w:pPr>
        <w:pStyle w:val="List3"/>
      </w:pPr>
      <w:r>
        <w:t>e.</w:t>
      </w:r>
      <w:r>
        <w:tab/>
        <w:t>Contract Work Hours and Safety Standards Act</w:t>
      </w:r>
    </w:p>
    <w:p w:rsidR="003E0109" w:rsidRDefault="00F544A3">
      <w:pPr>
        <w:pStyle w:val="List3"/>
      </w:pPr>
      <w:r>
        <w:t>f.</w:t>
      </w:r>
      <w:r>
        <w:tab/>
        <w:t>Rights to Inventions Made Under a Contract or Agreement</w:t>
      </w:r>
    </w:p>
    <w:p w:rsidR="003E0109" w:rsidRDefault="00F544A3">
      <w:pPr>
        <w:pStyle w:val="List3"/>
      </w:pPr>
      <w:r>
        <w:t>g.</w:t>
      </w:r>
      <w:r>
        <w:tab/>
        <w:t xml:space="preserve">Clean Air Act and Federal Water </w:t>
      </w:r>
      <w:r>
        <w:t>Pollution Control Act</w:t>
      </w:r>
    </w:p>
    <w:p w:rsidR="003E0109" w:rsidRDefault="00F544A3">
      <w:pPr>
        <w:pStyle w:val="List3"/>
      </w:pPr>
      <w:r>
        <w:t>h.</w:t>
      </w:r>
      <w:r>
        <w:tab/>
        <w:t>Debarment and Suspension</w:t>
      </w:r>
    </w:p>
    <w:p w:rsidR="003E0109" w:rsidRDefault="00F544A3">
      <w:pPr>
        <w:pStyle w:val="List3"/>
      </w:pPr>
      <w:r>
        <w:t>i.</w:t>
      </w:r>
      <w:r>
        <w:tab/>
        <w:t>Byrd Anti-Lobbying Amendment</w:t>
      </w:r>
    </w:p>
    <w:p w:rsidR="003E0109" w:rsidRDefault="00F544A3">
      <w:pPr>
        <w:pStyle w:val="List3"/>
      </w:pPr>
      <w:r>
        <w:lastRenderedPageBreak/>
        <w:t>j.</w:t>
      </w:r>
      <w:r>
        <w:tab/>
        <w:t>Procurement of recovered materials</w:t>
      </w:r>
    </w:p>
    <w:p w:rsidR="003E0109" w:rsidRDefault="00F544A3">
      <w:pPr>
        <w:pStyle w:val="List2"/>
      </w:pPr>
      <w:r>
        <w:t>2.</w:t>
      </w:r>
      <w:r>
        <w:tab/>
      </w:r>
      <w:r>
        <w:rPr>
          <w:b/>
          <w:u w:val="single"/>
        </w:rPr>
        <w:t>Forms</w:t>
      </w:r>
      <w:r>
        <w:t>. If all required clauses are not included on forms, then the Tribe shall attach any additional clauses to the forms used in con</w:t>
      </w:r>
      <w:r>
        <w:t>tract documents and shall include the contract clauses and solicitation notices for Indian preference described above.</w:t>
      </w:r>
    </w:p>
    <w:p w:rsidR="003E0109" w:rsidRDefault="00F544A3">
      <w:pPr>
        <w:pStyle w:val="Heading2"/>
      </w:pPr>
      <w:r>
        <w:t>H.</w:t>
      </w:r>
      <w:r>
        <w:tab/>
        <w:t>Contract Types and Options</w:t>
      </w:r>
    </w:p>
    <w:p w:rsidR="003E0109" w:rsidRDefault="00F544A3">
      <w:pPr>
        <w:pStyle w:val="List2"/>
      </w:pPr>
      <w:r>
        <w:t>1.</w:t>
      </w:r>
      <w:r>
        <w:tab/>
      </w:r>
      <w:r>
        <w:rPr>
          <w:b/>
          <w:u w:val="single"/>
        </w:rPr>
        <w:t>Contract Types</w:t>
      </w:r>
      <w:r>
        <w:t>. Any type of contract (pricing arrangement) which is appropriate to the procurement and w</w:t>
      </w:r>
      <w:r>
        <w:t>hich will promote the best interests of the Tribe may be used, provided that the cost-plus-a-percentage-of-cost and percentage of construction cost methods are prohibited. All procurements shall include the clauses and provisions necessary to define the ri</w:t>
      </w:r>
      <w:r>
        <w:t>ghts and responsibilities of the parties and shall be in the Tribally approved form of contract. A cost reimbursement contract shall not be used unless it is likely to be less costly or it is impracticable to satisfy the Tribe needs otherwise, and the prop</w:t>
      </w:r>
      <w:r>
        <w:t>osed contractor's accounting system is adequate to allocate costs in accordance with applicable cost principles (for commercial firms, Subpart 31.2 of the Federal Acquisition Regulation (FAR), found in 48 CFR Chapter 1). Under DOJ and other funding agencie</w:t>
      </w:r>
      <w:r>
        <w:t>s, a</w:t>
      </w:r>
      <w:r>
        <w:rPr>
          <w:rStyle w:val="CommentReference"/>
          <w:rFonts w:cstheme="minorBidi"/>
        </w:rPr>
        <w:t xml:space="preserve"> </w:t>
      </w:r>
      <w:r>
        <w:t>time and material contract may be used only if a written determination is made that no other contract type is suitable, and the contract includes a ceiling price that the contractor exceeds at its own risk.</w:t>
      </w:r>
    </w:p>
    <w:p w:rsidR="003E0109" w:rsidRDefault="00F544A3">
      <w:pPr>
        <w:pStyle w:val="List2"/>
      </w:pPr>
      <w:r>
        <w:t>2.</w:t>
      </w:r>
      <w:r>
        <w:tab/>
      </w:r>
      <w:r>
        <w:rPr>
          <w:b/>
          <w:u w:val="single"/>
        </w:rPr>
        <w:t>Options</w:t>
      </w:r>
      <w:r>
        <w:t>. Options for additional quantitie</w:t>
      </w:r>
      <w:r>
        <w:t>s or performance periods may be included in contracts, provided that: (i) the option is contained in the solicitation; (ii) the option is a unilateral right of the Tribe; (iii) the contract states a limit on the additional quantities and the overall term o</w:t>
      </w:r>
      <w:r>
        <w:t>f the contract; (iv) the options are evaluated as part of the initial competition; (v) the contract states the period within which the options may be exercised; (vi) the 'Options may be exercised only at the price specified in or reasonably determinable fr</w:t>
      </w:r>
      <w:r>
        <w:t>om the contract; and (vii) the options may be exercised only if determined to be more advantageous to the Tribe than conducting a new procurement.</w:t>
      </w:r>
    </w:p>
    <w:p w:rsidR="003E0109" w:rsidRDefault="00F544A3">
      <w:pPr>
        <w:pStyle w:val="Heading1"/>
      </w:pPr>
      <w:r>
        <w:t>II.</w:t>
      </w:r>
      <w:r>
        <w:tab/>
        <w:t>Indian Preference</w:t>
      </w:r>
    </w:p>
    <w:p w:rsidR="003E0109" w:rsidRDefault="00F544A3">
      <w:pPr>
        <w:pStyle w:val="List2"/>
      </w:pPr>
      <w:r>
        <w:t>1.</w:t>
      </w:r>
      <w:r>
        <w:tab/>
        <w:t>Section 7(b) of the Indian Self Determination and Education Assistance Act (25 U.S.C</w:t>
      </w:r>
      <w:r>
        <w:t>. 450e(b), which provides for Indian preference, shall apply to all procurement in excess of the micro-purchase threshold funded with Federal funds.  In addition, a recipient shall apply the tribal employment and contract preference laws (including regulat</w:t>
      </w:r>
      <w:r>
        <w:t>ions and tribal ordinances) adopted by the Indian tribe that receives a benefit from funds granted to the recipient under Federal awards.  In the absence of tribal employment and contract preference laws, the Tribe shall, to the greatest extent feasible, g</w:t>
      </w:r>
      <w:r>
        <w:t xml:space="preserve">ive preference in the award of all </w:t>
      </w:r>
      <w:r>
        <w:lastRenderedPageBreak/>
        <w:t>contracts and subcontracts, and in training and employment to Indian organizations and Indian owned economic enterprises.</w:t>
      </w:r>
    </w:p>
    <w:p w:rsidR="003E0109" w:rsidRDefault="00F544A3">
      <w:pPr>
        <w:pStyle w:val="List2"/>
      </w:pPr>
      <w:r>
        <w:t>2.</w:t>
      </w:r>
      <w:r>
        <w:tab/>
        <w:t>All preferences shall be publicly announced in the IFB and RFP and the bidding or proposal docum</w:t>
      </w:r>
      <w:r>
        <w:t>ents. Efforts to provide Indian preference must be documented. If Indian preference is not feasible, the Tribe shall document in writing the basis of its finding of infeasibility and maintain the documentation in its files for three (3) years after the end</w:t>
      </w:r>
      <w:r>
        <w:t xml:space="preserve"> of the program year during which the funds were expended.</w:t>
      </w:r>
    </w:p>
    <w:p w:rsidR="003E0109" w:rsidRDefault="00F544A3">
      <w:pPr>
        <w:pStyle w:val="List2"/>
      </w:pPr>
      <w:r>
        <w:t>3.</w:t>
      </w:r>
      <w:r>
        <w:tab/>
        <w:t>Contractors applying for eligibility for Indian preference shall submit the following:</w:t>
      </w:r>
    </w:p>
    <w:p w:rsidR="003E0109" w:rsidRDefault="00F544A3">
      <w:pPr>
        <w:pStyle w:val="List3"/>
      </w:pPr>
      <w:r>
        <w:t>a.</w:t>
      </w:r>
      <w:r>
        <w:tab/>
        <w:t>Evidence showing that the majority ownership of the firm consists of one or more persons who are members</w:t>
      </w:r>
      <w:r>
        <w:t xml:space="preserve"> of a federally recognized Indian tribe.  A certificate of Indian blood or census card from each owner will suffice.</w:t>
      </w:r>
    </w:p>
    <w:p w:rsidR="003E0109" w:rsidRDefault="00F544A3">
      <w:pPr>
        <w:pStyle w:val="List3"/>
      </w:pPr>
      <w:r>
        <w:t>b.</w:t>
      </w:r>
      <w:r>
        <w:tab/>
        <w:t xml:space="preserve">Evidence showing that the owners claiming tribal membership are actively involved in the management of the firm, and participate </w:t>
      </w:r>
      <w:r>
        <w:t>proportionately in the profits.  A statement from the owners will suffice.</w:t>
      </w:r>
    </w:p>
    <w:p w:rsidR="003E0109" w:rsidRDefault="00F544A3">
      <w:pPr>
        <w:pStyle w:val="List3"/>
      </w:pPr>
      <w:r>
        <w:t>c.</w:t>
      </w:r>
      <w:r>
        <w:tab/>
        <w:t>Evidence of structure, management and financing affecting the Indian character of the enterprise, including major subcontracts and purchase agreements; materials or equipment sup</w:t>
      </w:r>
      <w:r>
        <w:t>ply arrangements; and management salary or profit-sharing arrangements; and evidence showing the effect of these on the extent of Indian ownership and interest.</w:t>
      </w:r>
    </w:p>
    <w:p w:rsidR="003E0109" w:rsidRDefault="00F544A3">
      <w:pPr>
        <w:pStyle w:val="List2"/>
      </w:pPr>
      <w:r>
        <w:t>4.</w:t>
      </w:r>
      <w:r>
        <w:tab/>
        <w:t>If the Tribe or its prime contractor determines an applicant ineligible for Indian preferenc</w:t>
      </w:r>
      <w:r>
        <w:t>e, the Tribe or prime contractor shall notify the applicant in writing before contract award.</w:t>
      </w:r>
    </w:p>
    <w:p w:rsidR="003E0109" w:rsidRDefault="00F544A3">
      <w:pPr>
        <w:pStyle w:val="List2"/>
      </w:pPr>
      <w:r>
        <w:t>5.</w:t>
      </w:r>
      <w:r>
        <w:tab/>
        <w:t>Solicitations shall include a clear and accurate description of the technical requirements for the material, product, or service to be procured and the</w:t>
      </w:r>
      <w:r>
        <w:rPr>
          <w:rStyle w:val="CommentReference"/>
          <w:rFonts w:cstheme="minorBidi"/>
        </w:rPr>
        <w:t xml:space="preserve"> </w:t>
      </w:r>
      <w:r>
        <w:t>notices</w:t>
      </w:r>
      <w:r>
        <w:t xml:space="preserve"> shall include the following information:</w:t>
      </w:r>
    </w:p>
    <w:p w:rsidR="003E0109" w:rsidRDefault="00F544A3">
      <w:pPr>
        <w:pStyle w:val="List3"/>
      </w:pPr>
      <w:r>
        <w:t>a.</w:t>
      </w:r>
      <w:r>
        <w:tab/>
        <w:t xml:space="preserve">The Tribe shall incorporate the following clause (referred to as the section 7(b) clause) in each solicitation and included in all contracts and subcontracts, as follows: </w:t>
      </w:r>
    </w:p>
    <w:p w:rsidR="003E0109" w:rsidRDefault="00F544A3">
      <w:pPr>
        <w:pStyle w:val="List4"/>
      </w:pPr>
      <w:r>
        <w:t>(1)</w:t>
      </w:r>
      <w:r>
        <w:tab/>
        <w:t>The work to be performed under this</w:t>
      </w:r>
      <w:r>
        <w:t xml:space="preserve"> contract is subject to Section 7(b) of the Indian Self-Determination Act (25 U.S.C. 450e(b)). Section 7(b) sole requires that to the greatest extent feasible: (i) preference and opportunities for training and employment shall be given to Indians, and (ii)</w:t>
      </w:r>
      <w:r>
        <w:t xml:space="preserve"> preference in the award of contracts and subcontracts shall be given to Indian organizations or Indian-owned economic enterprises.</w:t>
      </w:r>
    </w:p>
    <w:p w:rsidR="003E0109" w:rsidRDefault="00F544A3">
      <w:pPr>
        <w:pStyle w:val="List4"/>
      </w:pPr>
      <w:r>
        <w:t>(2)</w:t>
      </w:r>
      <w:r>
        <w:tab/>
        <w:t>The parties to this contract shall comply with the provisions of section 7(b) of the Indian Act.</w:t>
      </w:r>
    </w:p>
    <w:p w:rsidR="003E0109" w:rsidRDefault="00F544A3">
      <w:pPr>
        <w:pStyle w:val="List4"/>
      </w:pPr>
      <w:r>
        <w:lastRenderedPageBreak/>
        <w:t>(3)</w:t>
      </w:r>
      <w:r>
        <w:tab/>
        <w:t xml:space="preserve">In connection with </w:t>
      </w:r>
      <w:r>
        <w:t>this contract, the contractor shall, to the greatest extent feasible, give preference in the award of any subcontracts to Indian-owned economic enterprises, and preferences and opportunities for training and employment to Indians.</w:t>
      </w:r>
    </w:p>
    <w:p w:rsidR="003E0109" w:rsidRDefault="00F544A3">
      <w:pPr>
        <w:pStyle w:val="List4"/>
      </w:pPr>
      <w:r>
        <w:t>(4)</w:t>
      </w:r>
      <w:r>
        <w:tab/>
        <w:t xml:space="preserve">The contractor shall </w:t>
      </w:r>
      <w:r>
        <w:t>include this section 7(b) clause in every subcontract in connection with the project, and shall, at the direction of the recipient, take appropriate action pursuant to the subcontract upon a finding by the Tribe or a Federal agency that the subcontractor h</w:t>
      </w:r>
      <w:r>
        <w:t>as violated the section 7(b) clause of the Indian Act.</w:t>
      </w:r>
    </w:p>
    <w:p w:rsidR="003E0109" w:rsidRDefault="00F544A3">
      <w:pPr>
        <w:pStyle w:val="List3"/>
      </w:pPr>
      <w:r>
        <w:t>b.</w:t>
      </w:r>
      <w:r>
        <w:tab/>
        <w:t>A statement as to whether the Tribe maintains lists of Indian owned economic enterprises and Indian organizations by trade specialty that are available to contractors and subcontractors for use in m</w:t>
      </w:r>
      <w:r>
        <w:t>eeting Indian preference responsibilities;</w:t>
      </w:r>
    </w:p>
    <w:p w:rsidR="003E0109" w:rsidRDefault="00F544A3">
      <w:pPr>
        <w:pStyle w:val="List3"/>
      </w:pPr>
      <w:r>
        <w:t>c.</w:t>
      </w:r>
      <w:r>
        <w:tab/>
        <w:t>A statement that requires contractors and subcontractors to provide preference to the greatest extent feasible by hiring qualified Indians in all positions;</w:t>
      </w:r>
    </w:p>
    <w:p w:rsidR="003E0109" w:rsidRDefault="00F544A3">
      <w:pPr>
        <w:pStyle w:val="List3"/>
      </w:pPr>
      <w:r>
        <w:t>d.</w:t>
      </w:r>
      <w:r>
        <w:tab/>
        <w:t>A statement that requires the Tribe to submit a li</w:t>
      </w:r>
      <w:r>
        <w:t>st of core crew employees, if available, and that contractors are required to provide preference to the greatest extent feasible by hiring qualified Indians in all positions.</w:t>
      </w:r>
    </w:p>
    <w:p w:rsidR="003E0109" w:rsidRDefault="00F544A3">
      <w:pPr>
        <w:pStyle w:val="List2"/>
      </w:pPr>
      <w:r>
        <w:t>6.</w:t>
      </w:r>
      <w:r>
        <w:tab/>
        <w:t>Methods of Providing Indian Preference</w:t>
      </w:r>
    </w:p>
    <w:p w:rsidR="003E0109" w:rsidRDefault="00F544A3">
      <w:pPr>
        <w:pStyle w:val="List3"/>
      </w:pPr>
      <w:r>
        <w:t>a.</w:t>
      </w:r>
      <w:r>
        <w:rPr>
          <w:bCs/>
        </w:rPr>
        <w:tab/>
      </w:r>
      <w:r>
        <w:rPr>
          <w:b/>
          <w:bCs/>
        </w:rPr>
        <w:t>For purchases below the Simplified A</w:t>
      </w:r>
      <w:r>
        <w:rPr>
          <w:b/>
          <w:bCs/>
        </w:rPr>
        <w:t>cquisition Threshold</w:t>
      </w:r>
      <w:r>
        <w:t>, the Tribe shall seek maximum participation by Indian-owned economic enterprises and shall to the extent available, refer to lists of qualified Indian supply sources. If no quotation are solicited or received from Indian-owned economic</w:t>
      </w:r>
      <w:r>
        <w:t xml:space="preserve"> enterprises, the Tribe must include as part of its documentation a statement explaining the reasons for lack of Indian participation.  As an alternative, a Tribe solicitation may be unrestricted to allow both non-Indian and qualified Indian-owned economic</w:t>
      </w:r>
      <w:r>
        <w:t xml:space="preserve"> enterprises or organizations to submit quotes and an award shall be made to the qualified Indian-owned economic enterprises or organizations with the lowest responsive quote, if the quote is within ten percent of the lowest non-Indian quote and the price </w:t>
      </w:r>
      <w:r>
        <w:t>is determined reasonable. If no responsive quotation by a qualified Indian-owned economic enterprises or organizations is within ten percent of the lowest non-Indian quote, award shall be made to the source with the lowest quote.</w:t>
      </w:r>
    </w:p>
    <w:p w:rsidR="003E0109" w:rsidRDefault="00F544A3">
      <w:pPr>
        <w:pStyle w:val="Indent3"/>
      </w:pPr>
      <w:r>
        <w:t>An optional method of prov</w:t>
      </w:r>
      <w:r>
        <w:t>iding Indian Preference, the “X-Factor”, is provided as an appendix to this policy.</w:t>
      </w:r>
    </w:p>
    <w:p w:rsidR="003E0109" w:rsidRDefault="00F544A3">
      <w:pPr>
        <w:pStyle w:val="List3"/>
      </w:pPr>
      <w:r>
        <w:t>c.</w:t>
      </w:r>
      <w:r>
        <w:tab/>
      </w:r>
      <w:r>
        <w:rPr>
          <w:b/>
          <w:bCs/>
        </w:rPr>
        <w:t>For sealed bids</w:t>
      </w:r>
      <w:r>
        <w:t>, the Tribe prior to solicitation shall decide on the method it will use in applying Indian preference depending on the particular procurement.  In accord</w:t>
      </w:r>
      <w:r>
        <w:t xml:space="preserve">ance with </w:t>
      </w:r>
      <w:r>
        <w:lastRenderedPageBreak/>
        <w:t>Federal guidelines and this policy, the Tribe may select any one of the methods below, as follows:</w:t>
      </w:r>
    </w:p>
    <w:p w:rsidR="003E0109" w:rsidRDefault="00F544A3">
      <w:pPr>
        <w:pStyle w:val="List4"/>
      </w:pPr>
      <w:r>
        <w:t>(1)</w:t>
      </w:r>
      <w:r>
        <w:tab/>
        <w:t>Issue the solicitation unrestricted to allow both non-Indian and qualified Indian-owned economic enterprises or organizations to submit bids an</w:t>
      </w:r>
      <w:r>
        <w:t>d award shall be made to the qualified Indian-owned economic enterprises or organizations with the lowest responsive bid, if the bid is within the total maximum contract price established for the procurement and within the applicable range specified in App</w:t>
      </w:r>
      <w:r>
        <w:t>endix A of the lowest non-Indian bid price; or</w:t>
      </w:r>
    </w:p>
    <w:p w:rsidR="003E0109" w:rsidRDefault="00F544A3">
      <w:pPr>
        <w:pStyle w:val="List4"/>
      </w:pPr>
      <w:r>
        <w:t>(2)</w:t>
      </w:r>
      <w:r>
        <w:tab/>
        <w:t>Restrict the solicitation to qualified Indian-owned economic enterprises or organizations; or</w:t>
      </w:r>
      <w:r>
        <w:tab/>
        <w:t xml:space="preserve">    </w:t>
      </w:r>
    </w:p>
    <w:p w:rsidR="003E0109" w:rsidRDefault="00F544A3">
      <w:pPr>
        <w:pStyle w:val="List4"/>
      </w:pPr>
      <w:r>
        <w:t>(3)</w:t>
      </w:r>
      <w:r>
        <w:tab/>
        <w:t>Use a two stage preference procedure, as follows:</w:t>
      </w:r>
    </w:p>
    <w:p w:rsidR="003E0109" w:rsidRDefault="00F544A3">
      <w:pPr>
        <w:pStyle w:val="Indent4"/>
      </w:pPr>
      <w:r>
        <w:rPr>
          <w:b/>
          <w:u w:val="single"/>
        </w:rPr>
        <w:t>Stage 1</w:t>
      </w:r>
      <w:r>
        <w:t>.  Invite or otherwise solicit Indian-owned e</w:t>
      </w:r>
      <w:r>
        <w:t>conomic enterprises to submit a statement of intent to respond to the bid announcement limited to Indian-owned economic enterprises.</w:t>
      </w:r>
    </w:p>
    <w:p w:rsidR="003E0109" w:rsidRDefault="00F544A3">
      <w:pPr>
        <w:pStyle w:val="Indent4"/>
      </w:pPr>
      <w:r>
        <w:rPr>
          <w:b/>
          <w:u w:val="single"/>
        </w:rPr>
        <w:t>Stage 2</w:t>
      </w:r>
      <w:r>
        <w:t xml:space="preserve">.  If responses are received from more than one qualified Indian-owned economic enterprise, advertise for bids </w:t>
      </w:r>
      <w:r>
        <w:t>limited to Indian-owned economic enterprises.</w:t>
      </w:r>
    </w:p>
    <w:p w:rsidR="003E0109" w:rsidRDefault="00F544A3">
      <w:pPr>
        <w:pStyle w:val="List3"/>
      </w:pPr>
      <w:r>
        <w:t>d.</w:t>
      </w:r>
      <w:r>
        <w:rPr>
          <w:b/>
        </w:rPr>
        <w:tab/>
        <w:t>For competitive proposals</w:t>
      </w:r>
      <w:r>
        <w:t>, the Tribe prior to solicitation shall decide on the method it will use in applying Indian preference depending on the particular procurement.  In accordance with Federal requiremen</w:t>
      </w:r>
      <w:r>
        <w:t>ts and this policy, the Tribe may select any one of the methods below, as follows:</w:t>
      </w:r>
    </w:p>
    <w:p w:rsidR="003E0109" w:rsidRDefault="00F544A3">
      <w:pPr>
        <w:pStyle w:val="List4"/>
      </w:pPr>
      <w:r>
        <w:t>(1)</w:t>
      </w:r>
      <w:r>
        <w:tab/>
        <w:t>Issue the solicitation unrestricted to allow both non-Indian and qualified Indian-owned economic enterprises or organizations to submit proposals and establish a percent</w:t>
      </w:r>
      <w:r>
        <w:t>age or number of points set aside for Indian preference as one of the evaluating factors to consider other than price; or</w:t>
      </w:r>
    </w:p>
    <w:p w:rsidR="003E0109" w:rsidRDefault="00F544A3">
      <w:pPr>
        <w:pStyle w:val="List4"/>
      </w:pPr>
      <w:r>
        <w:t>(2)</w:t>
      </w:r>
      <w:r>
        <w:tab/>
        <w:t>Restrict the solicitation to qualified Indian-owned economic enterprises or organizations; or</w:t>
      </w:r>
    </w:p>
    <w:p w:rsidR="003E0109" w:rsidRDefault="00F544A3">
      <w:pPr>
        <w:pStyle w:val="List4"/>
      </w:pPr>
      <w:r>
        <w:t>(3)</w:t>
      </w:r>
      <w:r>
        <w:tab/>
        <w:t>Use a two stage preference proce</w:t>
      </w:r>
      <w:r>
        <w:t>dure, as follows:</w:t>
      </w:r>
    </w:p>
    <w:p w:rsidR="003E0109" w:rsidRDefault="00F544A3">
      <w:pPr>
        <w:pStyle w:val="Indent4"/>
      </w:pPr>
      <w:r>
        <w:rPr>
          <w:b/>
          <w:u w:val="single"/>
        </w:rPr>
        <w:t>Stage 1</w:t>
      </w:r>
      <w:r>
        <w:t>.  Invite or otherwise solicit Indian-owned economic enterprises to submit a statement of intent to respond to the Request for Proposals limited to Indian-owned economic enterprises.</w:t>
      </w:r>
    </w:p>
    <w:p w:rsidR="003E0109" w:rsidRDefault="00F544A3">
      <w:pPr>
        <w:pStyle w:val="Indent4"/>
      </w:pPr>
      <w:r>
        <w:rPr>
          <w:b/>
          <w:u w:val="single"/>
        </w:rPr>
        <w:t>Stage 2</w:t>
      </w:r>
      <w:r>
        <w:t>.  If responses are received from more th</w:t>
      </w:r>
      <w:r>
        <w:t>an one qualified Indian-owned economic enterprise, advertise for bids limited to Indian-owned economic enterprises.</w:t>
      </w:r>
    </w:p>
    <w:p w:rsidR="003E0109" w:rsidRDefault="00F544A3">
      <w:pPr>
        <w:pStyle w:val="List3"/>
      </w:pPr>
      <w:r>
        <w:lastRenderedPageBreak/>
        <w:t>e.</w:t>
      </w:r>
      <w:r>
        <w:tab/>
        <w:t xml:space="preserve">If the Tribe selects a method of providing preference, in b. or c. above, that results in </w:t>
      </w:r>
      <w:r>
        <w:rPr>
          <w:u w:val="single"/>
        </w:rPr>
        <w:t>fewer than two</w:t>
      </w:r>
      <w:r>
        <w:t xml:space="preserve"> responsible qualified organizati</w:t>
      </w:r>
      <w:r>
        <w:t>ons or enterprises submitting a statement of intent, a bid or proposal to perform the contract at a reasonable cost, then the Tribe shall:</w:t>
      </w:r>
    </w:p>
    <w:p w:rsidR="003E0109" w:rsidRDefault="00F544A3">
      <w:pPr>
        <w:pStyle w:val="List4"/>
      </w:pPr>
      <w:r>
        <w:t>(1)</w:t>
      </w:r>
      <w:r>
        <w:tab/>
        <w:t xml:space="preserve">Re-advertise the contract using any of the methods described above at b. or c. for sealed bids and competitive </w:t>
      </w:r>
      <w:r>
        <w:t>proposals respectively; or</w:t>
      </w:r>
    </w:p>
    <w:p w:rsidR="003E0109" w:rsidRDefault="00F544A3">
      <w:pPr>
        <w:pStyle w:val="List4"/>
      </w:pPr>
      <w:r>
        <w:t>(2)</w:t>
      </w:r>
      <w:r>
        <w:tab/>
        <w:t>Re-advertise the contract without limiting the solicitation for bids or proposals to Indian-owned economic enterprises or organizations. This method does not provide Indian preference.  By selecting this method, the Tribe has</w:t>
      </w:r>
      <w:r>
        <w:t xml:space="preserve"> determined that Indian preference is not feasible even after providing for Indian preference, i.e. no qualified Indian bidder(s) responded, or fewer than two of the bid(s) received from Indian bidders were approvable; or</w:t>
      </w:r>
    </w:p>
    <w:p w:rsidR="003E0109" w:rsidRDefault="00F544A3">
      <w:pPr>
        <w:pStyle w:val="List4"/>
      </w:pPr>
      <w:r>
        <w:t>(3)</w:t>
      </w:r>
      <w:r>
        <w:tab/>
        <w:t>If one approvable bid or propo</w:t>
      </w:r>
      <w:r>
        <w:t>sal is received, the Tribe may request the fund source  review and approve the proposed contract and related justification and procurement documentation in accordance with 2 CFR 200.320(f)(3).</w:t>
      </w:r>
    </w:p>
    <w:p w:rsidR="003E0109" w:rsidRDefault="00F544A3">
      <w:pPr>
        <w:pStyle w:val="List3"/>
      </w:pPr>
      <w:r>
        <w:t>f.</w:t>
      </w:r>
      <w:r>
        <w:tab/>
      </w:r>
      <w:r>
        <w:rPr>
          <w:b/>
        </w:rPr>
        <w:t>Monitoring and Remedies</w:t>
      </w:r>
      <w:r>
        <w:t>. The Tribe shall monitor the impleme</w:t>
      </w:r>
      <w:r>
        <w:t>ntation of Indian preference in its contracts, subcontracts, training, and employment, and take appropriate remedial action to ensure compliance.  If no bids or offers are received from Indian organizations and enterprises, the lack of participation and an</w:t>
      </w:r>
      <w:r>
        <w:t>y reasons known by the Tribe for lack of participation shall be documented in the procurement file.</w:t>
      </w:r>
    </w:p>
    <w:p w:rsidR="003E0109" w:rsidRDefault="00F544A3">
      <w:pPr>
        <w:pStyle w:val="Heading1"/>
      </w:pPr>
      <w:r>
        <w:t>III.</w:t>
      </w:r>
      <w:r>
        <w:tab/>
        <w:t>Procurement Methods</w:t>
      </w:r>
    </w:p>
    <w:p w:rsidR="003E0109" w:rsidRDefault="00F544A3">
      <w:pPr>
        <w:pStyle w:val="Heading2"/>
      </w:pPr>
      <w:r>
        <w:t>A.</w:t>
      </w:r>
      <w:r>
        <w:tab/>
        <w:t>Selection of Method</w:t>
      </w:r>
    </w:p>
    <w:p w:rsidR="003E0109" w:rsidRDefault="00F544A3">
      <w:pPr>
        <w:pStyle w:val="Indent2"/>
      </w:pPr>
      <w:r>
        <w:t>When satisfying its needs by procurement, the Tribe shall choose one of the following procurement methods, b</w:t>
      </w:r>
      <w:r>
        <w:t>ased on the nature and anticipated dollar value of the total requirement. The Tribe shall provide a rational in its supporting documentation as to why it selected that particular method.</w:t>
      </w:r>
    </w:p>
    <w:p w:rsidR="003E0109" w:rsidRDefault="00F544A3">
      <w:pPr>
        <w:pStyle w:val="Heading2"/>
      </w:pPr>
      <w:r>
        <w:t>B.</w:t>
      </w:r>
      <w:r>
        <w:tab/>
        <w:t>Micro-Purchase Procedures</w:t>
      </w:r>
    </w:p>
    <w:p w:rsidR="003E0109" w:rsidRDefault="00F544A3">
      <w:pPr>
        <w:pStyle w:val="List2"/>
      </w:pPr>
      <w:r>
        <w:t>1.</w:t>
      </w:r>
      <w:r>
        <w:tab/>
      </w:r>
      <w:r>
        <w:rPr>
          <w:b/>
          <w:u w:val="single"/>
        </w:rPr>
        <w:t>General</w:t>
      </w:r>
      <w:r>
        <w:rPr>
          <w:u w:val="single"/>
        </w:rPr>
        <w:t>.</w:t>
      </w:r>
      <w:r>
        <w:t xml:space="preserve"> Procurement by micro-purchas</w:t>
      </w:r>
      <w:r>
        <w:t>e is the acquisition of supplies or services, the aggregate dollar amount of which does not exceed the micro-purchase threshold (§200.67 Micro-purchase). Any procurement not exceeding $10,000 may be conducted in accordance with the micro-purchase procedure</w:t>
      </w:r>
      <w:r>
        <w:t xml:space="preserve">s authorized in this section. A lower dollar amount may be used if desired or required to conform to tribal law. </w:t>
      </w:r>
      <w:r>
        <w:lastRenderedPageBreak/>
        <w:t>Contract requirements shall not be artificially divided so as to constitute a micro-purchase under this section, except as may be reasonably ne</w:t>
      </w:r>
      <w:r>
        <w:t>cessary in instances where breaking out such procurements can be shown to result in more economical purchases.</w:t>
      </w:r>
    </w:p>
    <w:p w:rsidR="003E0109" w:rsidRDefault="00F544A3">
      <w:pPr>
        <w:pStyle w:val="List2"/>
      </w:pPr>
      <w:r>
        <w:t>2.</w:t>
      </w:r>
      <w:r>
        <w:tab/>
      </w:r>
      <w:r>
        <w:rPr>
          <w:b/>
          <w:u w:val="single"/>
        </w:rPr>
        <w:t>Indian preference</w:t>
      </w:r>
      <w:r>
        <w:t>. See above Section II(6)(a).</w:t>
      </w:r>
    </w:p>
    <w:p w:rsidR="003E0109" w:rsidRDefault="00F544A3">
      <w:pPr>
        <w:pStyle w:val="List2"/>
      </w:pPr>
      <w:r>
        <w:t>3.</w:t>
      </w:r>
      <w:r>
        <w:tab/>
      </w:r>
      <w:r>
        <w:rPr>
          <w:b/>
          <w:u w:val="single"/>
        </w:rPr>
        <w:t>Petty Cash Purchases</w:t>
      </w:r>
      <w:r>
        <w:t>.  Petty cash purchases should be kept to a minimum, since purchasing in</w:t>
      </w:r>
      <w:r>
        <w:t xml:space="preserve"> limiting quantities does not provide for the best price and all administrative requirements under small purchases apply. </w:t>
      </w:r>
    </w:p>
    <w:p w:rsidR="003E0109" w:rsidRDefault="00F544A3">
      <w:pPr>
        <w:pStyle w:val="List2"/>
      </w:pPr>
      <w:r>
        <w:t>4.</w:t>
      </w:r>
      <w:r>
        <w:tab/>
      </w:r>
      <w:r>
        <w:rPr>
          <w:b/>
          <w:u w:val="single"/>
        </w:rPr>
        <w:t>Obtaining Quotes</w:t>
      </w:r>
      <w:r>
        <w:t>. To the extent practicable, the Tribe must distribute micro-purchases equitably among qualified suppliers. Micro-</w:t>
      </w:r>
      <w:r>
        <w:t>purchases may be awarded without soliciting competitive quotations if the non-Federal entity considers the price to be reasonable per 2 CFR 200.404.</w:t>
      </w:r>
    </w:p>
    <w:p w:rsidR="003E0109" w:rsidRDefault="00F544A3">
      <w:pPr>
        <w:pStyle w:val="Heading2"/>
      </w:pPr>
      <w:r>
        <w:t>C.</w:t>
      </w:r>
      <w:r>
        <w:tab/>
        <w:t>Small Purchase Procedures</w:t>
      </w:r>
    </w:p>
    <w:p w:rsidR="003E0109" w:rsidRDefault="00F544A3">
      <w:pPr>
        <w:pStyle w:val="List2"/>
      </w:pPr>
      <w:r>
        <w:t>1.</w:t>
      </w:r>
      <w:r>
        <w:tab/>
      </w:r>
      <w:r>
        <w:rPr>
          <w:b/>
          <w:u w:val="single"/>
        </w:rPr>
        <w:t>General</w:t>
      </w:r>
      <w:r>
        <w:rPr>
          <w:u w:val="single"/>
        </w:rPr>
        <w:t>.</w:t>
      </w:r>
      <w:r>
        <w:t xml:space="preserve"> Any procurement not exceeding $250,000 [insert a lower dollar amou</w:t>
      </w:r>
      <w:r>
        <w:t>nt if desired or required to conform to tribal law] may be conducted in accordance with the small purchase procedures authorized in this section. Contract requirements shall not be artificially divided so as to constitute a small purchase under this sectio</w:t>
      </w:r>
      <w:r>
        <w:t>n (except as may be reasonably necessary to comply with Section V of this Statement or in instances where breaking out such procurements can be shown to result in more economical purchases).</w:t>
      </w:r>
    </w:p>
    <w:p w:rsidR="003E0109" w:rsidRDefault="00F544A3">
      <w:pPr>
        <w:pStyle w:val="List2"/>
      </w:pPr>
      <w:r>
        <w:t>2.</w:t>
      </w:r>
      <w:r>
        <w:tab/>
      </w:r>
      <w:r>
        <w:rPr>
          <w:b/>
          <w:u w:val="single"/>
        </w:rPr>
        <w:t>Indian preference</w:t>
      </w:r>
      <w:r>
        <w:t>. See above Section II(6)(a).</w:t>
      </w:r>
    </w:p>
    <w:p w:rsidR="003E0109" w:rsidRDefault="00F544A3">
      <w:pPr>
        <w:pStyle w:val="List2"/>
      </w:pPr>
      <w:r>
        <w:t>3.</w:t>
      </w:r>
      <w:r>
        <w:tab/>
      </w:r>
      <w:r>
        <w:rPr>
          <w:b/>
          <w:u w:val="single"/>
        </w:rPr>
        <w:t>Obtaining Qu</w:t>
      </w:r>
      <w:r>
        <w:rPr>
          <w:b/>
          <w:u w:val="single"/>
        </w:rPr>
        <w:t>otes</w:t>
      </w:r>
      <w:r>
        <w:t>. The Tribe shall solicit price quotations by phone, letter, or other informal procedure that allows participation by a reasonable number of competitive sources. When soliciting quotations, the Tribe shall inform the sources solicited of the specific i</w:t>
      </w:r>
      <w:r>
        <w:t>tem being procured, the time by which quotations must be submitted, and the information required to be submitted with each quotation. The Tribe shall obtain written quotations; however, the written quotation may be a confirmation of a previous oral quotati</w:t>
      </w:r>
      <w:r>
        <w:t xml:space="preserve">on only if it is submitted within _____ days of the oral quotation or by the due date for submitting quotations. The names, addresses, and telephone numbers of the offerors and persons contacted, and the date and amount of each quotation shall be recorded </w:t>
      </w:r>
      <w:r>
        <w:t>and maintained as a public record.</w:t>
      </w:r>
    </w:p>
    <w:p w:rsidR="003E0109" w:rsidRDefault="00F544A3">
      <w:pPr>
        <w:pStyle w:val="List2"/>
      </w:pPr>
      <w:r>
        <w:t>4.</w:t>
      </w:r>
      <w:r>
        <w:tab/>
      </w:r>
      <w:r>
        <w:rPr>
          <w:b/>
          <w:u w:val="single"/>
        </w:rPr>
        <w:t>Competition</w:t>
      </w:r>
      <w:r>
        <w:rPr>
          <w:u w:val="single"/>
        </w:rPr>
        <w:t>.</w:t>
      </w:r>
      <w:r>
        <w:t xml:space="preserve"> The Tribe shall attempt to obtain quotations from a minimum of at least two responsive and responsible sources and document the procurement file with a justification whenever it has been unable to obtain a</w:t>
      </w:r>
      <w:r>
        <w:t xml:space="preserve">t least two quotations. Solicitation of fewer than two sources is acceptable if the Tribe has attempted but has been unable to obtain a sufficient number of quotations. This procurement would then </w:t>
      </w:r>
      <w:r>
        <w:lastRenderedPageBreak/>
        <w:t>be considered a noncompetitive procurement and the steps li</w:t>
      </w:r>
      <w:r>
        <w:t>sted below in F. Noncompetitive procurement will be followed.</w:t>
      </w:r>
    </w:p>
    <w:p w:rsidR="003E0109" w:rsidRDefault="00F544A3">
      <w:pPr>
        <w:pStyle w:val="List2"/>
      </w:pPr>
      <w:r>
        <w:t>5.</w:t>
      </w:r>
      <w:r>
        <w:tab/>
      </w:r>
      <w:r>
        <w:rPr>
          <w:b/>
          <w:u w:val="single"/>
        </w:rPr>
        <w:t>Award based on price</w:t>
      </w:r>
      <w:r>
        <w:t>. For small purchases award is generally based on price and fixed specifications taking into account the method of providing Indian preference.</w:t>
      </w:r>
    </w:p>
    <w:p w:rsidR="003E0109" w:rsidRDefault="00F544A3">
      <w:pPr>
        <w:pStyle w:val="List2"/>
      </w:pPr>
      <w:r>
        <w:t>6.</w:t>
      </w:r>
      <w:r>
        <w:tab/>
      </w:r>
      <w:r>
        <w:rPr>
          <w:b/>
          <w:u w:val="single"/>
        </w:rPr>
        <w:t>Blanket Purchase Agreeme</w:t>
      </w:r>
      <w:r>
        <w:rPr>
          <w:b/>
          <w:u w:val="single"/>
        </w:rPr>
        <w:t>nts (BPA</w:t>
      </w:r>
      <w:r>
        <w:rPr>
          <w:u w:val="single"/>
        </w:rPr>
        <w:t>)</w:t>
      </w:r>
      <w:r>
        <w:t xml:space="preserve">. Once a BPA has been established, task or delivery orders can be placed without further competition. BPAs may be used for a variety of expendable supplies and services and are particularly attractive when the exact items, quantities and delivery </w:t>
      </w:r>
      <w:r>
        <w:t>requirements are not known in advance.  The process to setup a BPA will save the Tribe time and money while making your purchasing quicker and easier.  Prior to following the small purchasing procedures established above, the Tribe will have conducted an h</w:t>
      </w:r>
      <w:r>
        <w:t xml:space="preserve">istorical database on their recurring purchases. After obtaining an estimate on the volume or quantities of a list of products, the Tribe uses that information to solicit quotes or discount rates from a number of vendors.  By using the purchasing power of </w:t>
      </w:r>
      <w:r>
        <w:t>greater quantities, the Tribe secures better pricing. The maximum total value of the small purchase BPA is $250,000.</w:t>
      </w:r>
    </w:p>
    <w:p w:rsidR="003E0109" w:rsidRDefault="00F544A3">
      <w:pPr>
        <w:pStyle w:val="Heading2"/>
      </w:pPr>
      <w:r>
        <w:t>D.</w:t>
      </w:r>
      <w:r>
        <w:tab/>
        <w:t>Sealed Bidding</w:t>
      </w:r>
    </w:p>
    <w:p w:rsidR="003E0109" w:rsidRDefault="00F544A3">
      <w:pPr>
        <w:pStyle w:val="List2"/>
      </w:pPr>
      <w:r>
        <w:t>1.</w:t>
      </w:r>
      <w:r>
        <w:tab/>
      </w:r>
      <w:r>
        <w:rPr>
          <w:b/>
          <w:u w:val="single"/>
        </w:rPr>
        <w:t>Conditions for Use</w:t>
      </w:r>
      <w:r>
        <w:t>. Contracts shall be awarded based on competitive sealed bidding if the following conditions are pre</w:t>
      </w:r>
      <w:r>
        <w:t>sent: a complete, adequate, and realistic specification or purchase description is available; two or more responsible bidders are willing and able to compete effectively for the work; the procurement lends itself to a firm fixed price contract; and the sel</w:t>
      </w:r>
      <w:r>
        <w:t>ection of the successful bidder can be made principally on the basis of price. Sealed bidding is the preferred method for construction procurement. For professional services contracts, sealed bidding should not be used.</w:t>
      </w:r>
    </w:p>
    <w:p w:rsidR="003E0109" w:rsidRDefault="00F544A3">
      <w:pPr>
        <w:pStyle w:val="List2"/>
      </w:pPr>
      <w:r>
        <w:t>2.</w:t>
      </w:r>
      <w:r>
        <w:tab/>
        <w:t>Solicitations and Receipt of Bids</w:t>
      </w:r>
      <w:r>
        <w:t>.</w:t>
      </w:r>
    </w:p>
    <w:p w:rsidR="003E0109" w:rsidRDefault="00F544A3">
      <w:pPr>
        <w:pStyle w:val="List3"/>
      </w:pPr>
      <w:r>
        <w:t>a.</w:t>
      </w:r>
      <w:r>
        <w:tab/>
      </w:r>
      <w:r>
        <w:rPr>
          <w:b/>
          <w:u w:val="single"/>
        </w:rPr>
        <w:t>Issuance and amendments</w:t>
      </w:r>
      <w:r>
        <w:t>. An invitation for bids shall be issued including specifications and all contractual terms and conditions applicable to the procurement. Any amendments to the invitation shall be in writing, and if it is necessary to issue an amendment within seven days o</w:t>
      </w:r>
      <w:r>
        <w:t xml:space="preserve">f the bid opening, the bid opening shall be postponed until at least seven days after the issuance of the amendment. The invitation for bids shall state the time and place for both the receipt of bids and the public bid opening. All bids received shall be </w:t>
      </w:r>
      <w:r>
        <w:t xml:space="preserve">time-stamped but not opened and shall be stored in a secure place until bid opening. A bidder may withdraw its bid at any time </w:t>
      </w:r>
      <w:r>
        <w:rPr>
          <w:u w:val="single"/>
        </w:rPr>
        <w:t>prior</w:t>
      </w:r>
      <w:r>
        <w:t xml:space="preserve"> to bid opening.</w:t>
      </w:r>
    </w:p>
    <w:p w:rsidR="003E0109" w:rsidRDefault="00F544A3">
      <w:pPr>
        <w:pStyle w:val="List3"/>
      </w:pPr>
      <w:r>
        <w:lastRenderedPageBreak/>
        <w:t>b.</w:t>
      </w:r>
      <w:r>
        <w:tab/>
      </w:r>
      <w:r>
        <w:rPr>
          <w:b/>
          <w:u w:val="single"/>
        </w:rPr>
        <w:t>Indian Preference</w:t>
      </w:r>
      <w:r>
        <w:t xml:space="preserve">. A Tribe has several options to meet Indian preference requirements.  The decision of </w:t>
      </w:r>
      <w:r>
        <w:t>what particular option to use should be made well in advance of the solicitation process and based on the potential availability of Indian-owned firms capable and willing to bid or propose on a particular contract.</w:t>
      </w:r>
    </w:p>
    <w:p w:rsidR="003E0109" w:rsidRDefault="00F544A3">
      <w:pPr>
        <w:pStyle w:val="List4"/>
      </w:pPr>
      <w:r>
        <w:t>(1)</w:t>
      </w:r>
      <w:r>
        <w:tab/>
        <w:t>A Tribe may develop and adopt policie</w:t>
      </w:r>
      <w:r>
        <w:t>s and procedures in procurement activities consistent with the requirements of section 7(b) of the Indian Self-Determination and Education Act, OR</w:t>
      </w:r>
    </w:p>
    <w:p w:rsidR="003E0109" w:rsidRDefault="00F544A3">
      <w:pPr>
        <w:pStyle w:val="List4"/>
      </w:pPr>
      <w:r>
        <w:t>(2)</w:t>
      </w:r>
      <w:r>
        <w:tab/>
        <w:t>A Tribe may restrict the solicitation to qualified Indian-owned economic enterprises and Indian organizat</w:t>
      </w:r>
      <w:r>
        <w:t xml:space="preserve">ions if the Tribe has a reasonable expectation of receiving at least </w:t>
      </w:r>
      <w:r>
        <w:rPr>
          <w:u w:val="single"/>
        </w:rPr>
        <w:t>two</w:t>
      </w:r>
      <w:r>
        <w:t xml:space="preserve"> bids, OR</w:t>
      </w:r>
    </w:p>
    <w:p w:rsidR="003E0109" w:rsidRDefault="00F544A3">
      <w:pPr>
        <w:pStyle w:val="List4"/>
      </w:pPr>
      <w:r>
        <w:t>(3)</w:t>
      </w:r>
      <w:r>
        <w:tab/>
        <w:t xml:space="preserve">If a Tribe is not sure there are a sufficient number of Indian owned economic enterprises or organizations available or that they will receive at least two bids, a Tribe </w:t>
      </w:r>
      <w:r>
        <w:t>may use a two stage preference procedure as follows:</w:t>
      </w:r>
    </w:p>
    <w:p w:rsidR="003E0109" w:rsidRDefault="00F544A3">
      <w:pPr>
        <w:pStyle w:val="Indent4"/>
      </w:pPr>
      <w:r>
        <w:rPr>
          <w:b/>
          <w:u w:val="single"/>
        </w:rPr>
        <w:t>Stage 1</w:t>
      </w:r>
      <w:r>
        <w:t xml:space="preserve"> – Invite or otherwise solicit from Indian-owned economic enterprises to submit a statement of intent to respond to the bid announcement limited to Indian-owned economic enterprises.</w:t>
      </w:r>
    </w:p>
    <w:p w:rsidR="003E0109" w:rsidRDefault="00F544A3">
      <w:pPr>
        <w:pStyle w:val="Indent4"/>
      </w:pPr>
      <w:r>
        <w:rPr>
          <w:b/>
          <w:u w:val="single"/>
        </w:rPr>
        <w:t>Stage 2</w:t>
      </w:r>
      <w:r>
        <w:t xml:space="preserve"> – If responses are received from more than one qualified Indian-owned economic enterprise, advertise for bids limited to Indian-owned economic enterprises.</w:t>
      </w:r>
    </w:p>
    <w:p w:rsidR="003E0109" w:rsidRDefault="00F544A3">
      <w:pPr>
        <w:pStyle w:val="List2"/>
      </w:pPr>
      <w:r>
        <w:t>3.</w:t>
      </w:r>
      <w:r>
        <w:tab/>
      </w:r>
      <w:r>
        <w:rPr>
          <w:b/>
          <w:u w:val="single"/>
        </w:rPr>
        <w:t>Bid Opening</w:t>
      </w:r>
      <w:r>
        <w:t>. Bids shall be opened publicly and in the presence of at least one witness. An abstr</w:t>
      </w:r>
      <w:r>
        <w:t>act of bids shall be recorded and made available for public inspection.</w:t>
      </w:r>
    </w:p>
    <w:p w:rsidR="003E0109" w:rsidRDefault="00F544A3">
      <w:pPr>
        <w:pStyle w:val="List2"/>
      </w:pPr>
      <w:r>
        <w:t>4.</w:t>
      </w:r>
      <w:r>
        <w:tab/>
      </w:r>
      <w:r>
        <w:rPr>
          <w:b/>
          <w:u w:val="single"/>
        </w:rPr>
        <w:t>Award</w:t>
      </w:r>
      <w:r>
        <w:t>. Award shall be made to the lowest responsive and responsible bidder provided in the invitation for bids by written notice to the successful bidder, as follows:</w:t>
      </w:r>
    </w:p>
    <w:p w:rsidR="003E0109" w:rsidRDefault="00F544A3">
      <w:pPr>
        <w:pStyle w:val="List3"/>
      </w:pPr>
      <w:r>
        <w:t xml:space="preserve">a.  </w:t>
      </w:r>
      <w:r>
        <w:tab/>
      </w:r>
      <w:r>
        <w:rPr>
          <w:b/>
          <w:u w:val="single"/>
        </w:rPr>
        <w:t>Restricte</w:t>
      </w:r>
      <w:r>
        <w:rPr>
          <w:b/>
          <w:u w:val="single"/>
        </w:rPr>
        <w:t>d solicitations</w:t>
      </w:r>
      <w:r>
        <w:t>. If the solicitation is restricted to Indian-owned economic enterprises and organizations, and two or more [or a greater number determined by the Tribe and stated in the invitation] qualified Indian owned economic enterprises or organizatio</w:t>
      </w:r>
      <w:r>
        <w:t>ns submit responsive bids, award shall be made to the qualified enterprise or organization with the lowest responsive bid. If equal low bids are received, award shall be made by drawing lots or similar random method. If fewer than two responsive and respon</w:t>
      </w:r>
      <w:r>
        <w:t>sible bids from qualified Indian¬ owned economic enterprises or organizations submit bids, the Tribe shall evaluate its options to reject all bids, cancel the solicitation and re-advertise: 1. using any of the procedures in III(D)(2)(b) above, or 2. inviti</w:t>
      </w:r>
      <w:r>
        <w:t xml:space="preserve">ng bids from non-Indian as well as Indian-owned economic enterprises and organizations with no preference given, or 3. The Tribe may accept a single bid received from a responsible bidder, subject to </w:t>
      </w:r>
      <w:r>
        <w:lastRenderedPageBreak/>
        <w:t xml:space="preserve">funding agency approval, in unusual circumstances, such </w:t>
      </w:r>
      <w:r>
        <w:t xml:space="preserve">as if the Tribe determines that, based on a cost analysis, the bid price is fair and reasonable, and the Tribe determines that the delay of re-advertising would subject the project to significant higher construction costs. </w:t>
      </w:r>
    </w:p>
    <w:p w:rsidR="003E0109" w:rsidRDefault="00F544A3">
      <w:pPr>
        <w:pStyle w:val="List3"/>
      </w:pPr>
      <w:r>
        <w:t>b.</w:t>
      </w:r>
      <w:r>
        <w:tab/>
      </w:r>
      <w:r>
        <w:rPr>
          <w:b/>
          <w:u w:val="single"/>
        </w:rPr>
        <w:t>Unrestricted solicitations</w:t>
      </w:r>
      <w:r>
        <w:t>. I</w:t>
      </w:r>
      <w:r>
        <w:t>f the solicitation is not restricted to Indian-owned economic enterprises and organizations, award shall be made to the qualified Indian-owned economic enterprise or organization with the lowest responsive bid, if that bid is within the maximum total contr</w:t>
      </w:r>
      <w:r>
        <w:t>act price established for the specific project or activity being solicited, and the bid is within the range specified in the Attachment to this Statement. If no responsive bid by a qualified Indian-owned economic enterprise or organization is within this r</w:t>
      </w:r>
      <w:r>
        <w:t>ange, award shall be made to the lowest responsible, responsive bidder.</w:t>
      </w:r>
    </w:p>
    <w:p w:rsidR="003E0109" w:rsidRDefault="00F544A3">
      <w:pPr>
        <w:pStyle w:val="List2"/>
      </w:pPr>
      <w:r>
        <w:t>5.</w:t>
      </w:r>
      <w:r>
        <w:tab/>
        <w:t>Mistakes in Bids.</w:t>
      </w:r>
    </w:p>
    <w:p w:rsidR="003E0109" w:rsidRDefault="00F544A3">
      <w:pPr>
        <w:pStyle w:val="List3"/>
      </w:pPr>
      <w:r>
        <w:t>a.</w:t>
      </w:r>
      <w:r>
        <w:tab/>
        <w:t>Correction or withdrawal of inadvertently erroneous bids may be permitted, where appropriate, before bid opening by written or telegraphic notice received in th</w:t>
      </w:r>
      <w:r>
        <w:t xml:space="preserve">e office designated in the invitation for bids </w:t>
      </w:r>
      <w:r>
        <w:rPr>
          <w:u w:val="single"/>
        </w:rPr>
        <w:t>prior to the time set for bid opening</w:t>
      </w:r>
      <w:r>
        <w:t xml:space="preserve">. After bid opening, corrections in bids shall be permitted </w:t>
      </w:r>
      <w:r>
        <w:rPr>
          <w:u w:val="single"/>
        </w:rPr>
        <w:t>only if the bidder can show</w:t>
      </w:r>
      <w:r>
        <w:t xml:space="preserve"> by clear and convincing evidence that a mistake of a </w:t>
      </w:r>
      <w:r>
        <w:rPr>
          <w:u w:val="single"/>
        </w:rPr>
        <w:t>nonjudgmental character</w:t>
      </w:r>
      <w:r>
        <w:t xml:space="preserve"> was mad</w:t>
      </w:r>
      <w:r>
        <w:t xml:space="preserve">e, the nature of the mistake, and the bid price actually intended. A low bidder alleging a nonjudgmental mistake may be permitted to </w:t>
      </w:r>
      <w:r>
        <w:rPr>
          <w:u w:val="single"/>
        </w:rPr>
        <w:t>withdraw its bid</w:t>
      </w:r>
      <w:r>
        <w:t xml:space="preserve"> if the mistake is clearly evident on the face of the bid document but the intended bid is clear or the bid</w:t>
      </w:r>
      <w:r>
        <w:t xml:space="preserve">der submits convincing evidence that a mistake was made. </w:t>
      </w:r>
    </w:p>
    <w:p w:rsidR="003E0109" w:rsidRDefault="00F544A3">
      <w:pPr>
        <w:pStyle w:val="List3"/>
      </w:pPr>
      <w:r>
        <w:t>b.</w:t>
      </w:r>
      <w:r>
        <w:tab/>
        <w:t>All decisions to allow correction or withdrawal of bid mistakes shall be supported by a written determination signed by the Contracting Officer. After bid opening, no changes in bid prices or oth</w:t>
      </w:r>
      <w:r>
        <w:t>er provisions of bids prejudicial to the interest of the Tribe or fair competition shall be permitted.</w:t>
      </w:r>
    </w:p>
    <w:p w:rsidR="003E0109" w:rsidRDefault="00F544A3">
      <w:pPr>
        <w:pStyle w:val="Heading2"/>
      </w:pPr>
      <w:r>
        <w:t>E.</w:t>
      </w:r>
      <w:r>
        <w:tab/>
        <w:t>Competitive Proposals</w:t>
      </w:r>
    </w:p>
    <w:p w:rsidR="003E0109" w:rsidRDefault="00F544A3">
      <w:pPr>
        <w:pStyle w:val="List2"/>
      </w:pPr>
      <w:r>
        <w:t>1.</w:t>
      </w:r>
      <w:r>
        <w:tab/>
      </w:r>
      <w:r>
        <w:rPr>
          <w:b/>
          <w:u w:val="single"/>
        </w:rPr>
        <w:t>Conditions for Use</w:t>
      </w:r>
      <w:r>
        <w:rPr>
          <w:u w:val="single"/>
        </w:rPr>
        <w:t>.</w:t>
      </w:r>
      <w:r>
        <w:t xml:space="preserve"> Competitive proposals (including turnkey proposals for development) may be used if there is an adequate m</w:t>
      </w:r>
      <w:r>
        <w:t>ethod of evaluating technical proposals and where the Tribe determines that conditions are not appropriate for the use of sealed bidding. An adequate number of qualified sources shall be solicited.</w:t>
      </w:r>
    </w:p>
    <w:p w:rsidR="003E0109" w:rsidRDefault="00F544A3">
      <w:pPr>
        <w:pStyle w:val="List2"/>
      </w:pPr>
      <w:r>
        <w:t>2.</w:t>
      </w:r>
      <w:r>
        <w:tab/>
      </w:r>
      <w:r>
        <w:rPr>
          <w:b/>
          <w:bCs/>
          <w:u w:val="single"/>
        </w:rPr>
        <w:t>Solicitation.</w:t>
      </w:r>
    </w:p>
    <w:p w:rsidR="003E0109" w:rsidRDefault="00F544A3">
      <w:pPr>
        <w:pStyle w:val="List3"/>
      </w:pPr>
      <w:r>
        <w:lastRenderedPageBreak/>
        <w:t>a.</w:t>
      </w:r>
      <w:r>
        <w:tab/>
      </w:r>
      <w:r>
        <w:rPr>
          <w:b/>
          <w:u w:val="single"/>
        </w:rPr>
        <w:t>General</w:t>
      </w:r>
      <w:r>
        <w:t>. The request for proposals (RF</w:t>
      </w:r>
      <w:r>
        <w:t>P) may be restricted to qualified Indian-owned economic enterprises and Indian organizations if the Tribe has a reasonable expectation of receiving offers from two [or a greater number stated in the RFP] such entities. The Tribe shall solicit proposals fro</w:t>
      </w:r>
      <w:r>
        <w:t>m non-Indian as well as Indian-owned economic enterprises and Indian-organizations if: the Tribe prefers not to restrict the RFP; or, an insufficient number of qualified Indian-¬owned economic enterprises or Indian organizations satisfactorily respond to a</w:t>
      </w:r>
      <w:r>
        <w:t xml:space="preserve"> restricted RFP; or, a single proposal is received but not accepted. A mechanism for fairly and thoroughly evaluating the technical and price proposals shall be established before the solicitation is issued. Proposals shall be handled so as to prevent disc</w:t>
      </w:r>
      <w:r>
        <w:t xml:space="preserve">losure of the number of offerors, identity of the offerors, and the contents of their proposals. </w:t>
      </w:r>
    </w:p>
    <w:p w:rsidR="003E0109" w:rsidRDefault="00F544A3">
      <w:pPr>
        <w:pStyle w:val="List3"/>
      </w:pPr>
      <w:r>
        <w:t>b.</w:t>
      </w:r>
      <w:r>
        <w:tab/>
      </w:r>
      <w:r>
        <w:rPr>
          <w:b/>
          <w:u w:val="single"/>
        </w:rPr>
        <w:t>Evaluation Factors</w:t>
      </w:r>
      <w:r>
        <w:t>. The RFP shall clearly identify the relative importance of price and other evaluation factors and sub factors, including the weight give</w:t>
      </w:r>
      <w:r>
        <w:t>n to each technical factor and sub factor.  The Tribe shall reserve ____% of the total number of available rating points in unrestricted solicitations for the provision of Indian preference in the award of contracts and subcontracts, and up to an additiona</w:t>
      </w:r>
      <w:r>
        <w:t>l _____% for evaluation of the offeror's statement regarding training and employment of Indians. The proposals shall be evaluated only on the criteria stated in the request for proposals.</w:t>
      </w:r>
    </w:p>
    <w:p w:rsidR="003E0109" w:rsidRDefault="00F544A3">
      <w:pPr>
        <w:pStyle w:val="List2"/>
      </w:pPr>
      <w:r>
        <w:t>3.</w:t>
      </w:r>
      <w:r>
        <w:tab/>
      </w:r>
      <w:r>
        <w:rPr>
          <w:b/>
          <w:u w:val="single"/>
        </w:rPr>
        <w:t>Negotiations</w:t>
      </w:r>
      <w:r>
        <w:rPr>
          <w:u w:val="single"/>
        </w:rPr>
        <w:t>.</w:t>
      </w:r>
      <w:r>
        <w:t xml:space="preserve"> In those situations where deemed necessary, negotia</w:t>
      </w:r>
      <w:r>
        <w:t>tions shall be conducted with offerors who submit proposals determined to have a reasonable chance of being selected for award, based on evaluation against the technical and price factors as specified in the RFP. Such offerors shall be accorded fair and eq</w:t>
      </w:r>
      <w:r>
        <w:t>ual treatment with respect to any opportunity for negotiation and revision of proposals. The purpose of negotiations shall be to seek clarification with regard to and advise offerors of the deficiencies in both the technical and price aspects of their prop</w:t>
      </w:r>
      <w:r>
        <w:t>osals so as to assure full understanding of and conformance to the solicitation requirements. No offeror shall be provided information about any other offeror's proposal, and no offeror shall be assisted in bringing its proposal up to the level of any othe</w:t>
      </w:r>
      <w:r>
        <w:t xml:space="preserve">r proposal. Offerors shall not be directed to reduce their proposed prices to a specific amount in order to be considered for award. A common deadline shall be established for receipt of proposal revisions based on negotiations. </w:t>
      </w:r>
    </w:p>
    <w:p w:rsidR="003E0109" w:rsidRDefault="00F544A3">
      <w:pPr>
        <w:pStyle w:val="List2"/>
      </w:pPr>
      <w:r>
        <w:t>4.</w:t>
      </w:r>
      <w:r>
        <w:tab/>
      </w:r>
      <w:r>
        <w:rPr>
          <w:b/>
          <w:u w:val="single"/>
        </w:rPr>
        <w:t>Award</w:t>
      </w:r>
      <w:r>
        <w:rPr>
          <w:u w:val="single"/>
        </w:rPr>
        <w:t>.</w:t>
      </w:r>
      <w:r>
        <w:t xml:space="preserve"> After evaluation</w:t>
      </w:r>
      <w:r>
        <w:t xml:space="preserve"> of proposal revisions, if any, the contract shall be awarded to the responsible firm whose qualifications, price and other factors considered, are the most advantageous to the Tribe, provided that the price is within the maximum total contract price estab</w:t>
      </w:r>
      <w:r>
        <w:t xml:space="preserve">lished for the specific project or activity. For solicitations restricted to qualified Indian-owned economic enterprises and Indian organizations, if two [or a greater number stated in the RFP] such entities submit acceptable proposals, award </w:t>
      </w:r>
      <w:r>
        <w:lastRenderedPageBreak/>
        <w:t>shall be made</w:t>
      </w:r>
      <w:r>
        <w:t xml:space="preserve"> to the qualified Indian-owned economic enterprise or Indian organization with the best proposal, provided that the price is within the maximum total price established for the specific project or activity. If fewer than this number of Indian-owned economic</w:t>
      </w:r>
      <w:r>
        <w:t xml:space="preserve"> enterprises or Indian organizations submits acceptable proposals, the Tribe shall reject all proposals and resolicit without restricting the RFP to qualified Indian-owned economic enterprises and Indian organizations. The Tribe may accept the sole proposa</w:t>
      </w:r>
      <w:r>
        <w:t>l received, subject to funding agency approval, in unusual circumstances, such as when the Tribe determines that the delays caused by resoliciting would cause higher costs, or where the Tribe determines that the proposal has a fair and reasonable price.</w:t>
      </w:r>
    </w:p>
    <w:p w:rsidR="003E0109" w:rsidRDefault="00F544A3">
      <w:pPr>
        <w:pStyle w:val="List2"/>
      </w:pPr>
      <w:r>
        <w:t>5.</w:t>
      </w:r>
      <w:r>
        <w:t xml:space="preserve"> </w:t>
      </w:r>
      <w:r>
        <w:tab/>
      </w:r>
      <w:r>
        <w:rPr>
          <w:b/>
          <w:u w:val="single"/>
        </w:rPr>
        <w:t>Architect Engineer Services</w:t>
      </w:r>
      <w:r>
        <w:rPr>
          <w:u w:val="single"/>
        </w:rPr>
        <w:t>.</w:t>
      </w:r>
      <w:r>
        <w:t xml:space="preserve"> Architect Engineer services in excess of the small purchase limitation may be obtained by either the competitive proposals method or qualifications-based selection procedures, Sealed bidding shall not be used to obtain archit</w:t>
      </w:r>
      <w:r>
        <w:t>ect/engineering services. Under qualifications-based selection procedures, competitors' qualifications are evaluated and the most qualified competitor is selected, subject to the negotiation of fair and reasonable compensation. These procedures shall not b</w:t>
      </w:r>
      <w:r>
        <w:t>e used to purchase other types of services even though architect-engineer firms are potential sources.</w:t>
      </w:r>
    </w:p>
    <w:p w:rsidR="003E0109" w:rsidRDefault="00F544A3">
      <w:pPr>
        <w:pStyle w:val="Heading2"/>
      </w:pPr>
      <w:r>
        <w:t>F.</w:t>
      </w:r>
      <w:r>
        <w:tab/>
        <w:t>Noncompetitive Proposals</w:t>
      </w:r>
    </w:p>
    <w:p w:rsidR="003E0109" w:rsidRDefault="00F544A3">
      <w:pPr>
        <w:pStyle w:val="List2"/>
      </w:pPr>
      <w:r>
        <w:t>1.</w:t>
      </w:r>
      <w:r>
        <w:tab/>
      </w:r>
      <w:r>
        <w:rPr>
          <w:b/>
          <w:u w:val="single"/>
        </w:rPr>
        <w:t>Conditions for use</w:t>
      </w:r>
      <w:r>
        <w:rPr>
          <w:u w:val="single"/>
        </w:rPr>
        <w:t xml:space="preserve">. </w:t>
      </w:r>
      <w:r>
        <w:t>Procurements shall be conducted competitively to the maximum extent possible. Procurement by noncompet</w:t>
      </w:r>
      <w:r>
        <w:t xml:space="preserve">itive proposals may be used only when the award of a contract is not feasible using small purchase procedures, sealed bids, or competitive proposals, and one of the following applies: </w:t>
      </w:r>
    </w:p>
    <w:p w:rsidR="003E0109" w:rsidRDefault="00F544A3">
      <w:pPr>
        <w:pStyle w:val="List3"/>
      </w:pPr>
      <w:r>
        <w:t>a.</w:t>
      </w:r>
      <w:r>
        <w:tab/>
        <w:t>An emergency exists that seriously threatens the public health, welf</w:t>
      </w:r>
      <w:r>
        <w:t xml:space="preserve">are, or safety, or endangers property, or would otherwise cause serious injury to the Tribe, as may arise by reason of a flood, earthquake, epidemic, riot, equipment failure, or similar event. In such cases, there must be an immediate and serious need for </w:t>
      </w:r>
      <w:r>
        <w:t xml:space="preserve">supplies, services, or construction such that the need cannot be met through any other procurement methods, and the emergency procurement shall be limited to those supplies, services, or construction necessary to meet the emergency; or </w:t>
      </w:r>
    </w:p>
    <w:p w:rsidR="003E0109" w:rsidRDefault="00F544A3">
      <w:pPr>
        <w:pStyle w:val="List3"/>
      </w:pPr>
      <w:r>
        <w:t>b.</w:t>
      </w:r>
      <w:r>
        <w:tab/>
      </w:r>
      <w:r>
        <w:t xml:space="preserve">Only one source of supply is available, and the Contracting Officer so certifies in writing; or </w:t>
      </w:r>
    </w:p>
    <w:p w:rsidR="003E0109" w:rsidRDefault="00F544A3">
      <w:pPr>
        <w:pStyle w:val="List3"/>
      </w:pPr>
      <w:r>
        <w:t>c.</w:t>
      </w:r>
      <w:r>
        <w:tab/>
        <w:t>After solicitation of a number of sources, competition is determined inadequate; or</w:t>
      </w:r>
    </w:p>
    <w:p w:rsidR="003E0109" w:rsidRDefault="00F544A3">
      <w:pPr>
        <w:pStyle w:val="List3"/>
      </w:pPr>
      <w:r>
        <w:t>d.</w:t>
      </w:r>
      <w:r>
        <w:tab/>
        <w:t>The funding agency specifically authorizes the use.</w:t>
      </w:r>
    </w:p>
    <w:p w:rsidR="003E0109" w:rsidRDefault="00F544A3">
      <w:pPr>
        <w:pStyle w:val="List2"/>
      </w:pPr>
      <w:r>
        <w:t>2.</w:t>
      </w:r>
      <w:r>
        <w:tab/>
      </w:r>
      <w:r>
        <w:rPr>
          <w:b/>
          <w:u w:val="single"/>
        </w:rPr>
        <w:t>Justification</w:t>
      </w:r>
      <w:r>
        <w:rPr>
          <w:u w:val="single"/>
        </w:rPr>
        <w:t>.</w:t>
      </w:r>
      <w:r>
        <w:rPr>
          <w:u w:val="single"/>
        </w:rPr>
        <w:t xml:space="preserve"> </w:t>
      </w:r>
      <w:r>
        <w:t>Each procurement based on noncompetitive proposals shall be supported by a written justification for using such procedures, including information to detail one of the four reasons above. The justification shall be approved in writing by the Contracting Of</w:t>
      </w:r>
      <w:r>
        <w:t xml:space="preserve">ficer. </w:t>
      </w:r>
    </w:p>
    <w:p w:rsidR="003E0109" w:rsidRDefault="00F544A3">
      <w:pPr>
        <w:pStyle w:val="List2"/>
      </w:pPr>
      <w:r>
        <w:lastRenderedPageBreak/>
        <w:t>3.</w:t>
      </w:r>
      <w:r>
        <w:tab/>
      </w:r>
      <w:r>
        <w:rPr>
          <w:b/>
          <w:u w:val="single"/>
        </w:rPr>
        <w:t>Price reasonableness</w:t>
      </w:r>
      <w:r>
        <w:rPr>
          <w:u w:val="single"/>
        </w:rPr>
        <w:t>.</w:t>
      </w:r>
      <w:r>
        <w:t xml:space="preserve"> The reasonableness of the price for all procurements based on noncompetitive proposals shall be determined by performing a cost analysis.</w:t>
      </w:r>
    </w:p>
    <w:p w:rsidR="003E0109" w:rsidRDefault="00F544A3">
      <w:pPr>
        <w:pStyle w:val="Heading2"/>
      </w:pPr>
      <w:r>
        <w:t>G.</w:t>
      </w:r>
      <w:r>
        <w:tab/>
        <w:t>Cancellation of Solicitations</w:t>
      </w:r>
    </w:p>
    <w:p w:rsidR="003E0109" w:rsidRDefault="00F544A3">
      <w:pPr>
        <w:pStyle w:val="List2"/>
      </w:pPr>
      <w:r>
        <w:t>1.</w:t>
      </w:r>
      <w:r>
        <w:tab/>
        <w:t>An invitation for bids, request for proposals, or</w:t>
      </w:r>
      <w:r>
        <w:t xml:space="preserve"> other solicitation may be cancelled before offers are due if: the Tribe no longer requires the supplies, services or construction; or, the Tribe can no longer reasonably expect to fund the procurement; or, proposed amendments to the solicitation would be </w:t>
      </w:r>
      <w:r>
        <w:t>of such magnitude that a new solicitation would be desirable; or similar reasons.</w:t>
      </w:r>
    </w:p>
    <w:p w:rsidR="003E0109" w:rsidRDefault="00F544A3">
      <w:pPr>
        <w:pStyle w:val="List2"/>
      </w:pPr>
      <w:r>
        <w:t>2.</w:t>
      </w:r>
      <w:r>
        <w:tab/>
        <w:t>A solicitation may be cancelled and all bids or proposals that have already been received may be rejected if: the supplies, services, or construction are no longer require</w:t>
      </w:r>
      <w:r>
        <w:t xml:space="preserve">d; or, ambiguous or otherwise inadequate specifications were part of the solicitation; or, the solicitation did not provide for consideration of all factors of significance to the Tribe; or, prices exceed available funds and it would not be appropriate to </w:t>
      </w:r>
      <w:r>
        <w:t>adjust quantities to come within available funds; or, there is reason to believe that bids or proposals may not have been independently arrived at in open competition, may have been collusive, or may have been submitted in bad faith; or, a condition for ca</w:t>
      </w:r>
      <w:r>
        <w:t>nceling a solicitation and resolicit, as specified above, is met; or, for good cause of a similar nature when it is in the best interest of the Tribe.</w:t>
      </w:r>
    </w:p>
    <w:p w:rsidR="003E0109" w:rsidRDefault="00F544A3">
      <w:pPr>
        <w:pStyle w:val="List2"/>
      </w:pPr>
      <w:r>
        <w:t>3.</w:t>
      </w:r>
      <w:r>
        <w:tab/>
        <w:t>The reasons for cancellation shall be documented in the procurement file and the reasons for cancellat</w:t>
      </w:r>
      <w:r>
        <w:t>ion and/or rejection shall be provided upon request to any offeror solicited. A notice of cancellation shall be sent to all offerors solicited.</w:t>
      </w:r>
    </w:p>
    <w:p w:rsidR="003E0109" w:rsidRDefault="00F544A3">
      <w:pPr>
        <w:pStyle w:val="Heading1"/>
      </w:pPr>
      <w:r>
        <w:t>IV.</w:t>
      </w:r>
      <w:r>
        <w:tab/>
        <w:t>Cost and Price Analysis</w:t>
      </w:r>
    </w:p>
    <w:p w:rsidR="003E0109" w:rsidRDefault="00F544A3">
      <w:pPr>
        <w:pStyle w:val="Heading2"/>
      </w:pPr>
      <w:r>
        <w:t>A.</w:t>
      </w:r>
      <w:r>
        <w:tab/>
        <w:t>General</w:t>
      </w:r>
    </w:p>
    <w:p w:rsidR="003E0109" w:rsidRDefault="00F544A3">
      <w:pPr>
        <w:pStyle w:val="Indent2"/>
      </w:pPr>
      <w:r>
        <w:t xml:space="preserve">A cost or price analysis shall be performed for all procurement actions </w:t>
      </w:r>
      <w:r>
        <w:t>in excess of the Simplified Acquisition Threshold, including contract modifications. The degree of analysis shall depend on the facts surrounding each procurement. The Tribe shall perform an independent cost or price estimate prior to receiving bids or pro</w:t>
      </w:r>
      <w:r>
        <w:t>posals.  A cost or price analysis may also be required for smaller purchases at the discretion of the Tribe.</w:t>
      </w:r>
    </w:p>
    <w:p w:rsidR="003E0109" w:rsidRDefault="00F544A3">
      <w:pPr>
        <w:pStyle w:val="Heading2"/>
      </w:pPr>
      <w:r>
        <w:t>B.</w:t>
      </w:r>
      <w:r>
        <w:tab/>
        <w:t xml:space="preserve">Price Analysis </w:t>
      </w:r>
    </w:p>
    <w:p w:rsidR="003E0109" w:rsidRDefault="00F544A3">
      <w:pPr>
        <w:pStyle w:val="Indent2"/>
      </w:pPr>
      <w:r>
        <w:t>A Price Analysis shall be conducted on any competitive proposals (e.g., when contracting for professional, consulting, or archit</w:t>
      </w:r>
      <w:r>
        <w:t xml:space="preserve">ect/engineer services) prior to awarding a contract.  </w:t>
      </w:r>
    </w:p>
    <w:p w:rsidR="003E0109" w:rsidRDefault="00F544A3">
      <w:pPr>
        <w:pStyle w:val="Heading2"/>
      </w:pPr>
      <w:r>
        <w:lastRenderedPageBreak/>
        <w:t>C.</w:t>
      </w:r>
      <w:r>
        <w:tab/>
        <w:t xml:space="preserve">Cost Analysis </w:t>
      </w:r>
    </w:p>
    <w:p w:rsidR="003E0109" w:rsidRDefault="00F544A3">
      <w:pPr>
        <w:pStyle w:val="Indent2"/>
      </w:pPr>
      <w:r>
        <w:t xml:space="preserve">A Cost Analysis shall be conducted for all sealed bid prior to awarding a contract and for all noncompetitive proposals. </w:t>
      </w:r>
    </w:p>
    <w:p w:rsidR="003E0109" w:rsidRDefault="003E0109">
      <w:pPr>
        <w:pStyle w:val="List2"/>
      </w:pPr>
    </w:p>
    <w:p w:rsidR="003E0109" w:rsidRDefault="00F544A3">
      <w:pPr>
        <w:pStyle w:val="Heading1"/>
      </w:pPr>
      <w:r>
        <w:t>V.</w:t>
      </w:r>
      <w:r>
        <w:tab/>
        <w:t>Contractor Qualifications and Duties</w:t>
      </w:r>
    </w:p>
    <w:p w:rsidR="003E0109" w:rsidRDefault="00F544A3">
      <w:pPr>
        <w:pStyle w:val="Heading2"/>
      </w:pPr>
      <w:r>
        <w:t>A.</w:t>
      </w:r>
      <w:r>
        <w:tab/>
        <w:t>Contractor Respon</w:t>
      </w:r>
      <w:r>
        <w:t>sibility</w:t>
      </w:r>
    </w:p>
    <w:p w:rsidR="003E0109" w:rsidRDefault="00F544A3">
      <w:pPr>
        <w:pStyle w:val="Indent2"/>
      </w:pPr>
      <w:r>
        <w:t>Procurements shall be conducted only with responsible contractors, i.e., those who have the technical and financial competence to perform and who have a satisfactory record of integrity. Before awarding a contract, the Tribe shall review the propo</w:t>
      </w:r>
      <w:r>
        <w:t>sed contractor's ability to perform the contract successfully, considering factors such as the contractor's integrity (including a review of the List of Parties Excluded from Federal Procurement and Non-procurement Programs published by the U.S. General Se</w:t>
      </w:r>
      <w:r>
        <w:t xml:space="preserve">rvices Administration), compliance with public policy, record of past performance (including contacting previous clients of the contractor, such as other Tribes), and financial, administrative, and technical capability to perform contract work of the size </w:t>
      </w:r>
      <w:r>
        <w:t>and type involved and within the time provided under the contract.  If a prospective contractor is found to be non-responsible, a written determination of non-responsibility shall be prepared and included in the contract file, and the prospective contracto</w:t>
      </w:r>
      <w:r>
        <w:t>r shall be advised of the reasons for the determination.</w:t>
      </w:r>
    </w:p>
    <w:p w:rsidR="003E0109" w:rsidRDefault="00F544A3">
      <w:pPr>
        <w:pStyle w:val="Heading2"/>
      </w:pPr>
      <w:r>
        <w:t>B.</w:t>
      </w:r>
      <w:r>
        <w:tab/>
        <w:t>Bonding Requirements</w:t>
      </w:r>
    </w:p>
    <w:p w:rsidR="003E0109" w:rsidRDefault="00F544A3">
      <w:pPr>
        <w:pStyle w:val="List2"/>
        <w:ind w:firstLine="0"/>
        <w:rPr>
          <w:rFonts w:cs="Arial"/>
        </w:rPr>
      </w:pPr>
      <w:r>
        <w:rPr>
          <w:b/>
          <w:w w:val="105"/>
        </w:rPr>
        <w:t xml:space="preserve">Minimum Requirements.  </w:t>
      </w:r>
      <w:r>
        <w:rPr>
          <w:w w:val="105"/>
        </w:rPr>
        <w:t>For construction or facility improvement contracts or subcontracts exceeding the Simplified Acquisition Threshold, the Tribe shall implement the followi</w:t>
      </w:r>
      <w:r>
        <w:rPr>
          <w:w w:val="105"/>
        </w:rPr>
        <w:t>ng bonding requirements:</w:t>
      </w:r>
    </w:p>
    <w:p w:rsidR="003E0109" w:rsidRDefault="00F544A3">
      <w:pPr>
        <w:pStyle w:val="List3"/>
      </w:pPr>
      <w:r>
        <w:rPr>
          <w:w w:val="105"/>
        </w:rPr>
        <w:t>a.</w:t>
      </w:r>
      <w:r>
        <w:rPr>
          <w:w w:val="105"/>
        </w:rPr>
        <w:tab/>
        <w:t>A bid guarantee from each bidder equivalent to five percent of the bid price. The “bid guarantee” must consist of a firm commitment such</w:t>
      </w:r>
      <w:r>
        <w:rPr>
          <w:spacing w:val="89"/>
          <w:w w:val="105"/>
        </w:rPr>
        <w:t xml:space="preserve"> </w:t>
      </w:r>
      <w:r>
        <w:rPr>
          <w:w w:val="105"/>
        </w:rPr>
        <w:t>as a bid bond, certified check, or other negotiable instrument accompanying a bid as assura</w:t>
      </w:r>
      <w:r>
        <w:rPr>
          <w:w w:val="105"/>
        </w:rPr>
        <w:t>nce that the bidder will, upon acceptance of the bid,</w:t>
      </w:r>
      <w:r>
        <w:rPr>
          <w:spacing w:val="96"/>
          <w:w w:val="105"/>
        </w:rPr>
        <w:t xml:space="preserve"> </w:t>
      </w:r>
      <w:r>
        <w:rPr>
          <w:w w:val="105"/>
        </w:rPr>
        <w:t>execute such contractual documents as may be required within the time specified.</w:t>
      </w:r>
    </w:p>
    <w:p w:rsidR="003E0109" w:rsidRDefault="00F544A3">
      <w:pPr>
        <w:pStyle w:val="List3"/>
      </w:pPr>
      <w:r>
        <w:rPr>
          <w:w w:val="105"/>
        </w:rPr>
        <w:t>b.</w:t>
      </w:r>
      <w:r>
        <w:rPr>
          <w:w w:val="105"/>
        </w:rPr>
        <w:tab/>
        <w:t>A performance bond on the part of the contractor for 100 percent of the contract price. A “performance bond” is one ex</w:t>
      </w:r>
      <w:r>
        <w:rPr>
          <w:w w:val="105"/>
        </w:rPr>
        <w:t>ecuted in connection with a contract to secure fulfillment of all the contractor's obligations under such contract.</w:t>
      </w:r>
    </w:p>
    <w:p w:rsidR="003E0109" w:rsidRDefault="00F544A3">
      <w:pPr>
        <w:pStyle w:val="List3"/>
      </w:pPr>
      <w:r>
        <w:rPr>
          <w:w w:val="105"/>
        </w:rPr>
        <w:t>c.</w:t>
      </w:r>
      <w:r>
        <w:rPr>
          <w:w w:val="105"/>
        </w:rPr>
        <w:tab/>
        <w:t>A payment bond on the part of the contractor for 100 percent of the contract price. A “payment bond” is one executed in connection with</w:t>
      </w:r>
      <w:r>
        <w:rPr>
          <w:spacing w:val="78"/>
          <w:w w:val="105"/>
        </w:rPr>
        <w:t xml:space="preserve"> </w:t>
      </w:r>
      <w:r>
        <w:rPr>
          <w:w w:val="105"/>
        </w:rPr>
        <w:t>a</w:t>
      </w:r>
      <w:r>
        <w:rPr>
          <w:w w:val="105"/>
        </w:rPr>
        <w:t xml:space="preserve"> contract to assure payment as </w:t>
      </w:r>
      <w:r>
        <w:rPr>
          <w:w w:val="105"/>
        </w:rPr>
        <w:lastRenderedPageBreak/>
        <w:t>required by law of all persons supplying labor and material in the execution of the work provided for in the</w:t>
      </w:r>
      <w:r>
        <w:rPr>
          <w:spacing w:val="94"/>
          <w:w w:val="105"/>
        </w:rPr>
        <w:t xml:space="preserve"> </w:t>
      </w:r>
      <w:r>
        <w:rPr>
          <w:w w:val="105"/>
        </w:rPr>
        <w:t>contract.</w:t>
      </w:r>
    </w:p>
    <w:p w:rsidR="003E0109" w:rsidRDefault="003E0109">
      <w:pPr>
        <w:pStyle w:val="List2"/>
      </w:pPr>
    </w:p>
    <w:p w:rsidR="003E0109" w:rsidRDefault="00F544A3">
      <w:pPr>
        <w:pStyle w:val="Heading2"/>
      </w:pPr>
      <w:r>
        <w:t>C.</w:t>
      </w:r>
      <w:r>
        <w:tab/>
        <w:t>Suspension and Debarment</w:t>
      </w:r>
    </w:p>
    <w:p w:rsidR="003E0109" w:rsidRDefault="00F544A3">
      <w:pPr>
        <w:pStyle w:val="Indent2"/>
      </w:pPr>
      <w:r>
        <w:t>Contracts shall not be awarded to debarred, suspended, or ineligible contract</w:t>
      </w:r>
      <w:r>
        <w:t>ors. Contractors may be suspended, debarred, or determined ineligible by Federal agencies (e.g., Department of Labor, for violations of Secretary of Labor Regulations) when necessary to protect the Tribe in its business dealings. The Tribe may suspend or d</w:t>
      </w:r>
      <w:r>
        <w:t>ebar a contractor under State, local or tribal laws, as applicable.  Refer to System for Award Management (</w:t>
      </w:r>
      <w:hyperlink r:id="rId6">
        <w:r>
          <w:rPr>
            <w:rStyle w:val="InternetLink"/>
          </w:rPr>
          <w:t>https://www.sam.gov</w:t>
        </w:r>
      </w:hyperlink>
      <w:r>
        <w:t>) for additional information.</w:t>
      </w:r>
    </w:p>
    <w:p w:rsidR="003E0109" w:rsidRDefault="00F544A3">
      <w:pPr>
        <w:pStyle w:val="Heading2"/>
      </w:pPr>
      <w:r>
        <w:t>D.</w:t>
      </w:r>
      <w:r>
        <w:tab/>
        <w:t>Qualified Bidder's Lists</w:t>
      </w:r>
    </w:p>
    <w:p w:rsidR="003E0109" w:rsidRDefault="00F544A3">
      <w:pPr>
        <w:pStyle w:val="Indent2"/>
      </w:pPr>
      <w:r>
        <w:t>Interested businesses shall be g</w:t>
      </w:r>
      <w:r>
        <w:t>iven an opportunity to be included on qualified bidder's lists. Any pre-qualified lists of persons, firms, or products, which are used in the procurement of supplies and services, shall be kept current and shall include enough qualified sources to ensure c</w:t>
      </w:r>
      <w:r>
        <w:t>ompetition. Lists of pre-qualified Indians, Indian enterprises, or Indian organizations may be maintained by the Tribe. Firms shall not be precluded from qualifying during the solicitation period. Solicitation mailing lists of potential contractors shall i</w:t>
      </w:r>
      <w:r>
        <w:t>nclude, but not be limited to, such qualified suppliers.</w:t>
      </w:r>
    </w:p>
    <w:p w:rsidR="003E0109" w:rsidRDefault="00F544A3">
      <w:pPr>
        <w:pStyle w:val="Heading2"/>
        <w:ind w:left="1440" w:hanging="720"/>
      </w:pPr>
      <w:r>
        <w:t>E.</w:t>
      </w:r>
      <w:r>
        <w:tab/>
        <w:t>Qualifying Indian-Owned Enterprises &amp; Indian Organizations</w:t>
      </w:r>
    </w:p>
    <w:p w:rsidR="003E0109" w:rsidRDefault="00F544A3">
      <w:pPr>
        <w:pStyle w:val="Indent2"/>
      </w:pPr>
      <w:r>
        <w:t>A Tribe, at its discretion, may require prospective contractors seeking to qualify as Indian organizations or Indian owned economic enter</w:t>
      </w:r>
      <w:r>
        <w:t>prises to complete, or update if applicable, an Indian Enterprise Qualification Statement.</w:t>
      </w:r>
    </w:p>
    <w:p w:rsidR="003E0109" w:rsidRDefault="00F544A3">
      <w:pPr>
        <w:pStyle w:val="Heading2"/>
        <w:ind w:left="1440" w:hanging="720"/>
      </w:pPr>
      <w:r>
        <w:t>F.</w:t>
      </w:r>
      <w:r>
        <w:tab/>
        <w:t>Requiring Statements on Employment &amp; Training of Indians</w:t>
      </w:r>
    </w:p>
    <w:p w:rsidR="003E0109" w:rsidRDefault="00F544A3">
      <w:pPr>
        <w:pStyle w:val="Indent2"/>
      </w:pPr>
      <w:r>
        <w:t xml:space="preserve">A Tribe, at its discretion, may require prospective contractors and offerors (and their subcontractors, </w:t>
      </w:r>
      <w:r>
        <w:t>if required by the Tribe) to provide a statement describing how they will provide Indian preference in subcontracting, training, and employment, including the number or percentage of Indians to be employed and trained.</w:t>
      </w:r>
    </w:p>
    <w:p w:rsidR="003E0109" w:rsidRDefault="00F544A3">
      <w:pPr>
        <w:pStyle w:val="Heading1"/>
      </w:pPr>
      <w:r>
        <w:lastRenderedPageBreak/>
        <w:t>VI.</w:t>
      </w:r>
      <w:r>
        <w:tab/>
        <w:t>Appeals and Remedies</w:t>
      </w:r>
    </w:p>
    <w:p w:rsidR="003E0109" w:rsidRDefault="00F544A3">
      <w:pPr>
        <w:pStyle w:val="Heading2"/>
      </w:pPr>
      <w:r>
        <w:t>A.</w:t>
      </w:r>
      <w:r>
        <w:tab/>
        <w:t>General</w:t>
      </w:r>
    </w:p>
    <w:p w:rsidR="003E0109" w:rsidRDefault="00F544A3">
      <w:pPr>
        <w:pStyle w:val="Indent2"/>
      </w:pPr>
      <w:r>
        <w:t xml:space="preserve">It is the Tribe’s policy to resolve all procurement and contractual issues timely   and informally at the Tribe level without litigation.     </w:t>
      </w:r>
    </w:p>
    <w:p w:rsidR="003E0109" w:rsidRDefault="00F544A3">
      <w:pPr>
        <w:pStyle w:val="Heading2"/>
      </w:pPr>
      <w:r>
        <w:t>B.</w:t>
      </w:r>
      <w:r>
        <w:tab/>
        <w:t>Bid Protests</w:t>
      </w:r>
    </w:p>
    <w:p w:rsidR="003E0109" w:rsidRDefault="00F544A3">
      <w:pPr>
        <w:pStyle w:val="List2"/>
        <w:ind w:left="2160"/>
      </w:pPr>
      <w:r>
        <w:t xml:space="preserve">1. </w:t>
      </w:r>
      <w:r>
        <w:tab/>
        <w:t>An unsuccessful bidder or offeror may file a written complaint (or protest) with the Contract</w:t>
      </w:r>
      <w:r>
        <w:t xml:space="preserve">ing Officer within ________ calendar days from the date of Tribe's notice to the unsuccessful bidder or offeror or from the date of the action (or omission) upon which the complaint is based.  The complaint must be signed and shall detail the basis of the </w:t>
      </w:r>
      <w:r>
        <w:t>complaint.  No untimely or oral complaint will be considered.</w:t>
      </w:r>
    </w:p>
    <w:p w:rsidR="003E0109" w:rsidRDefault="00F544A3">
      <w:pPr>
        <w:pStyle w:val="List2"/>
        <w:ind w:left="2160"/>
      </w:pPr>
      <w:r>
        <w:t>2.</w:t>
      </w:r>
      <w:r>
        <w:tab/>
        <w:t>Tribe need not suspend contract performance or terminate the award of the contract unless Tribe determines, in its sole discretion, which it appears likely that the contract award will be inv</w:t>
      </w:r>
      <w:r>
        <w:t>alidated and that a delay in receiving the supplies or services will not be prejudicial to Tribe's interests.</w:t>
      </w:r>
    </w:p>
    <w:p w:rsidR="003E0109" w:rsidRDefault="00F544A3">
      <w:pPr>
        <w:pStyle w:val="List2"/>
        <w:ind w:left="2160"/>
      </w:pPr>
      <w:r>
        <w:t>3.</w:t>
      </w:r>
      <w:r>
        <w:tab/>
        <w:t>Upon receipt of a complaint, the Tribe shall promptly stamp the date and time of receipt on the complaint and acknowledge receipt of the compla</w:t>
      </w:r>
      <w:r>
        <w:t>int within _______ calendar days.</w:t>
      </w:r>
    </w:p>
    <w:p w:rsidR="003E0109" w:rsidRDefault="00F544A3">
      <w:pPr>
        <w:pStyle w:val="List2"/>
        <w:ind w:left="2160"/>
      </w:pPr>
      <w:r>
        <w:t>4.</w:t>
      </w:r>
      <w:r>
        <w:tab/>
        <w:t xml:space="preserve">Within _________ calendar days of receipt of a complaint, the Contracting Officer shall meet, or communicate by mail or telephone, with the complainant in an effort to resolve the matter.  The Contracting Officer shall </w:t>
      </w:r>
      <w:r>
        <w:t>make a determination on the complaint within __________ calendar days of Tribe's receipt of the written complaint.  The decision of the Contracting Officer shall constitute the final administrative action on the complaint.</w:t>
      </w:r>
    </w:p>
    <w:p w:rsidR="003E0109" w:rsidRDefault="00F544A3">
      <w:pPr>
        <w:pStyle w:val="List2"/>
        <w:ind w:left="2160"/>
      </w:pPr>
      <w:r>
        <w:t>5.</w:t>
      </w:r>
      <w:r>
        <w:tab/>
        <w:t>A complainant must exhaust all</w:t>
      </w:r>
      <w:r>
        <w:t xml:space="preserve"> administrative remedies with the Tribe before pursuing a protest with any agency providing funds for the procurement.</w:t>
      </w:r>
    </w:p>
    <w:p w:rsidR="003E0109" w:rsidRDefault="00F544A3">
      <w:pPr>
        <w:pStyle w:val="List2"/>
        <w:ind w:firstLine="0"/>
      </w:pPr>
      <w:r>
        <w:t>6.</w:t>
      </w:r>
      <w:r>
        <w:tab/>
        <w:t>Reviews of complaints by the Federal or other agency will be limited to:</w:t>
      </w:r>
    </w:p>
    <w:p w:rsidR="003E0109" w:rsidRDefault="00F544A3">
      <w:pPr>
        <w:pStyle w:val="List3"/>
      </w:pPr>
      <w:r>
        <w:t>a.</w:t>
      </w:r>
      <w:r>
        <w:tab/>
        <w:t>Violations of Federal or relevant law or regulations and t</w:t>
      </w:r>
      <w:r>
        <w:t>he standards of this Section; and</w:t>
      </w:r>
    </w:p>
    <w:p w:rsidR="003E0109" w:rsidRDefault="00F544A3">
      <w:pPr>
        <w:pStyle w:val="List3"/>
      </w:pPr>
      <w:r>
        <w:t>b.</w:t>
      </w:r>
      <w:r>
        <w:tab/>
        <w:t>Violations of the Tribe 's complaint procedures for failure to review a complaint or protests.</w:t>
      </w:r>
    </w:p>
    <w:p w:rsidR="003E0109" w:rsidRDefault="00F544A3">
      <w:pPr>
        <w:pStyle w:val="List2"/>
        <w:ind w:firstLine="0"/>
      </w:pPr>
      <w:r>
        <w:t>7.</w:t>
      </w:r>
      <w:r>
        <w:tab/>
        <w:t>Violations of Tribal law will be under the jurisdiction of the Tribal authorities.</w:t>
      </w:r>
    </w:p>
    <w:p w:rsidR="003E0109" w:rsidRDefault="00F544A3">
      <w:pPr>
        <w:pStyle w:val="Heading2"/>
      </w:pPr>
      <w:r>
        <w:lastRenderedPageBreak/>
        <w:t>C.</w:t>
      </w:r>
      <w:r>
        <w:tab/>
        <w:t>Contract Claims and Disputes</w:t>
      </w:r>
    </w:p>
    <w:p w:rsidR="003E0109" w:rsidRDefault="00F544A3">
      <w:pPr>
        <w:pStyle w:val="Indent2"/>
      </w:pPr>
      <w:r>
        <w:t>All cl</w:t>
      </w:r>
      <w:r>
        <w:t>aims by a contractor relating to performance of a contract shall be submitted in writing to the Contracting Officer or designee for a written decision. The contractor may request a conference on the claim. The Contracting Officer's decision shall inform th</w:t>
      </w:r>
      <w:r>
        <w:t>e contractor of its appeal rights to a higher level in the Tribe, such as the Executive Director or a designated Board member, or a Procurement Appeals Board.</w:t>
      </w:r>
    </w:p>
    <w:p w:rsidR="003E0109" w:rsidRDefault="00F544A3">
      <w:pPr>
        <w:pStyle w:val="Heading2"/>
      </w:pPr>
      <w:r>
        <w:t xml:space="preserve">D. </w:t>
      </w:r>
      <w:r>
        <w:tab/>
        <w:t>Protests Involving Indian Preference</w:t>
      </w:r>
    </w:p>
    <w:p w:rsidR="003E0109" w:rsidRDefault="00F544A3">
      <w:pPr>
        <w:pStyle w:val="List2"/>
        <w:ind w:firstLine="0"/>
      </w:pPr>
      <w:r>
        <w:rPr>
          <w:b/>
          <w:u w:val="single"/>
        </w:rPr>
        <w:t>General</w:t>
      </w:r>
      <w:r>
        <w:rPr>
          <w:u w:val="single"/>
        </w:rPr>
        <w:t>.</w:t>
      </w:r>
      <w:r>
        <w:t xml:space="preserve">  The following procedures are applicable to com</w:t>
      </w:r>
      <w:r>
        <w:t>plaints arising out of any of the methods of providing for Indian preference contained in this part:</w:t>
      </w:r>
    </w:p>
    <w:p w:rsidR="003E0109" w:rsidRDefault="00F544A3">
      <w:pPr>
        <w:pStyle w:val="List3"/>
      </w:pPr>
      <w:r>
        <w:t>a.</w:t>
      </w:r>
      <w:r>
        <w:tab/>
        <w:t>Each complaint shall be in writing, signed, and filed with the Tribe.</w:t>
      </w:r>
    </w:p>
    <w:p w:rsidR="003E0109" w:rsidRDefault="00F544A3">
      <w:pPr>
        <w:pStyle w:val="List3"/>
      </w:pPr>
      <w:r>
        <w:t>b.</w:t>
      </w:r>
      <w:r>
        <w:tab/>
        <w:t xml:space="preserve">A complaint must be filed with the Tribe no later than ____ calendar days from </w:t>
      </w:r>
      <w:r>
        <w:t>the date of the action (or omission) upon which the complaint is based.</w:t>
      </w:r>
    </w:p>
    <w:p w:rsidR="003E0109" w:rsidRDefault="00F544A3">
      <w:pPr>
        <w:pStyle w:val="List3"/>
      </w:pPr>
      <w:r>
        <w:t>c.</w:t>
      </w:r>
      <w:r>
        <w:tab/>
        <w:t>Upon receipt of a complaint, the Tribe shall promptly stamp the date and time of receipt upon the complaint, and immediately acknowledge its receipt.</w:t>
      </w:r>
    </w:p>
    <w:p w:rsidR="003E0109" w:rsidRDefault="00F544A3">
      <w:pPr>
        <w:pStyle w:val="List3"/>
      </w:pPr>
      <w:r>
        <w:t>d.</w:t>
      </w:r>
      <w:r>
        <w:tab/>
        <w:t>Within ____ calendar days of</w:t>
      </w:r>
      <w:r>
        <w:t xml:space="preserve"> receipt of a complaint, the Tribe shall either meet, or communicate by mail or telephone, with the complainant in an effort to resolve the matter.  The Tribe shall make a determination on a complaint and notify the complainant, in writing, within _____ ca</w:t>
      </w:r>
      <w:r>
        <w:t>lendar days of the submittal of the complaint to the Tribe.  The decision of the TTribe shall constitute final administrative action on the complaint.</w:t>
      </w:r>
    </w:p>
    <w:p w:rsidR="003E0109" w:rsidRDefault="00F544A3">
      <w:pPr>
        <w:pStyle w:val="Heading1"/>
      </w:pPr>
      <w:r>
        <w:t>VI.</w:t>
      </w:r>
      <w:r>
        <w:tab/>
        <w:t>Ethics in Public Contracting</w:t>
      </w:r>
    </w:p>
    <w:p w:rsidR="003E0109" w:rsidRDefault="00F544A3">
      <w:pPr>
        <w:pStyle w:val="Heading2"/>
      </w:pPr>
      <w:r>
        <w:t>A.</w:t>
      </w:r>
      <w:r>
        <w:tab/>
        <w:t>General</w:t>
      </w:r>
    </w:p>
    <w:p w:rsidR="003E0109" w:rsidRDefault="00F544A3">
      <w:pPr>
        <w:pStyle w:val="Indent2"/>
      </w:pPr>
      <w:r>
        <w:t>The Tribe shall adhere to the following code of conduct gover</w:t>
      </w:r>
      <w:r>
        <w:t>ning the performance of their employees, officers or agents engaged in the award and administration of contracts consistent with applicable State, tribal, or local law, and shall comply with the limitations imposed by 2 CFR 200.318(c).</w:t>
      </w:r>
    </w:p>
    <w:p w:rsidR="003E0109" w:rsidRDefault="00F544A3">
      <w:pPr>
        <w:pStyle w:val="Heading2"/>
      </w:pPr>
      <w:r>
        <w:t>B.</w:t>
      </w:r>
      <w:r>
        <w:tab/>
        <w:t>Conflict of Inter</w:t>
      </w:r>
      <w:r>
        <w:t>est</w:t>
      </w:r>
    </w:p>
    <w:p w:rsidR="003E0109" w:rsidRDefault="00F544A3">
      <w:pPr>
        <w:pStyle w:val="List2"/>
      </w:pPr>
      <w:r>
        <w:t>1.</w:t>
      </w:r>
      <w:r>
        <w:tab/>
        <w:t xml:space="preserve">No employee, officer or agent of this Tribe shall participate directly or indirectly in the selection or in the award or administration of any contract if a conflict, </w:t>
      </w:r>
      <w:r>
        <w:rPr>
          <w:u w:val="single"/>
        </w:rPr>
        <w:t>real</w:t>
      </w:r>
      <w:r>
        <w:t xml:space="preserve"> or </w:t>
      </w:r>
      <w:r>
        <w:rPr>
          <w:u w:val="single"/>
        </w:rPr>
        <w:t>apparent</w:t>
      </w:r>
      <w:r>
        <w:t>, would be involved. Such conflict would arise when a financial or</w:t>
      </w:r>
      <w:r>
        <w:t xml:space="preserve"> other interest in a firm selected for award is held by:</w:t>
      </w:r>
    </w:p>
    <w:p w:rsidR="003E0109" w:rsidRDefault="00F544A3">
      <w:pPr>
        <w:pStyle w:val="List3"/>
      </w:pPr>
      <w:r>
        <w:t>a.</w:t>
      </w:r>
      <w:r>
        <w:tab/>
        <w:t>An employee, officer or agent involved in making the award;</w:t>
      </w:r>
    </w:p>
    <w:p w:rsidR="003E0109" w:rsidRDefault="00F544A3">
      <w:pPr>
        <w:pStyle w:val="List3"/>
      </w:pPr>
      <w:r>
        <w:t>b.</w:t>
      </w:r>
      <w:r>
        <w:tab/>
        <w:t>His/her immediate family member (as determined by the Tribe in its operating policies);</w:t>
      </w:r>
    </w:p>
    <w:p w:rsidR="003E0109" w:rsidRDefault="00F544A3">
      <w:pPr>
        <w:pStyle w:val="List3"/>
      </w:pPr>
      <w:r>
        <w:lastRenderedPageBreak/>
        <w:t>c.</w:t>
      </w:r>
      <w:r>
        <w:tab/>
        <w:t>His/her partner, or,</w:t>
      </w:r>
    </w:p>
    <w:p w:rsidR="003E0109" w:rsidRDefault="00F544A3">
      <w:pPr>
        <w:pStyle w:val="List3"/>
      </w:pPr>
      <w:r>
        <w:t>d.</w:t>
      </w:r>
      <w:r>
        <w:tab/>
        <w:t xml:space="preserve">An organization </w:t>
      </w:r>
      <w:r>
        <w:t>which employs, is negotiating to employ, or has an arrangement concerning prospective employment of any of the above.</w:t>
      </w:r>
    </w:p>
    <w:p w:rsidR="003E0109" w:rsidRDefault="00F544A3">
      <w:pPr>
        <w:pStyle w:val="List2"/>
      </w:pPr>
      <w:r>
        <w:t>2.</w:t>
      </w:r>
      <w:r>
        <w:tab/>
        <w:t>Employees, agents and grantees who may have acquired confidential and privileged information during their tenure with the Tribe are pro</w:t>
      </w:r>
      <w:r>
        <w:t xml:space="preserve">hibited from publicly disclosing that information and from using that information for personal purposes.  Former Board/Council Members and employees are prohibited from acquiring a contract or any other financial interest, direct or indirect, in any Tribe </w:t>
      </w:r>
      <w:r>
        <w:t xml:space="preserve">project or activity that is affected by that confidential or privileged information. </w:t>
      </w:r>
    </w:p>
    <w:p w:rsidR="003E0109" w:rsidRDefault="00F544A3">
      <w:pPr>
        <w:pStyle w:val="Heading2"/>
      </w:pPr>
      <w:r>
        <w:t>C.</w:t>
      </w:r>
      <w:r>
        <w:tab/>
        <w:t>Gratuities, Kickbacks, and Use of Confidential Information</w:t>
      </w:r>
    </w:p>
    <w:p w:rsidR="003E0109" w:rsidRDefault="00F544A3">
      <w:pPr>
        <w:pStyle w:val="Indent2"/>
      </w:pPr>
      <w:r>
        <w:t xml:space="preserve">Tribe officers, employees or agents shall not solicit or accept gratuities, favors, or anything of monetary </w:t>
      </w:r>
      <w:r>
        <w:t>value from contractors, potential contractors, or parties to subcontracts, and shall not knowingly use confidential information for actual or anticipated personal gain. It is determined that providing meals, entertainment or gifts in an amount in excess of</w:t>
      </w:r>
      <w:r>
        <w:t xml:space="preserve"> </w:t>
      </w:r>
      <w:r>
        <w:rPr>
          <w:u w:val="single"/>
        </w:rPr>
        <w:t xml:space="preserve">______ </w:t>
      </w:r>
      <w:r>
        <w:t xml:space="preserve"> dollars ($______) per gift or meal, or a total per calendar year of meals, entertainment or gifts in excess of </w:t>
      </w:r>
      <w:r>
        <w:rPr>
          <w:u w:val="single"/>
        </w:rPr>
        <w:t>_________</w:t>
      </w:r>
      <w:r>
        <w:t xml:space="preserve"> dollars (</w:t>
      </w:r>
      <w:r>
        <w:rPr>
          <w:u w:val="single"/>
        </w:rPr>
        <w:t>$_______)</w:t>
      </w:r>
      <w:r>
        <w:t xml:space="preserve"> per individual by an individual company, including all related concerns and individuals, is determined to b</w:t>
      </w:r>
      <w:r>
        <w:t>e of monetary value and is therefore prohibited.</w:t>
      </w:r>
    </w:p>
    <w:p w:rsidR="003E0109" w:rsidRDefault="00F544A3">
      <w:pPr>
        <w:pStyle w:val="Heading2"/>
      </w:pPr>
      <w:r>
        <w:t>D.</w:t>
      </w:r>
      <w:r>
        <w:tab/>
        <w:t>Prohibition against Contingent Fees</w:t>
      </w:r>
    </w:p>
    <w:p w:rsidR="003E0109" w:rsidRDefault="00F544A3">
      <w:pPr>
        <w:pStyle w:val="Indent2"/>
      </w:pPr>
      <w:r>
        <w:t>Contractors shall not retain a person to solicit or secure a Tribe contract for a commission, percentage, brokerage, or contingent fee, except for bona fide employees.</w:t>
      </w:r>
    </w:p>
    <w:p w:rsidR="003E0109" w:rsidRDefault="00F544A3">
      <w:pPr>
        <w:spacing w:before="0" w:after="200"/>
        <w:rPr>
          <w:rFonts w:ascii="Times New Roman" w:hAnsi="Times New Roman" w:cs="Times New Roman"/>
          <w:sz w:val="24"/>
          <w:szCs w:val="24"/>
        </w:rPr>
      </w:pPr>
      <w:r>
        <w:br w:type="page"/>
      </w:r>
    </w:p>
    <w:p w:rsidR="003E0109" w:rsidRDefault="003E0109">
      <w:pPr>
        <w:rPr>
          <w:rFonts w:ascii="Times New Roman" w:hAnsi="Times New Roman" w:cs="Times New Roman"/>
          <w:sz w:val="24"/>
          <w:szCs w:val="24"/>
        </w:rPr>
      </w:pPr>
    </w:p>
    <w:p w:rsidR="003E0109" w:rsidRDefault="00F544A3">
      <w:pPr>
        <w:pStyle w:val="Heading1"/>
        <w:jc w:val="center"/>
      </w:pPr>
      <w:r>
        <w:t>Attachment A</w:t>
      </w:r>
    </w:p>
    <w:p w:rsidR="003E0109" w:rsidRDefault="00F544A3">
      <w:pPr>
        <w:pStyle w:val="Heading2"/>
        <w:jc w:val="center"/>
      </w:pPr>
      <w:r>
        <w:t>Using the X-Factor for Indian Preference (Optional)</w:t>
      </w:r>
    </w:p>
    <w:p w:rsidR="003E0109" w:rsidRDefault="003E0109">
      <w:pPr>
        <w:rPr>
          <w:rFonts w:ascii="Times New Roman" w:hAnsi="Times New Roman" w:cs="Times New Roman"/>
          <w:sz w:val="24"/>
          <w:szCs w:val="24"/>
        </w:rPr>
      </w:pPr>
    </w:p>
    <w:p w:rsidR="003E0109" w:rsidRDefault="00F544A3">
      <w:pPr>
        <w:rPr>
          <w:rFonts w:ascii="Times New Roman" w:hAnsi="Times New Roman" w:cs="Times New Roman"/>
          <w:sz w:val="24"/>
          <w:szCs w:val="24"/>
        </w:rPr>
      </w:pPr>
      <w:r>
        <w:rPr>
          <w:rFonts w:ascii="Times New Roman" w:hAnsi="Times New Roman" w:cs="Times New Roman"/>
          <w:sz w:val="24"/>
          <w:szCs w:val="24"/>
        </w:rPr>
        <w:t xml:space="preserve">The following is an optional method that may be utilized in implementing the Indian Preference requirements of to Section 7(b) of the Indian Self-Determination Act (25 U.S.C. 450e(b)).  </w:t>
      </w:r>
      <w:r>
        <w:rPr>
          <w:rFonts w:ascii="Times New Roman" w:hAnsi="Times New Roman" w:cs="Times New Roman"/>
          <w:sz w:val="24"/>
          <w:szCs w:val="24"/>
        </w:rPr>
        <w:t xml:space="preserve">Under this method, award shall be made under unrestricted solicitations to the lowest responsive bid from a qualified Indian owned economic enterprise or organization within the maximum total contract price established for the specific project or activity </w:t>
      </w:r>
      <w:r>
        <w:rPr>
          <w:rFonts w:ascii="Times New Roman" w:hAnsi="Times New Roman" w:cs="Times New Roman"/>
          <w:sz w:val="24"/>
          <w:szCs w:val="24"/>
        </w:rPr>
        <w:t>being solicited, if the bid is no more than "X" higher than the total bid price of the lowest responsive bid from any qualified bidder. The factor "X" is determined as follows:</w:t>
      </w:r>
    </w:p>
    <w:p w:rsidR="003E0109" w:rsidRDefault="003E0109">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5575"/>
        <w:gridCol w:w="3775"/>
      </w:tblGrid>
      <w:tr w:rsidR="003E0109">
        <w:tc>
          <w:tcPr>
            <w:tcW w:w="5574" w:type="dxa"/>
            <w:shd w:val="clear" w:color="auto" w:fill="auto"/>
          </w:tcPr>
          <w:p w:rsidR="003E0109" w:rsidRDefault="00F544A3">
            <w:pPr>
              <w:spacing w:after="0" w:line="240" w:lineRule="auto"/>
              <w:rPr>
                <w:rFonts w:ascii="Times New Roman" w:hAnsi="Times New Roman" w:cs="Times New Roman"/>
                <w:b/>
                <w:sz w:val="24"/>
                <w:szCs w:val="24"/>
              </w:rPr>
            </w:pPr>
            <w:r>
              <w:rPr>
                <w:rFonts w:ascii="Times New Roman" w:hAnsi="Times New Roman" w:cs="Times New Roman"/>
                <w:b/>
                <w:sz w:val="24"/>
                <w:szCs w:val="24"/>
              </w:rPr>
              <w:t>When the lowest responsive, responsible bid is:</w:t>
            </w:r>
          </w:p>
        </w:tc>
        <w:tc>
          <w:tcPr>
            <w:tcW w:w="3775" w:type="dxa"/>
            <w:shd w:val="clear" w:color="auto" w:fill="auto"/>
          </w:tcPr>
          <w:p w:rsidR="003E0109" w:rsidRDefault="00F544A3">
            <w:pPr>
              <w:spacing w:after="0" w:line="240" w:lineRule="auto"/>
              <w:rPr>
                <w:rFonts w:ascii="Times New Roman" w:hAnsi="Times New Roman" w:cs="Times New Roman"/>
                <w:b/>
                <w:sz w:val="24"/>
                <w:szCs w:val="24"/>
              </w:rPr>
            </w:pPr>
            <w:r>
              <w:rPr>
                <w:rFonts w:ascii="Times New Roman" w:hAnsi="Times New Roman" w:cs="Times New Roman"/>
                <w:b/>
                <w:sz w:val="24"/>
                <w:szCs w:val="24"/>
              </w:rPr>
              <w:t>X = lesser of:</w:t>
            </w:r>
          </w:p>
        </w:tc>
      </w:tr>
      <w:tr w:rsidR="003E0109">
        <w:tc>
          <w:tcPr>
            <w:tcW w:w="5574" w:type="dxa"/>
            <w:shd w:val="clear" w:color="auto" w:fill="auto"/>
          </w:tcPr>
          <w:p w:rsidR="003E0109" w:rsidRDefault="00F544A3">
            <w:pPr>
              <w:spacing w:after="0" w:line="240" w:lineRule="auto"/>
              <w:rPr>
                <w:rFonts w:ascii="Times New Roman" w:hAnsi="Times New Roman" w:cs="Times New Roman"/>
                <w:sz w:val="24"/>
                <w:szCs w:val="24"/>
              </w:rPr>
            </w:pPr>
            <w:r>
              <w:rPr>
                <w:rFonts w:ascii="Times New Roman" w:hAnsi="Times New Roman" w:cs="Times New Roman"/>
                <w:sz w:val="24"/>
                <w:szCs w:val="24"/>
              </w:rPr>
              <w:t>Less than $100</w:t>
            </w:r>
            <w:r>
              <w:rPr>
                <w:rFonts w:ascii="Times New Roman" w:hAnsi="Times New Roman" w:cs="Times New Roman"/>
                <w:sz w:val="24"/>
                <w:szCs w:val="24"/>
              </w:rPr>
              <w:t>,000</w:t>
            </w:r>
          </w:p>
        </w:tc>
        <w:tc>
          <w:tcPr>
            <w:tcW w:w="3775" w:type="dxa"/>
            <w:shd w:val="clear" w:color="auto" w:fill="auto"/>
          </w:tcPr>
          <w:p w:rsidR="003E0109" w:rsidRDefault="00F544A3">
            <w:pPr>
              <w:spacing w:after="0" w:line="240" w:lineRule="auto"/>
              <w:rPr>
                <w:rFonts w:ascii="Times New Roman" w:hAnsi="Times New Roman" w:cs="Times New Roman"/>
                <w:sz w:val="24"/>
                <w:szCs w:val="24"/>
              </w:rPr>
            </w:pPr>
            <w:r>
              <w:rPr>
                <w:rFonts w:ascii="Times New Roman" w:hAnsi="Times New Roman" w:cs="Times New Roman"/>
                <w:sz w:val="24"/>
                <w:szCs w:val="24"/>
              </w:rPr>
              <w:t>10% of that bid, or $9,000</w:t>
            </w:r>
          </w:p>
        </w:tc>
      </w:tr>
      <w:tr w:rsidR="003E0109">
        <w:tc>
          <w:tcPr>
            <w:tcW w:w="5574" w:type="dxa"/>
            <w:shd w:val="clear" w:color="auto" w:fill="auto"/>
          </w:tcPr>
          <w:p w:rsidR="003E0109" w:rsidRDefault="00F544A3">
            <w:pPr>
              <w:spacing w:after="0" w:line="240" w:lineRule="auto"/>
              <w:rPr>
                <w:rFonts w:ascii="Times New Roman" w:hAnsi="Times New Roman" w:cs="Times New Roman"/>
                <w:sz w:val="24"/>
                <w:szCs w:val="24"/>
              </w:rPr>
            </w:pPr>
            <w:r>
              <w:rPr>
                <w:rFonts w:ascii="Times New Roman" w:hAnsi="Times New Roman" w:cs="Times New Roman"/>
                <w:sz w:val="24"/>
                <w:szCs w:val="24"/>
              </w:rPr>
              <w:t>At least $100,000, but less than $200,000</w:t>
            </w:r>
          </w:p>
        </w:tc>
        <w:tc>
          <w:tcPr>
            <w:tcW w:w="3775" w:type="dxa"/>
            <w:shd w:val="clear" w:color="auto" w:fill="auto"/>
          </w:tcPr>
          <w:p w:rsidR="003E0109" w:rsidRDefault="00F544A3">
            <w:pPr>
              <w:spacing w:after="0" w:line="240" w:lineRule="auto"/>
              <w:rPr>
                <w:rFonts w:ascii="Times New Roman" w:hAnsi="Times New Roman" w:cs="Times New Roman"/>
                <w:sz w:val="24"/>
                <w:szCs w:val="24"/>
              </w:rPr>
            </w:pPr>
            <w:r>
              <w:rPr>
                <w:rFonts w:ascii="Times New Roman" w:hAnsi="Times New Roman" w:cs="Times New Roman"/>
                <w:sz w:val="24"/>
                <w:szCs w:val="24"/>
              </w:rPr>
              <w:t>9% of that bid, or $16,000</w:t>
            </w:r>
          </w:p>
        </w:tc>
      </w:tr>
      <w:tr w:rsidR="003E0109">
        <w:tc>
          <w:tcPr>
            <w:tcW w:w="5574" w:type="dxa"/>
            <w:shd w:val="clear" w:color="auto" w:fill="auto"/>
          </w:tcPr>
          <w:p w:rsidR="003E0109" w:rsidRDefault="00F544A3">
            <w:pPr>
              <w:spacing w:after="0" w:line="240" w:lineRule="auto"/>
              <w:rPr>
                <w:rFonts w:ascii="Times New Roman" w:hAnsi="Times New Roman" w:cs="Times New Roman"/>
                <w:sz w:val="24"/>
                <w:szCs w:val="24"/>
              </w:rPr>
            </w:pPr>
            <w:r>
              <w:rPr>
                <w:rFonts w:ascii="Times New Roman" w:hAnsi="Times New Roman" w:cs="Times New Roman"/>
                <w:sz w:val="24"/>
                <w:szCs w:val="24"/>
              </w:rPr>
              <w:t>At least $200,000, but less than $300,000</w:t>
            </w:r>
          </w:p>
        </w:tc>
        <w:tc>
          <w:tcPr>
            <w:tcW w:w="3775" w:type="dxa"/>
            <w:shd w:val="clear" w:color="auto" w:fill="auto"/>
          </w:tcPr>
          <w:p w:rsidR="003E0109" w:rsidRDefault="00F544A3">
            <w:pPr>
              <w:spacing w:after="0" w:line="240" w:lineRule="auto"/>
            </w:pPr>
            <w:r>
              <w:rPr>
                <w:rFonts w:ascii="Times New Roman" w:hAnsi="Times New Roman" w:cs="Times New Roman"/>
                <w:sz w:val="24"/>
                <w:szCs w:val="24"/>
              </w:rPr>
              <w:t>8% of that bid, or $21,000</w:t>
            </w:r>
          </w:p>
        </w:tc>
      </w:tr>
      <w:tr w:rsidR="003E0109">
        <w:tc>
          <w:tcPr>
            <w:tcW w:w="5574" w:type="dxa"/>
            <w:shd w:val="clear" w:color="auto" w:fill="auto"/>
          </w:tcPr>
          <w:p w:rsidR="003E0109" w:rsidRDefault="00F544A3">
            <w:pPr>
              <w:spacing w:after="0" w:line="240" w:lineRule="auto"/>
              <w:rPr>
                <w:rFonts w:ascii="Times New Roman" w:hAnsi="Times New Roman" w:cs="Times New Roman"/>
                <w:sz w:val="24"/>
                <w:szCs w:val="24"/>
              </w:rPr>
            </w:pPr>
            <w:r>
              <w:rPr>
                <w:rFonts w:ascii="Times New Roman" w:hAnsi="Times New Roman" w:cs="Times New Roman"/>
                <w:sz w:val="24"/>
                <w:szCs w:val="24"/>
              </w:rPr>
              <w:t>At least $300,000, but less than $400,000</w:t>
            </w:r>
          </w:p>
        </w:tc>
        <w:tc>
          <w:tcPr>
            <w:tcW w:w="3775" w:type="dxa"/>
            <w:shd w:val="clear" w:color="auto" w:fill="auto"/>
          </w:tcPr>
          <w:p w:rsidR="003E0109" w:rsidRDefault="00F544A3">
            <w:pPr>
              <w:spacing w:after="0" w:line="240" w:lineRule="auto"/>
            </w:pPr>
            <w:r>
              <w:rPr>
                <w:rFonts w:ascii="Times New Roman" w:hAnsi="Times New Roman" w:cs="Times New Roman"/>
                <w:sz w:val="24"/>
                <w:szCs w:val="24"/>
              </w:rPr>
              <w:t>7% of that bid, or $24,000</w:t>
            </w:r>
          </w:p>
        </w:tc>
      </w:tr>
      <w:tr w:rsidR="003E0109">
        <w:tc>
          <w:tcPr>
            <w:tcW w:w="5574" w:type="dxa"/>
            <w:shd w:val="clear" w:color="auto" w:fill="auto"/>
          </w:tcPr>
          <w:p w:rsidR="003E0109" w:rsidRDefault="00F544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least </w:t>
            </w:r>
            <w:r>
              <w:rPr>
                <w:rFonts w:ascii="Times New Roman" w:hAnsi="Times New Roman" w:cs="Times New Roman"/>
                <w:sz w:val="24"/>
                <w:szCs w:val="24"/>
              </w:rPr>
              <w:t>$400,000, but less than $500,000</w:t>
            </w:r>
          </w:p>
        </w:tc>
        <w:tc>
          <w:tcPr>
            <w:tcW w:w="3775" w:type="dxa"/>
            <w:shd w:val="clear" w:color="auto" w:fill="auto"/>
          </w:tcPr>
          <w:p w:rsidR="003E0109" w:rsidRDefault="00F544A3">
            <w:pPr>
              <w:spacing w:after="0" w:line="240" w:lineRule="auto"/>
            </w:pPr>
            <w:r>
              <w:rPr>
                <w:rFonts w:ascii="Times New Roman" w:hAnsi="Times New Roman" w:cs="Times New Roman"/>
                <w:sz w:val="24"/>
                <w:szCs w:val="24"/>
              </w:rPr>
              <w:t>6% of that bid, or $32,000</w:t>
            </w:r>
          </w:p>
        </w:tc>
      </w:tr>
      <w:tr w:rsidR="003E0109">
        <w:tc>
          <w:tcPr>
            <w:tcW w:w="5574" w:type="dxa"/>
            <w:shd w:val="clear" w:color="auto" w:fill="auto"/>
          </w:tcPr>
          <w:p w:rsidR="003E0109" w:rsidRDefault="00F544A3">
            <w:pPr>
              <w:spacing w:after="0" w:line="240" w:lineRule="auto"/>
              <w:rPr>
                <w:rFonts w:ascii="Times New Roman" w:hAnsi="Times New Roman" w:cs="Times New Roman"/>
                <w:sz w:val="24"/>
                <w:szCs w:val="24"/>
              </w:rPr>
            </w:pPr>
            <w:r>
              <w:rPr>
                <w:rFonts w:ascii="Times New Roman" w:hAnsi="Times New Roman" w:cs="Times New Roman"/>
                <w:sz w:val="24"/>
                <w:szCs w:val="24"/>
              </w:rPr>
              <w:t>At least $500,000, but less than $1,000,000</w:t>
            </w:r>
          </w:p>
        </w:tc>
        <w:tc>
          <w:tcPr>
            <w:tcW w:w="3775" w:type="dxa"/>
            <w:shd w:val="clear" w:color="auto" w:fill="auto"/>
          </w:tcPr>
          <w:p w:rsidR="003E0109" w:rsidRDefault="00F544A3">
            <w:pPr>
              <w:spacing w:after="0" w:line="240" w:lineRule="auto"/>
            </w:pPr>
            <w:r>
              <w:rPr>
                <w:rFonts w:ascii="Times New Roman" w:hAnsi="Times New Roman" w:cs="Times New Roman"/>
                <w:sz w:val="24"/>
                <w:szCs w:val="24"/>
              </w:rPr>
              <w:t>5% of that bid, or $40,000</w:t>
            </w:r>
          </w:p>
        </w:tc>
      </w:tr>
      <w:tr w:rsidR="003E0109">
        <w:tc>
          <w:tcPr>
            <w:tcW w:w="5574" w:type="dxa"/>
            <w:shd w:val="clear" w:color="auto" w:fill="auto"/>
          </w:tcPr>
          <w:p w:rsidR="003E0109" w:rsidRDefault="00F544A3">
            <w:pPr>
              <w:spacing w:after="0" w:line="240" w:lineRule="auto"/>
              <w:rPr>
                <w:rFonts w:ascii="Times New Roman" w:hAnsi="Times New Roman" w:cs="Times New Roman"/>
                <w:sz w:val="24"/>
                <w:szCs w:val="24"/>
              </w:rPr>
            </w:pPr>
            <w:r>
              <w:rPr>
                <w:rFonts w:ascii="Times New Roman" w:hAnsi="Times New Roman" w:cs="Times New Roman"/>
                <w:sz w:val="24"/>
                <w:szCs w:val="24"/>
              </w:rPr>
              <w:t>At least $1,000,000, but less than $2,000,000</w:t>
            </w:r>
          </w:p>
        </w:tc>
        <w:tc>
          <w:tcPr>
            <w:tcW w:w="3775" w:type="dxa"/>
            <w:shd w:val="clear" w:color="auto" w:fill="auto"/>
          </w:tcPr>
          <w:p w:rsidR="003E0109" w:rsidRDefault="00F544A3">
            <w:pPr>
              <w:spacing w:after="0" w:line="240" w:lineRule="auto"/>
            </w:pPr>
            <w:r>
              <w:rPr>
                <w:rFonts w:ascii="Times New Roman" w:hAnsi="Times New Roman" w:cs="Times New Roman"/>
                <w:sz w:val="24"/>
                <w:szCs w:val="24"/>
              </w:rPr>
              <w:t>4% of that bid, or $60,000</w:t>
            </w:r>
          </w:p>
        </w:tc>
      </w:tr>
      <w:tr w:rsidR="003E0109">
        <w:tc>
          <w:tcPr>
            <w:tcW w:w="5574" w:type="dxa"/>
            <w:shd w:val="clear" w:color="auto" w:fill="auto"/>
          </w:tcPr>
          <w:p w:rsidR="003E0109" w:rsidRDefault="00F544A3">
            <w:pPr>
              <w:spacing w:after="0" w:line="240" w:lineRule="auto"/>
              <w:rPr>
                <w:rFonts w:ascii="Times New Roman" w:hAnsi="Times New Roman" w:cs="Times New Roman"/>
                <w:sz w:val="24"/>
                <w:szCs w:val="24"/>
              </w:rPr>
            </w:pPr>
            <w:r>
              <w:rPr>
                <w:rFonts w:ascii="Times New Roman" w:hAnsi="Times New Roman" w:cs="Times New Roman"/>
                <w:sz w:val="24"/>
                <w:szCs w:val="24"/>
              </w:rPr>
              <w:t>At least $2,000,000, but less than $4,000,000</w:t>
            </w:r>
          </w:p>
        </w:tc>
        <w:tc>
          <w:tcPr>
            <w:tcW w:w="3775" w:type="dxa"/>
            <w:shd w:val="clear" w:color="auto" w:fill="auto"/>
          </w:tcPr>
          <w:p w:rsidR="003E0109" w:rsidRDefault="00F544A3">
            <w:pPr>
              <w:spacing w:after="0" w:line="240" w:lineRule="auto"/>
            </w:pPr>
            <w:r>
              <w:rPr>
                <w:rFonts w:ascii="Times New Roman" w:hAnsi="Times New Roman" w:cs="Times New Roman"/>
                <w:sz w:val="24"/>
                <w:szCs w:val="24"/>
              </w:rPr>
              <w:t xml:space="preserve">3% </w:t>
            </w:r>
            <w:r>
              <w:rPr>
                <w:rFonts w:ascii="Times New Roman" w:hAnsi="Times New Roman" w:cs="Times New Roman"/>
                <w:sz w:val="24"/>
                <w:szCs w:val="24"/>
              </w:rPr>
              <w:t>of that bid, or $80,000</w:t>
            </w:r>
          </w:p>
        </w:tc>
      </w:tr>
    </w:tbl>
    <w:p w:rsidR="003E0109" w:rsidRDefault="003E0109">
      <w:pPr>
        <w:rPr>
          <w:rFonts w:ascii="Times New Roman" w:hAnsi="Times New Roman" w:cs="Times New Roman"/>
          <w:sz w:val="24"/>
          <w:szCs w:val="24"/>
        </w:rPr>
      </w:pPr>
    </w:p>
    <w:p w:rsidR="003E0109" w:rsidRDefault="003E0109">
      <w:pPr>
        <w:rPr>
          <w:rFonts w:ascii="Times New Roman" w:hAnsi="Times New Roman" w:cs="Times New Roman"/>
          <w:sz w:val="24"/>
          <w:szCs w:val="24"/>
        </w:rPr>
      </w:pPr>
    </w:p>
    <w:p w:rsidR="003E0109" w:rsidRDefault="00F544A3">
      <w:pPr>
        <w:rPr>
          <w:rFonts w:ascii="Times New Roman" w:hAnsi="Times New Roman" w:cs="Times New Roman"/>
          <w:sz w:val="24"/>
          <w:szCs w:val="24"/>
        </w:rPr>
      </w:pPr>
      <w:r>
        <w:br w:type="page"/>
      </w:r>
    </w:p>
    <w:p w:rsidR="003E0109" w:rsidRDefault="00F544A3">
      <w:pPr>
        <w:pStyle w:val="Heading1"/>
        <w:jc w:val="center"/>
      </w:pPr>
      <w:r>
        <w:lastRenderedPageBreak/>
        <w:t>Attachment B</w:t>
      </w:r>
    </w:p>
    <w:p w:rsidR="003E0109" w:rsidRDefault="00F544A3">
      <w:pPr>
        <w:pStyle w:val="Heading2"/>
        <w:ind w:left="0"/>
        <w:jc w:val="center"/>
      </w:pPr>
      <w:r>
        <w:t>Procurement Analysis Form</w:t>
      </w:r>
    </w:p>
    <w:p w:rsidR="003E0109" w:rsidRDefault="003E0109">
      <w:pPr>
        <w:rPr>
          <w:sz w:val="20"/>
          <w:szCs w:val="20"/>
        </w:rPr>
      </w:pPr>
    </w:p>
    <w:p w:rsidR="003E0109" w:rsidRDefault="00F544A3">
      <w:pPr>
        <w:pStyle w:val="BodyText"/>
        <w:rPr>
          <w:sz w:val="20"/>
          <w:szCs w:val="20"/>
        </w:rPr>
      </w:pPr>
      <w:r>
        <w:rPr>
          <w:sz w:val="20"/>
          <w:szCs w:val="20"/>
        </w:rPr>
        <w:t xml:space="preserve">The Procurement Analysis Form is to be used for all procurement done by the Tribe.  The purpose of this form is to document the basis for the selection of a particular vendor, and to </w:t>
      </w:r>
      <w:r>
        <w:rPr>
          <w:sz w:val="20"/>
          <w:szCs w:val="20"/>
        </w:rPr>
        <w:t>document the reason(s) for the use of non-competitive procurement.  This form needs to be completed as part of the request for payment for every individual purchase.  A copy of this form should be attached to every invoice to be paid, and then filed with t</w:t>
      </w:r>
      <w:r>
        <w:rPr>
          <w:sz w:val="20"/>
          <w:szCs w:val="20"/>
        </w:rPr>
        <w:t>he payment.</w:t>
      </w:r>
    </w:p>
    <w:p w:rsidR="003E0109" w:rsidRDefault="00F544A3">
      <w:pPr>
        <w:pStyle w:val="BodyText"/>
        <w:rPr>
          <w:sz w:val="20"/>
          <w:szCs w:val="20"/>
        </w:rPr>
      </w:pPr>
      <w:r>
        <w:rPr>
          <w:b/>
          <w:bCs/>
          <w:sz w:val="20"/>
          <w:szCs w:val="20"/>
        </w:rPr>
        <w:t>Item:</w:t>
      </w:r>
      <w:r>
        <w:rPr>
          <w:sz w:val="20"/>
          <w:szCs w:val="20"/>
        </w:rPr>
        <w:t xml:space="preserve">  enter a description of the item(s) being purchased, for example </w:t>
      </w:r>
      <w:r>
        <w:rPr>
          <w:i/>
          <w:iCs/>
          <w:sz w:val="20"/>
          <w:szCs w:val="20"/>
        </w:rPr>
        <w:t>“5 exterior doors”</w:t>
      </w:r>
      <w:r>
        <w:rPr>
          <w:sz w:val="20"/>
          <w:szCs w:val="20"/>
        </w:rPr>
        <w:t xml:space="preserve"> or </w:t>
      </w:r>
      <w:r>
        <w:rPr>
          <w:i/>
          <w:iCs/>
          <w:sz w:val="20"/>
          <w:szCs w:val="20"/>
        </w:rPr>
        <w:t>“consultant services”</w:t>
      </w:r>
      <w:r>
        <w:rPr>
          <w:sz w:val="20"/>
          <w:szCs w:val="20"/>
        </w:rPr>
        <w:t xml:space="preserve">. </w:t>
      </w:r>
    </w:p>
    <w:p w:rsidR="003E0109" w:rsidRDefault="00F544A3">
      <w:pPr>
        <w:pStyle w:val="BodyText"/>
        <w:tabs>
          <w:tab w:val="center" w:pos="4680"/>
        </w:tabs>
        <w:rPr>
          <w:sz w:val="20"/>
          <w:szCs w:val="20"/>
        </w:rPr>
      </w:pPr>
      <w:r>
        <w:rPr>
          <w:b/>
          <w:bCs/>
          <w:sz w:val="20"/>
          <w:szCs w:val="20"/>
        </w:rPr>
        <w:t>Vendor:</w:t>
      </w:r>
      <w:r>
        <w:rPr>
          <w:sz w:val="20"/>
          <w:szCs w:val="20"/>
        </w:rPr>
        <w:t xml:space="preserve">  enter the name of the vendor.</w:t>
      </w:r>
      <w:r>
        <w:rPr>
          <w:sz w:val="20"/>
          <w:szCs w:val="20"/>
        </w:rPr>
        <w:tab/>
      </w:r>
    </w:p>
    <w:p w:rsidR="003E0109" w:rsidRDefault="00F544A3">
      <w:pPr>
        <w:pStyle w:val="BodyText"/>
        <w:rPr>
          <w:sz w:val="20"/>
          <w:szCs w:val="20"/>
        </w:rPr>
      </w:pPr>
      <w:r>
        <w:rPr>
          <w:b/>
          <w:bCs/>
          <w:sz w:val="20"/>
          <w:szCs w:val="20"/>
        </w:rPr>
        <w:t>Basis of Selection:</w:t>
      </w:r>
      <w:r>
        <w:rPr>
          <w:sz w:val="20"/>
          <w:szCs w:val="20"/>
        </w:rPr>
        <w:t xml:space="preserve">  check the appropriate box, either (1) Lowest price; or (2) Competitive proposals; or (3) Non-competitive purchase; or (4) State or federal contract purchase.</w:t>
      </w:r>
    </w:p>
    <w:p w:rsidR="003E0109" w:rsidRDefault="00F544A3">
      <w:pPr>
        <w:pStyle w:val="BodyText"/>
        <w:ind w:left="360"/>
        <w:rPr>
          <w:sz w:val="20"/>
          <w:szCs w:val="20"/>
        </w:rPr>
      </w:pPr>
      <w:r>
        <w:rPr>
          <w:b/>
          <w:bCs/>
          <w:sz w:val="20"/>
          <w:szCs w:val="20"/>
        </w:rPr>
        <w:t>Lowest Price:</w:t>
      </w:r>
      <w:r>
        <w:rPr>
          <w:sz w:val="20"/>
          <w:szCs w:val="20"/>
        </w:rPr>
        <w:t xml:space="preserve">  enter the number of price quotes in the space provided.  If less than two quotes </w:t>
      </w:r>
      <w:r>
        <w:rPr>
          <w:sz w:val="20"/>
          <w:szCs w:val="20"/>
        </w:rPr>
        <w:t>received, this is a Non-competitive purchase, and you must check number 3 and complete the additional information.  Check “price quotes attached” if this purchase is based on Lowest Price, but is not included in the annual procurement, or check “price quot</w:t>
      </w:r>
      <w:r>
        <w:rPr>
          <w:sz w:val="20"/>
          <w:szCs w:val="20"/>
        </w:rPr>
        <w:t>es on file” if this purchase is based on Lowest Price and is part of the annual procurement.</w:t>
      </w:r>
    </w:p>
    <w:p w:rsidR="003E0109" w:rsidRDefault="00F544A3">
      <w:pPr>
        <w:pStyle w:val="BodyText"/>
        <w:ind w:left="360"/>
        <w:rPr>
          <w:sz w:val="20"/>
          <w:szCs w:val="20"/>
        </w:rPr>
      </w:pPr>
      <w:r>
        <w:rPr>
          <w:b/>
          <w:bCs/>
          <w:sz w:val="20"/>
          <w:szCs w:val="20"/>
        </w:rPr>
        <w:t>Competitive Proposals:</w:t>
      </w:r>
      <w:r>
        <w:rPr>
          <w:sz w:val="20"/>
          <w:szCs w:val="20"/>
        </w:rPr>
        <w:t xml:space="preserve">  Check this box if the purchase is the result of a Request for Proposals.  Attach a copy of the Contract with the invoice.</w:t>
      </w:r>
    </w:p>
    <w:p w:rsidR="003E0109" w:rsidRDefault="00F544A3">
      <w:pPr>
        <w:pStyle w:val="BodyText"/>
        <w:ind w:left="360"/>
        <w:rPr>
          <w:sz w:val="20"/>
          <w:szCs w:val="20"/>
        </w:rPr>
      </w:pPr>
      <w:r>
        <w:rPr>
          <w:b/>
          <w:bCs/>
          <w:sz w:val="20"/>
          <w:szCs w:val="20"/>
        </w:rPr>
        <w:t>Non-Competitive P</w:t>
      </w:r>
      <w:r>
        <w:rPr>
          <w:b/>
          <w:bCs/>
          <w:sz w:val="20"/>
          <w:szCs w:val="20"/>
        </w:rPr>
        <w:t>urchase:</w:t>
      </w:r>
      <w:r>
        <w:rPr>
          <w:sz w:val="20"/>
          <w:szCs w:val="20"/>
        </w:rPr>
        <w:t xml:space="preserve">  Check this box if there is only one quote submitted for the procurement (sole-source procurement).  One of the four boxes must be checked to justify why only one quote was obtained.  There can be no other justification for obtaining only one quot</w:t>
      </w:r>
      <w:r>
        <w:rPr>
          <w:sz w:val="20"/>
          <w:szCs w:val="20"/>
        </w:rPr>
        <w:t>e.  In addition, the reasonableness of the price being paid must be documented by checking one of the following boxes and attaching the related documentation.</w:t>
      </w:r>
    </w:p>
    <w:p w:rsidR="003E0109" w:rsidRDefault="00F544A3">
      <w:pPr>
        <w:pStyle w:val="BodyText"/>
        <w:ind w:left="720"/>
        <w:rPr>
          <w:sz w:val="20"/>
          <w:szCs w:val="20"/>
        </w:rPr>
      </w:pPr>
      <w:r>
        <w:rPr>
          <w:b/>
          <w:bCs/>
          <w:sz w:val="20"/>
          <w:szCs w:val="20"/>
        </w:rPr>
        <w:t>Cost breakdown:</w:t>
      </w:r>
      <w:r>
        <w:rPr>
          <w:sz w:val="20"/>
          <w:szCs w:val="20"/>
        </w:rPr>
        <w:t xml:space="preserve">  the vendor must supply a breakdown of his cost and estimated profit related to t</w:t>
      </w:r>
      <w:r>
        <w:rPr>
          <w:sz w:val="20"/>
          <w:szCs w:val="20"/>
        </w:rPr>
        <w:t>he purchase.</w:t>
      </w:r>
    </w:p>
    <w:p w:rsidR="003E0109" w:rsidRDefault="00F544A3">
      <w:pPr>
        <w:pStyle w:val="BodyText"/>
        <w:ind w:left="720"/>
        <w:rPr>
          <w:sz w:val="20"/>
          <w:szCs w:val="20"/>
        </w:rPr>
      </w:pPr>
      <w:r>
        <w:rPr>
          <w:b/>
          <w:bCs/>
          <w:sz w:val="20"/>
          <w:szCs w:val="20"/>
        </w:rPr>
        <w:t>Commercial pricing and sales information:</w:t>
      </w:r>
      <w:r>
        <w:rPr>
          <w:sz w:val="20"/>
          <w:szCs w:val="20"/>
        </w:rPr>
        <w:t xml:space="preserve">  provide a copy of a catalog page, an advertisement, or some other documentation that demonstrates the price being charged is the same or less than the price being charged to the general public.</w:t>
      </w:r>
    </w:p>
    <w:p w:rsidR="003E0109" w:rsidRDefault="00F544A3">
      <w:pPr>
        <w:pStyle w:val="BodyText"/>
        <w:ind w:left="720"/>
        <w:rPr>
          <w:sz w:val="20"/>
          <w:szCs w:val="20"/>
        </w:rPr>
      </w:pPr>
      <w:r>
        <w:rPr>
          <w:b/>
          <w:bCs/>
          <w:sz w:val="20"/>
          <w:szCs w:val="20"/>
        </w:rPr>
        <w:t>Law or</w:t>
      </w:r>
      <w:r>
        <w:rPr>
          <w:b/>
          <w:bCs/>
          <w:sz w:val="20"/>
          <w:szCs w:val="20"/>
        </w:rPr>
        <w:t xml:space="preserve"> regulation:</w:t>
      </w:r>
      <w:r>
        <w:rPr>
          <w:sz w:val="20"/>
          <w:szCs w:val="20"/>
        </w:rPr>
        <w:t xml:space="preserve">  provide a copy of a public document that prescribes a certain price be charged through the action of a public body.</w:t>
      </w:r>
    </w:p>
    <w:p w:rsidR="003E0109" w:rsidRDefault="00F544A3">
      <w:pPr>
        <w:pStyle w:val="BodyText"/>
        <w:ind w:left="360"/>
        <w:rPr>
          <w:sz w:val="20"/>
          <w:szCs w:val="20"/>
        </w:rPr>
      </w:pPr>
      <w:r>
        <w:rPr>
          <w:b/>
          <w:bCs/>
          <w:sz w:val="20"/>
          <w:szCs w:val="20"/>
        </w:rPr>
        <w:t>State or federal contract purchasing:</w:t>
      </w:r>
      <w:r>
        <w:rPr>
          <w:sz w:val="20"/>
          <w:szCs w:val="20"/>
        </w:rPr>
        <w:t xml:space="preserve">  Check this box if the purchase is through the State or federal procurement process, suc</w:t>
      </w:r>
      <w:r>
        <w:rPr>
          <w:sz w:val="20"/>
          <w:szCs w:val="20"/>
        </w:rPr>
        <w:t>h as for the purchase of vehicles.  Attach a copy of the appropriate contract or purchase order the vendor has with the State or federal government.</w:t>
      </w:r>
    </w:p>
    <w:p w:rsidR="003E0109" w:rsidRDefault="00F544A3">
      <w:pPr>
        <w:pStyle w:val="BodyText"/>
        <w:ind w:left="360"/>
        <w:rPr>
          <w:sz w:val="20"/>
          <w:szCs w:val="20"/>
        </w:rPr>
      </w:pPr>
      <w:r>
        <w:rPr>
          <w:b/>
          <w:bCs/>
          <w:sz w:val="20"/>
          <w:szCs w:val="20"/>
        </w:rPr>
        <w:lastRenderedPageBreak/>
        <w:t>Micro Purchasing:</w:t>
      </w:r>
      <w:r>
        <w:rPr>
          <w:sz w:val="20"/>
          <w:szCs w:val="20"/>
        </w:rPr>
        <w:t xml:space="preserve">  Check the appropriate box if the procurement is less than $10,000 or the Tribe threshold</w:t>
      </w:r>
      <w:r>
        <w:rPr>
          <w:sz w:val="20"/>
          <w:szCs w:val="20"/>
        </w:rPr>
        <w:t xml:space="preserve">, whichever is less.  Procurements cannot be separated to meet this threshold.  </w:t>
      </w:r>
    </w:p>
    <w:p w:rsidR="003E0109" w:rsidRDefault="00F544A3">
      <w:pPr>
        <w:spacing w:before="0" w:after="200"/>
        <w:rPr>
          <w:rFonts w:ascii="Arial" w:hAnsi="Arial" w:cs="Arial"/>
          <w:b/>
          <w:bCs/>
          <w:sz w:val="20"/>
        </w:rPr>
      </w:pPr>
      <w:r>
        <w:br w:type="page"/>
      </w:r>
    </w:p>
    <w:p w:rsidR="003E0109" w:rsidRDefault="00F544A3">
      <w:pPr>
        <w:pStyle w:val="Title"/>
        <w:jc w:val="center"/>
        <w:rPr>
          <w:sz w:val="40"/>
          <w:szCs w:val="40"/>
        </w:rPr>
      </w:pPr>
      <w:r>
        <w:rPr>
          <w:sz w:val="40"/>
          <w:szCs w:val="40"/>
        </w:rPr>
        <w:lastRenderedPageBreak/>
        <w:t>Procurement Analysis</w:t>
      </w:r>
    </w:p>
    <w:p w:rsidR="003E0109" w:rsidRDefault="003E0109">
      <w:pPr>
        <w:spacing w:after="240"/>
        <w:rPr>
          <w:rFonts w:ascii="Arial" w:hAnsi="Arial" w:cs="Arial"/>
          <w:b/>
          <w:bCs/>
          <w:sz w:val="20"/>
        </w:rPr>
      </w:pPr>
    </w:p>
    <w:p w:rsidR="003E0109" w:rsidRDefault="00F544A3">
      <w:pPr>
        <w:spacing w:after="240"/>
        <w:rPr>
          <w:rFonts w:ascii="Arial" w:hAnsi="Arial" w:cs="Arial"/>
          <w:sz w:val="20"/>
        </w:rPr>
      </w:pPr>
      <w:r>
        <w:rPr>
          <w:noProof/>
        </w:rPr>
        <mc:AlternateContent>
          <mc:Choice Requires="wps">
            <w:drawing>
              <wp:anchor distT="0" distB="0" distL="0" distR="0" simplePos="0" relativeHeight="16" behindDoc="0" locked="0" layoutInCell="1" allowOverlap="1" wp14:anchorId="23AA5F4D">
                <wp:simplePos x="0" y="0"/>
                <wp:positionH relativeFrom="column">
                  <wp:posOffset>571500</wp:posOffset>
                </wp:positionH>
                <wp:positionV relativeFrom="paragraph">
                  <wp:posOffset>193040</wp:posOffset>
                </wp:positionV>
                <wp:extent cx="4915535" cy="635"/>
                <wp:effectExtent l="9525" t="10160" r="9525" b="8890"/>
                <wp:wrapNone/>
                <wp:docPr id="1" name="Line 18"/>
                <wp:cNvGraphicFramePr/>
                <a:graphic xmlns:a="http://schemas.openxmlformats.org/drawingml/2006/main">
                  <a:graphicData uri="http://schemas.microsoft.com/office/word/2010/wordprocessingShape">
                    <wps:wsp>
                      <wps:cNvCnPr/>
                      <wps:spPr>
                        <a:xfrm>
                          <a:off x="0" y="0"/>
                          <a:ext cx="4915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5pt,15.2pt" to="431.95pt,15.2pt" ID="Line 18" stroked="t" style="position:absolute" wp14:anchorId="23AA5F4D">
                <v:stroke color="black" weight="9360" joinstyle="round" endcap="flat"/>
                <v:fill o:detectmouseclick="t" on="false"/>
              </v:line>
            </w:pict>
          </mc:Fallback>
        </mc:AlternateContent>
      </w:r>
      <w:r>
        <w:rPr>
          <w:rFonts w:ascii="Arial" w:hAnsi="Arial" w:cs="Arial"/>
          <w:b/>
          <w:bCs/>
          <w:sz w:val="20"/>
        </w:rPr>
        <w:t>Item</w:t>
      </w:r>
      <w:r>
        <w:rPr>
          <w:rFonts w:ascii="Arial" w:hAnsi="Arial" w:cs="Arial"/>
          <w:sz w:val="20"/>
        </w:rPr>
        <w:t xml:space="preserve">:  </w:t>
      </w:r>
    </w:p>
    <w:p w:rsidR="003E0109" w:rsidRDefault="00F544A3">
      <w:pPr>
        <w:rPr>
          <w:rFonts w:ascii="Arial" w:hAnsi="Arial" w:cs="Arial"/>
          <w:sz w:val="20"/>
        </w:rPr>
      </w:pPr>
      <w:r>
        <w:rPr>
          <w:noProof/>
        </w:rPr>
        <mc:AlternateContent>
          <mc:Choice Requires="wps">
            <w:drawing>
              <wp:anchor distT="0" distB="0" distL="0" distR="0" simplePos="0" relativeHeight="17" behindDoc="0" locked="0" layoutInCell="1" allowOverlap="1" wp14:anchorId="39E9BF06">
                <wp:simplePos x="0" y="0"/>
                <wp:positionH relativeFrom="column">
                  <wp:posOffset>571500</wp:posOffset>
                </wp:positionH>
                <wp:positionV relativeFrom="paragraph">
                  <wp:posOffset>125095</wp:posOffset>
                </wp:positionV>
                <wp:extent cx="4915535" cy="635"/>
                <wp:effectExtent l="9525" t="9525" r="9525" b="9525"/>
                <wp:wrapNone/>
                <wp:docPr id="2" name="Line 19"/>
                <wp:cNvGraphicFramePr/>
                <a:graphic xmlns:a="http://schemas.openxmlformats.org/drawingml/2006/main">
                  <a:graphicData uri="http://schemas.microsoft.com/office/word/2010/wordprocessingShape">
                    <wps:wsp>
                      <wps:cNvCnPr/>
                      <wps:spPr>
                        <a:xfrm>
                          <a:off x="0" y="0"/>
                          <a:ext cx="4915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5pt,9.85pt" to="431.95pt,9.85pt" ID="Line 19" stroked="t" style="position:absolute" wp14:anchorId="39E9BF06">
                <v:stroke color="black" weight="9360" joinstyle="round" endcap="flat"/>
                <v:fill o:detectmouseclick="t" on="false"/>
              </v:line>
            </w:pict>
          </mc:Fallback>
        </mc:AlternateContent>
      </w:r>
      <w:r>
        <w:rPr>
          <w:rFonts w:ascii="Arial" w:hAnsi="Arial" w:cs="Arial"/>
          <w:b/>
          <w:bCs/>
          <w:sz w:val="20"/>
        </w:rPr>
        <w:t>Vendor</w:t>
      </w:r>
      <w:r>
        <w:rPr>
          <w:rFonts w:ascii="Arial" w:hAnsi="Arial" w:cs="Arial"/>
          <w:sz w:val="20"/>
        </w:rPr>
        <w:t xml:space="preserve">: </w:t>
      </w:r>
    </w:p>
    <w:p w:rsidR="003E0109" w:rsidRDefault="00F544A3">
      <w:pPr>
        <w:rPr>
          <w:rFonts w:ascii="Arial" w:hAnsi="Arial" w:cs="Arial"/>
          <w:sz w:val="20"/>
        </w:rPr>
      </w:pPr>
      <w:r>
        <w:rPr>
          <w:noProof/>
        </w:rPr>
        <mc:AlternateContent>
          <mc:Choice Requires="wps">
            <w:drawing>
              <wp:anchor distT="0" distB="0" distL="0" distR="0" simplePos="0" relativeHeight="2" behindDoc="0" locked="0" layoutInCell="1" allowOverlap="1" wp14:anchorId="01C64EA5">
                <wp:simplePos x="0" y="0"/>
                <wp:positionH relativeFrom="column">
                  <wp:posOffset>142875</wp:posOffset>
                </wp:positionH>
                <wp:positionV relativeFrom="paragraph">
                  <wp:posOffset>233045</wp:posOffset>
                </wp:positionV>
                <wp:extent cx="114935" cy="114935"/>
                <wp:effectExtent l="9525" t="9525" r="9525" b="9525"/>
                <wp:wrapNone/>
                <wp:docPr id="3" name="Rectangle 2"/>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fillcolor="white" stroked="t" style="position:absolute;margin-left:11.25pt;margin-top:18.35pt;width:8.95pt;height:8.95pt" wp14:anchorId="01C64EA5">
                <w10:wrap type="none"/>
                <v:fill o:detectmouseclick="t" type="solid" color2="black"/>
                <v:stroke color="black" weight="9360" joinstyle="miter" endcap="flat"/>
              </v:rect>
            </w:pict>
          </mc:Fallback>
        </mc:AlternateContent>
      </w:r>
      <w:r>
        <w:rPr>
          <w:rFonts w:ascii="Arial" w:hAnsi="Arial" w:cs="Arial"/>
          <w:b/>
          <w:bCs/>
          <w:sz w:val="20"/>
          <w:u w:val="single"/>
        </w:rPr>
        <w:t>Basis of Selection</w:t>
      </w:r>
      <w:r>
        <w:rPr>
          <w:rFonts w:ascii="Arial" w:hAnsi="Arial" w:cs="Arial"/>
          <w:sz w:val="20"/>
        </w:rPr>
        <w:t>:</w:t>
      </w:r>
    </w:p>
    <w:p w:rsidR="003E0109" w:rsidRDefault="00F544A3">
      <w:pPr>
        <w:ind w:firstLine="720"/>
        <w:rPr>
          <w:rFonts w:cs="Arial"/>
          <w:sz w:val="20"/>
          <w:szCs w:val="20"/>
        </w:rPr>
      </w:pPr>
      <w:r>
        <w:rPr>
          <w:rFonts w:cs="Arial"/>
          <w:sz w:val="20"/>
          <w:szCs w:val="20"/>
        </w:rPr>
        <w:t xml:space="preserve">1.  </w:t>
      </w:r>
      <w:r>
        <w:rPr>
          <w:rFonts w:cs="Arial"/>
          <w:b/>
          <w:bCs/>
          <w:sz w:val="20"/>
          <w:szCs w:val="20"/>
        </w:rPr>
        <w:t>Lowest price</w:t>
      </w:r>
      <w:r>
        <w:rPr>
          <w:rFonts w:cs="Arial"/>
          <w:sz w:val="20"/>
          <w:szCs w:val="20"/>
        </w:rPr>
        <w:t xml:space="preserve"> from among _____ price quotes.</w:t>
      </w:r>
    </w:p>
    <w:p w:rsidR="003E0109" w:rsidRDefault="00F544A3">
      <w:pPr>
        <w:ind w:left="1440"/>
        <w:rPr>
          <w:rFonts w:cs="Arial"/>
          <w:sz w:val="20"/>
          <w:szCs w:val="20"/>
        </w:rPr>
      </w:pPr>
      <w:r>
        <w:rPr>
          <w:noProof/>
        </w:rPr>
        <mc:AlternateContent>
          <mc:Choice Requires="wps">
            <w:drawing>
              <wp:anchor distT="0" distB="0" distL="0" distR="0" simplePos="0" relativeHeight="8" behindDoc="0" locked="0" layoutInCell="1" allowOverlap="1" wp14:anchorId="2E1F6B89">
                <wp:simplePos x="0" y="0"/>
                <wp:positionH relativeFrom="column">
                  <wp:posOffset>638175</wp:posOffset>
                </wp:positionH>
                <wp:positionV relativeFrom="paragraph">
                  <wp:posOffset>19050</wp:posOffset>
                </wp:positionV>
                <wp:extent cx="114935" cy="114935"/>
                <wp:effectExtent l="9525" t="13970" r="9525" b="5080"/>
                <wp:wrapNone/>
                <wp:docPr id="4" name="Rectangle 9"/>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9" fillcolor="white" stroked="t" style="position:absolute;margin-left:50.25pt;margin-top:1.5pt;width:8.95pt;height:8.95pt" wp14:anchorId="2E1F6B89">
                <w10:wrap type="none"/>
                <v:fill o:detectmouseclick="t" type="solid" color2="black"/>
                <v:stroke color="black" weight="9360" joinstyle="miter" endcap="flat"/>
              </v:rect>
            </w:pict>
          </mc:Fallback>
        </mc:AlternateContent>
      </w:r>
      <w:r>
        <w:rPr>
          <w:noProof/>
        </w:rPr>
        <mc:AlternateContent>
          <mc:Choice Requires="wps">
            <w:drawing>
              <wp:anchor distT="0" distB="0" distL="0" distR="0" simplePos="0" relativeHeight="9" behindDoc="0" locked="0" layoutInCell="1" allowOverlap="1" wp14:anchorId="025266E3">
                <wp:simplePos x="0" y="0"/>
                <wp:positionH relativeFrom="column">
                  <wp:posOffset>647700</wp:posOffset>
                </wp:positionH>
                <wp:positionV relativeFrom="paragraph">
                  <wp:posOffset>216535</wp:posOffset>
                </wp:positionV>
                <wp:extent cx="114935" cy="114935"/>
                <wp:effectExtent l="9525" t="8890" r="9525" b="10160"/>
                <wp:wrapNone/>
                <wp:docPr id="5" name="Rectangle 10"/>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0" fillcolor="white" stroked="t" style="position:absolute;margin-left:51pt;margin-top:17.05pt;width:8.95pt;height:8.95pt" wp14:anchorId="025266E3">
                <w10:wrap type="none"/>
                <v:fill o:detectmouseclick="t" type="solid" color2="black"/>
                <v:stroke color="black" weight="9360" joinstyle="miter" endcap="flat"/>
              </v:rect>
            </w:pict>
          </mc:Fallback>
        </mc:AlternateContent>
      </w:r>
      <w:r>
        <w:rPr>
          <w:rFonts w:cs="Arial"/>
          <w:sz w:val="20"/>
          <w:szCs w:val="20"/>
        </w:rPr>
        <w:t>Price quotes attached.</w:t>
      </w:r>
    </w:p>
    <w:p w:rsidR="003E0109" w:rsidRDefault="00F544A3">
      <w:pPr>
        <w:ind w:left="1440"/>
        <w:rPr>
          <w:rFonts w:cs="Arial"/>
          <w:sz w:val="20"/>
          <w:szCs w:val="20"/>
        </w:rPr>
      </w:pPr>
      <w:r>
        <w:rPr>
          <w:rFonts w:cs="Arial"/>
          <w:sz w:val="20"/>
          <w:szCs w:val="20"/>
        </w:rPr>
        <w:t>Price quotes on file.</w:t>
      </w:r>
    </w:p>
    <w:p w:rsidR="003E0109" w:rsidRDefault="00F544A3">
      <w:pPr>
        <w:ind w:firstLine="720"/>
        <w:rPr>
          <w:rFonts w:cs="Arial"/>
          <w:sz w:val="20"/>
          <w:szCs w:val="20"/>
        </w:rPr>
      </w:pPr>
      <w:r>
        <w:rPr>
          <w:noProof/>
        </w:rPr>
        <mc:AlternateContent>
          <mc:Choice Requires="wps">
            <w:drawing>
              <wp:anchor distT="0" distB="0" distL="0" distR="0" simplePos="0" relativeHeight="18" behindDoc="0" locked="0" layoutInCell="1" allowOverlap="1" wp14:anchorId="24E1FA0C">
                <wp:simplePos x="0" y="0"/>
                <wp:positionH relativeFrom="column">
                  <wp:posOffset>161925</wp:posOffset>
                </wp:positionH>
                <wp:positionV relativeFrom="paragraph">
                  <wp:posOffset>13335</wp:posOffset>
                </wp:positionV>
                <wp:extent cx="114935" cy="114935"/>
                <wp:effectExtent l="9525" t="8255" r="9525" b="10795"/>
                <wp:wrapNone/>
                <wp:docPr id="6" name="Rectangle 20"/>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fillcolor="white" stroked="t" style="position:absolute;margin-left:12.75pt;margin-top:1.05pt;width:8.95pt;height:8.95pt" wp14:anchorId="24E1FA0C">
                <w10:wrap type="none"/>
                <v:fill o:detectmouseclick="t" type="solid" color2="black"/>
                <v:stroke color="black" weight="9360" joinstyle="miter" endcap="flat"/>
              </v:rect>
            </w:pict>
          </mc:Fallback>
        </mc:AlternateContent>
      </w:r>
      <w:r>
        <w:rPr>
          <w:rFonts w:cs="Arial"/>
          <w:sz w:val="20"/>
          <w:szCs w:val="20"/>
        </w:rPr>
        <w:t xml:space="preserve">2.  </w:t>
      </w:r>
      <w:r>
        <w:rPr>
          <w:rFonts w:cs="Arial"/>
          <w:b/>
          <w:bCs/>
          <w:sz w:val="20"/>
          <w:szCs w:val="20"/>
        </w:rPr>
        <w:t>Competitive</w:t>
      </w:r>
      <w:r>
        <w:rPr>
          <w:rFonts w:cs="Arial"/>
          <w:b/>
          <w:bCs/>
          <w:sz w:val="20"/>
          <w:szCs w:val="20"/>
        </w:rPr>
        <w:t xml:space="preserve"> Proposals</w:t>
      </w:r>
      <w:r>
        <w:rPr>
          <w:rFonts w:cs="Arial"/>
          <w:sz w:val="20"/>
          <w:szCs w:val="20"/>
        </w:rPr>
        <w:t>.  Copy of Contract attached.</w:t>
      </w:r>
    </w:p>
    <w:p w:rsidR="003E0109" w:rsidRDefault="00F544A3">
      <w:pPr>
        <w:ind w:left="1008" w:hanging="288"/>
        <w:rPr>
          <w:rFonts w:cs="Arial"/>
          <w:sz w:val="20"/>
          <w:szCs w:val="20"/>
        </w:rPr>
      </w:pPr>
      <w:r>
        <w:rPr>
          <w:noProof/>
        </w:rPr>
        <mc:AlternateContent>
          <mc:Choice Requires="wps">
            <w:drawing>
              <wp:anchor distT="0" distB="0" distL="0" distR="0" simplePos="0" relativeHeight="3" behindDoc="0" locked="0" layoutInCell="1" allowOverlap="1" wp14:anchorId="6CD93065">
                <wp:simplePos x="0" y="0"/>
                <wp:positionH relativeFrom="column">
                  <wp:posOffset>161925</wp:posOffset>
                </wp:positionH>
                <wp:positionV relativeFrom="paragraph">
                  <wp:posOffset>19050</wp:posOffset>
                </wp:positionV>
                <wp:extent cx="114935" cy="114935"/>
                <wp:effectExtent l="9525" t="13970" r="9525" b="5080"/>
                <wp:wrapNone/>
                <wp:docPr id="7" name="Rectangle 3"/>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fillcolor="white" stroked="t" style="position:absolute;margin-left:12.75pt;margin-top:1.5pt;width:8.95pt;height:8.95pt" wp14:anchorId="6CD93065">
                <w10:wrap type="none"/>
                <v:fill o:detectmouseclick="t" type="solid" color2="black"/>
                <v:stroke color="black" weight="9360" joinstyle="miter" endcap="flat"/>
              </v:rect>
            </w:pict>
          </mc:Fallback>
        </mc:AlternateContent>
      </w:r>
      <w:r>
        <w:rPr>
          <w:rFonts w:cs="Arial"/>
          <w:sz w:val="20"/>
          <w:szCs w:val="20"/>
        </w:rPr>
        <w:t xml:space="preserve">3.  </w:t>
      </w:r>
      <w:r>
        <w:rPr>
          <w:rFonts w:cs="Arial"/>
          <w:b/>
          <w:bCs/>
          <w:sz w:val="20"/>
          <w:szCs w:val="20"/>
        </w:rPr>
        <w:t>Non-Competitive Purchase</w:t>
      </w:r>
      <w:r>
        <w:rPr>
          <w:rFonts w:cs="Arial"/>
          <w:sz w:val="20"/>
          <w:szCs w:val="20"/>
        </w:rPr>
        <w:t xml:space="preserve"> due to at least </w:t>
      </w:r>
      <w:r>
        <w:rPr>
          <w:rFonts w:cs="Arial"/>
          <w:sz w:val="20"/>
          <w:szCs w:val="20"/>
          <w:u w:val="single"/>
        </w:rPr>
        <w:t>one</w:t>
      </w:r>
      <w:r>
        <w:rPr>
          <w:rFonts w:cs="Arial"/>
          <w:sz w:val="20"/>
          <w:szCs w:val="20"/>
        </w:rPr>
        <w:t xml:space="preserve"> of the following reasons:</w:t>
      </w:r>
    </w:p>
    <w:p w:rsidR="003E0109" w:rsidRDefault="00F544A3">
      <w:pPr>
        <w:ind w:left="1440"/>
        <w:rPr>
          <w:sz w:val="20"/>
          <w:szCs w:val="20"/>
        </w:rPr>
      </w:pPr>
      <w:r>
        <w:rPr>
          <w:noProof/>
        </w:rPr>
        <mc:AlternateContent>
          <mc:Choice Requires="wps">
            <w:drawing>
              <wp:anchor distT="0" distB="0" distL="0" distR="0" simplePos="0" relativeHeight="4" behindDoc="0" locked="0" layoutInCell="1" allowOverlap="1" wp14:anchorId="3F591926">
                <wp:simplePos x="0" y="0"/>
                <wp:positionH relativeFrom="column">
                  <wp:posOffset>685800</wp:posOffset>
                </wp:positionH>
                <wp:positionV relativeFrom="paragraph">
                  <wp:posOffset>13335</wp:posOffset>
                </wp:positionV>
                <wp:extent cx="114935" cy="114935"/>
                <wp:effectExtent l="9525" t="11430" r="9525" b="7620"/>
                <wp:wrapNone/>
                <wp:docPr id="8" name="Rectangle 4"/>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 fillcolor="white" stroked="t" style="position:absolute;margin-left:54pt;margin-top:1.05pt;width:8.95pt;height:8.95pt" wp14:anchorId="3F591926">
                <w10:wrap type="none"/>
                <v:fill o:detectmouseclick="t" type="solid" color2="black"/>
                <v:stroke color="black" weight="9360" joinstyle="miter" endcap="flat"/>
              </v:rect>
            </w:pict>
          </mc:Fallback>
        </mc:AlternateContent>
      </w:r>
      <w:r>
        <w:rPr>
          <w:sz w:val="20"/>
          <w:szCs w:val="20"/>
        </w:rPr>
        <w:t xml:space="preserve">The item is available only from a single source, based on a good faith review of available sources. </w:t>
      </w:r>
    </w:p>
    <w:p w:rsidR="003E0109" w:rsidRDefault="00F544A3">
      <w:pPr>
        <w:ind w:left="1440"/>
        <w:rPr>
          <w:rFonts w:cs="Arial"/>
          <w:sz w:val="20"/>
          <w:szCs w:val="20"/>
        </w:rPr>
      </w:pPr>
      <w:r>
        <w:rPr>
          <w:noProof/>
        </w:rPr>
        <mc:AlternateContent>
          <mc:Choice Requires="wps">
            <w:drawing>
              <wp:anchor distT="0" distB="0" distL="0" distR="0" simplePos="0" relativeHeight="5" behindDoc="0" locked="0" layoutInCell="1" allowOverlap="1" wp14:anchorId="5E0A3ECF">
                <wp:simplePos x="0" y="0"/>
                <wp:positionH relativeFrom="column">
                  <wp:posOffset>685800</wp:posOffset>
                </wp:positionH>
                <wp:positionV relativeFrom="paragraph">
                  <wp:posOffset>15875</wp:posOffset>
                </wp:positionV>
                <wp:extent cx="114935" cy="114935"/>
                <wp:effectExtent l="9525" t="10795" r="9525" b="8255"/>
                <wp:wrapNone/>
                <wp:docPr id="9" name="Rectangle 6"/>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fillcolor="white" stroked="t" style="position:absolute;margin-left:54pt;margin-top:1.25pt;width:8.95pt;height:8.95pt" wp14:anchorId="5E0A3ECF">
                <w10:wrap type="none"/>
                <v:fill o:detectmouseclick="t" type="solid" color2="black"/>
                <v:stroke color="black" weight="9360" joinstyle="miter" endcap="flat"/>
              </v:rect>
            </w:pict>
          </mc:Fallback>
        </mc:AlternateContent>
      </w:r>
      <w:r>
        <w:rPr>
          <w:rFonts w:cs="Arial"/>
          <w:sz w:val="20"/>
          <w:szCs w:val="20"/>
        </w:rPr>
        <w:t>An emergency exists that seriously th</w:t>
      </w:r>
      <w:r>
        <w:rPr>
          <w:rFonts w:cs="Arial"/>
          <w:sz w:val="20"/>
          <w:szCs w:val="20"/>
        </w:rPr>
        <w:t>reatens the public health, welfare, or safety, or endangers property, or would otherwise cause serious injury, as may arise by reason of a flood, earthquake, epidemic, riot, equipment failure, or similar event. In such cases, there must be an immediate and</w:t>
      </w:r>
      <w:r>
        <w:rPr>
          <w:rFonts w:cs="Arial"/>
          <w:sz w:val="20"/>
          <w:szCs w:val="20"/>
        </w:rPr>
        <w:t xml:space="preserve"> serious need for supplies, services, or construction such that the need cannot be met through any other procurement methods and the emergency procurement shall be limited to those supplies, services or construction necessary to meet the emergency.</w:t>
      </w:r>
    </w:p>
    <w:p w:rsidR="003E0109" w:rsidRDefault="00F544A3">
      <w:pPr>
        <w:ind w:left="1440"/>
        <w:rPr>
          <w:rFonts w:cs="Arial"/>
          <w:sz w:val="20"/>
          <w:szCs w:val="20"/>
        </w:rPr>
      </w:pPr>
      <w:r>
        <w:rPr>
          <w:noProof/>
        </w:rPr>
        <mc:AlternateContent>
          <mc:Choice Requires="wps">
            <w:drawing>
              <wp:anchor distT="0" distB="0" distL="0" distR="0" simplePos="0" relativeHeight="7" behindDoc="0" locked="0" layoutInCell="1" allowOverlap="1" wp14:anchorId="26F14AE6">
                <wp:simplePos x="0" y="0"/>
                <wp:positionH relativeFrom="column">
                  <wp:posOffset>685800</wp:posOffset>
                </wp:positionH>
                <wp:positionV relativeFrom="paragraph">
                  <wp:posOffset>18415</wp:posOffset>
                </wp:positionV>
                <wp:extent cx="114935" cy="114935"/>
                <wp:effectExtent l="9525" t="6985" r="9525" b="12065"/>
                <wp:wrapNone/>
                <wp:docPr id="10" name="Rectangle 8"/>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 fillcolor="white" stroked="t" style="position:absolute;margin-left:54pt;margin-top:1.45pt;width:8.95pt;height:8.95pt" wp14:anchorId="26F14AE6">
                <w10:wrap type="none"/>
                <v:fill o:detectmouseclick="t" type="solid" color2="black"/>
                <v:stroke color="black" weight="9360" joinstyle="miter" endcap="flat"/>
              </v:rect>
            </w:pict>
          </mc:Fallback>
        </mc:AlternateContent>
      </w:r>
      <w:r>
        <w:rPr>
          <w:rFonts w:cs="Arial"/>
          <w:sz w:val="20"/>
          <w:szCs w:val="20"/>
        </w:rPr>
        <w:t>Fundin</w:t>
      </w:r>
      <w:r>
        <w:rPr>
          <w:rFonts w:cs="Arial"/>
          <w:sz w:val="20"/>
          <w:szCs w:val="20"/>
        </w:rPr>
        <w:t>g Agency has authorized the use of non-competitive proposals (attach written approval).</w:t>
      </w:r>
    </w:p>
    <w:p w:rsidR="003E0109" w:rsidRDefault="00F544A3">
      <w:pPr>
        <w:spacing w:before="60" w:after="60"/>
        <w:ind w:left="1440"/>
        <w:rPr>
          <w:rFonts w:cs="Arial"/>
          <w:sz w:val="20"/>
          <w:szCs w:val="20"/>
        </w:rPr>
      </w:pPr>
      <w:r>
        <w:rPr>
          <w:noProof/>
        </w:rPr>
        <mc:AlternateContent>
          <mc:Choice Requires="wps">
            <w:drawing>
              <wp:anchor distT="0" distB="0" distL="0" distR="0" simplePos="0" relativeHeight="6" behindDoc="0" locked="0" layoutInCell="1" allowOverlap="1" wp14:anchorId="6BC9B97E">
                <wp:simplePos x="0" y="0"/>
                <wp:positionH relativeFrom="column">
                  <wp:posOffset>704850</wp:posOffset>
                </wp:positionH>
                <wp:positionV relativeFrom="paragraph">
                  <wp:posOffset>14605</wp:posOffset>
                </wp:positionV>
                <wp:extent cx="114935" cy="114935"/>
                <wp:effectExtent l="9525" t="8890" r="9525" b="10160"/>
                <wp:wrapNone/>
                <wp:docPr id="11" name="Rectangle 7"/>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 fillcolor="white" stroked="t" style="position:absolute;margin-left:55.5pt;margin-top:1.15pt;width:8.95pt;height:8.95pt" wp14:anchorId="6BC9B97E">
                <w10:wrap type="none"/>
                <v:fill o:detectmouseclick="t" type="solid" color2="black"/>
                <v:stroke color="black" weight="9360" joinstyle="miter" endcap="flat"/>
              </v:rect>
            </w:pict>
          </mc:Fallback>
        </mc:AlternateContent>
      </w:r>
      <w:r>
        <w:rPr>
          <w:rFonts w:cs="Arial"/>
          <w:sz w:val="20"/>
          <w:szCs w:val="20"/>
        </w:rPr>
        <w:t>After solicitation of a number of sources, competition is</w:t>
      </w:r>
      <w:r>
        <w:rPr>
          <w:sz w:val="20"/>
          <w:szCs w:val="20"/>
        </w:rPr>
        <w:t xml:space="preserve"> </w:t>
      </w:r>
      <w:r>
        <w:rPr>
          <w:rFonts w:cs="Arial"/>
          <w:sz w:val="20"/>
          <w:szCs w:val="20"/>
        </w:rPr>
        <w:t>determined inadequate.</w:t>
      </w:r>
    </w:p>
    <w:p w:rsidR="003E0109" w:rsidRDefault="00F544A3">
      <w:pPr>
        <w:pStyle w:val="BodyTextIndent"/>
        <w:ind w:left="1008"/>
        <w:rPr>
          <w:rFonts w:cs="Arial"/>
          <w:sz w:val="20"/>
          <w:szCs w:val="20"/>
        </w:rPr>
      </w:pPr>
      <w:r>
        <w:rPr>
          <w:rFonts w:cs="Arial"/>
          <w:sz w:val="20"/>
          <w:szCs w:val="20"/>
        </w:rPr>
        <w:t>To document the price-reasonableness of a non-competitive purchase, one or more of the</w:t>
      </w:r>
      <w:r>
        <w:rPr>
          <w:rFonts w:cs="Arial"/>
          <w:sz w:val="20"/>
          <w:szCs w:val="20"/>
        </w:rPr>
        <w:t xml:space="preserve"> following has been attached:</w:t>
      </w:r>
    </w:p>
    <w:p w:rsidR="003E0109" w:rsidRDefault="00F544A3">
      <w:pPr>
        <w:ind w:left="1440"/>
        <w:rPr>
          <w:rFonts w:cs="Arial"/>
          <w:sz w:val="20"/>
          <w:szCs w:val="20"/>
        </w:rPr>
      </w:pPr>
      <w:r>
        <w:rPr>
          <w:noProof/>
        </w:rPr>
        <mc:AlternateContent>
          <mc:Choice Requires="wps">
            <w:drawing>
              <wp:anchor distT="0" distB="0" distL="0" distR="0" simplePos="0" relativeHeight="10" behindDoc="0" locked="0" layoutInCell="1" allowOverlap="1" wp14:anchorId="473E2554">
                <wp:simplePos x="0" y="0"/>
                <wp:positionH relativeFrom="column">
                  <wp:posOffset>695325</wp:posOffset>
                </wp:positionH>
                <wp:positionV relativeFrom="paragraph">
                  <wp:posOffset>4445</wp:posOffset>
                </wp:positionV>
                <wp:extent cx="114935" cy="114935"/>
                <wp:effectExtent l="9525" t="8255" r="9525" b="10795"/>
                <wp:wrapNone/>
                <wp:docPr id="12" name="Rectangle 11"/>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1" fillcolor="white" stroked="t" style="position:absolute;margin-left:54.75pt;margin-top:0.35pt;width:8.95pt;height:8.95pt" wp14:anchorId="473E2554">
                <w10:wrap type="none"/>
                <v:fill o:detectmouseclick="t" type="solid" color2="black"/>
                <v:stroke color="black" weight="9360" joinstyle="miter" endcap="flat"/>
              </v:rect>
            </w:pict>
          </mc:Fallback>
        </mc:AlternateContent>
      </w:r>
      <w:r>
        <w:rPr>
          <w:rFonts w:cs="Arial"/>
          <w:sz w:val="20"/>
          <w:szCs w:val="20"/>
        </w:rPr>
        <w:t>A cost breakdown showing projected costs and profit.</w:t>
      </w:r>
    </w:p>
    <w:p w:rsidR="003E0109" w:rsidRDefault="00F544A3">
      <w:pPr>
        <w:ind w:left="1440"/>
        <w:rPr>
          <w:rFonts w:cs="Arial"/>
          <w:sz w:val="20"/>
          <w:szCs w:val="20"/>
        </w:rPr>
      </w:pPr>
      <w:r>
        <w:rPr>
          <w:noProof/>
        </w:rPr>
        <mc:AlternateContent>
          <mc:Choice Requires="wps">
            <w:drawing>
              <wp:anchor distT="0" distB="0" distL="0" distR="0" simplePos="0" relativeHeight="11" behindDoc="0" locked="0" layoutInCell="1" allowOverlap="1" wp14:anchorId="0B5B2C9D">
                <wp:simplePos x="0" y="0"/>
                <wp:positionH relativeFrom="column">
                  <wp:posOffset>704850</wp:posOffset>
                </wp:positionH>
                <wp:positionV relativeFrom="paragraph">
                  <wp:posOffset>17145</wp:posOffset>
                </wp:positionV>
                <wp:extent cx="114935" cy="114935"/>
                <wp:effectExtent l="9525" t="5080" r="9525" b="13970"/>
                <wp:wrapNone/>
                <wp:docPr id="13" name="Rectangle 12"/>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2" fillcolor="white" stroked="t" style="position:absolute;margin-left:55.5pt;margin-top:1.35pt;width:8.95pt;height:8.95pt" wp14:anchorId="0B5B2C9D">
                <w10:wrap type="none"/>
                <v:fill o:detectmouseclick="t" type="solid" color2="black"/>
                <v:stroke color="black" weight="9360" joinstyle="miter" endcap="flat"/>
              </v:rect>
            </w:pict>
          </mc:Fallback>
        </mc:AlternateContent>
      </w:r>
      <w:r>
        <w:rPr>
          <w:noProof/>
        </w:rPr>
        <mc:AlternateContent>
          <mc:Choice Requires="wps">
            <w:drawing>
              <wp:anchor distT="0" distB="0" distL="0" distR="0" simplePos="0" relativeHeight="12" behindDoc="0" locked="0" layoutInCell="1" allowOverlap="1" wp14:anchorId="2633D04F">
                <wp:simplePos x="0" y="0"/>
                <wp:positionH relativeFrom="column">
                  <wp:posOffset>723900</wp:posOffset>
                </wp:positionH>
                <wp:positionV relativeFrom="paragraph">
                  <wp:posOffset>571500</wp:posOffset>
                </wp:positionV>
                <wp:extent cx="114935" cy="114935"/>
                <wp:effectExtent l="9525" t="11430" r="9525" b="7620"/>
                <wp:wrapNone/>
                <wp:docPr id="14" name="Rectangle 13"/>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fillcolor="white" stroked="t" style="position:absolute;margin-left:57pt;margin-top:45pt;width:8.95pt;height:8.95pt" wp14:anchorId="2633D04F">
                <w10:wrap type="none"/>
                <v:fill o:detectmouseclick="t" type="solid" color2="black"/>
                <v:stroke color="black" weight="9360" joinstyle="miter" endcap="flat"/>
              </v:rect>
            </w:pict>
          </mc:Fallback>
        </mc:AlternateContent>
      </w:r>
      <w:r>
        <w:rPr>
          <w:rFonts w:cs="Arial"/>
          <w:sz w:val="20"/>
          <w:szCs w:val="20"/>
        </w:rPr>
        <w:t xml:space="preserve">Commercial pricing and sales information sufficient to enable the Housing Department to verify the reasonableness of the proposed price as a catalog or market price of a </w:t>
      </w:r>
      <w:r>
        <w:rPr>
          <w:rFonts w:cs="Arial"/>
          <w:sz w:val="20"/>
          <w:szCs w:val="20"/>
        </w:rPr>
        <w:t>commercial product sold in substantial quantities to the general public.</w:t>
      </w:r>
    </w:p>
    <w:p w:rsidR="003E0109" w:rsidRDefault="00F544A3">
      <w:pPr>
        <w:ind w:left="1440"/>
        <w:rPr>
          <w:rFonts w:cs="Arial"/>
          <w:sz w:val="20"/>
          <w:szCs w:val="20"/>
        </w:rPr>
      </w:pPr>
      <w:r>
        <w:rPr>
          <w:rFonts w:cs="Arial"/>
          <w:sz w:val="20"/>
          <w:szCs w:val="20"/>
        </w:rPr>
        <w:t xml:space="preserve">Documentation showing that law or regulation sets the offered price. </w:t>
      </w:r>
    </w:p>
    <w:p w:rsidR="003E0109" w:rsidRDefault="00F544A3">
      <w:pPr>
        <w:ind w:left="1008" w:hanging="288"/>
        <w:rPr>
          <w:rFonts w:cs="Arial"/>
          <w:sz w:val="20"/>
          <w:szCs w:val="20"/>
        </w:rPr>
      </w:pPr>
      <w:r>
        <w:rPr>
          <w:noProof/>
        </w:rPr>
        <mc:AlternateContent>
          <mc:Choice Requires="wps">
            <w:drawing>
              <wp:anchor distT="0" distB="0" distL="0" distR="0" simplePos="0" relativeHeight="13" behindDoc="0" locked="0" layoutInCell="1" allowOverlap="1" wp14:anchorId="63CC4A38">
                <wp:simplePos x="0" y="0"/>
                <wp:positionH relativeFrom="column">
                  <wp:posOffset>161925</wp:posOffset>
                </wp:positionH>
                <wp:positionV relativeFrom="paragraph">
                  <wp:posOffset>19050</wp:posOffset>
                </wp:positionV>
                <wp:extent cx="114935" cy="114935"/>
                <wp:effectExtent l="9525" t="13335" r="9525" b="5715"/>
                <wp:wrapNone/>
                <wp:docPr id="15" name="Rectangle 14"/>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fillcolor="white" stroked="t" style="position:absolute;margin-left:12.75pt;margin-top:1.5pt;width:8.95pt;height:8.95pt" wp14:anchorId="63CC4A38">
                <w10:wrap type="none"/>
                <v:fill o:detectmouseclick="t" type="solid" color2="black"/>
                <v:stroke color="black" weight="9360" joinstyle="miter" endcap="flat"/>
              </v:rect>
            </w:pict>
          </mc:Fallback>
        </mc:AlternateContent>
      </w:r>
      <w:r>
        <w:rPr>
          <w:rFonts w:cs="Arial"/>
          <w:sz w:val="20"/>
          <w:szCs w:val="20"/>
        </w:rPr>
        <w:t xml:space="preserve">4.  </w:t>
      </w:r>
      <w:r>
        <w:rPr>
          <w:rFonts w:cs="Arial"/>
          <w:b/>
          <w:bCs/>
          <w:sz w:val="20"/>
          <w:szCs w:val="20"/>
        </w:rPr>
        <w:t>State or federal contract purchasing</w:t>
      </w:r>
      <w:r>
        <w:rPr>
          <w:rFonts w:cs="Arial"/>
          <w:sz w:val="20"/>
          <w:szCs w:val="20"/>
        </w:rPr>
        <w:t>.  Copy of contract attached.</w:t>
      </w:r>
    </w:p>
    <w:p w:rsidR="003E0109" w:rsidRDefault="00F544A3">
      <w:pPr>
        <w:ind w:left="1008" w:hanging="288"/>
        <w:rPr>
          <w:rFonts w:cs="Arial"/>
          <w:sz w:val="20"/>
          <w:szCs w:val="20"/>
        </w:rPr>
      </w:pPr>
      <w:r>
        <w:rPr>
          <w:noProof/>
        </w:rPr>
        <mc:AlternateContent>
          <mc:Choice Requires="wps">
            <w:drawing>
              <wp:anchor distT="0" distB="0" distL="0" distR="0" simplePos="0" relativeHeight="19" behindDoc="0" locked="0" layoutInCell="1" allowOverlap="1" wp14:anchorId="17772F58">
                <wp:simplePos x="0" y="0"/>
                <wp:positionH relativeFrom="column">
                  <wp:posOffset>161925</wp:posOffset>
                </wp:positionH>
                <wp:positionV relativeFrom="paragraph">
                  <wp:posOffset>19050</wp:posOffset>
                </wp:positionV>
                <wp:extent cx="114935" cy="114935"/>
                <wp:effectExtent l="9525" t="6985" r="9525" b="12065"/>
                <wp:wrapNone/>
                <wp:docPr id="16" name="Rectangle 21"/>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fillcolor="white" stroked="t" style="position:absolute;margin-left:12.75pt;margin-top:1.5pt;width:8.95pt;height:8.95pt" wp14:anchorId="17772F58">
                <w10:wrap type="none"/>
                <v:fill o:detectmouseclick="t" type="solid" color2="black"/>
                <v:stroke color="black" weight="9360" joinstyle="miter" endcap="flat"/>
              </v:rect>
            </w:pict>
          </mc:Fallback>
        </mc:AlternateContent>
      </w:r>
      <w:r>
        <w:rPr>
          <w:noProof/>
        </w:rPr>
        <mc:AlternateContent>
          <mc:Choice Requires="wps">
            <w:drawing>
              <wp:anchor distT="0" distB="0" distL="0" distR="0" simplePos="0" relativeHeight="20" behindDoc="0" locked="0" layoutInCell="1" allowOverlap="1" wp14:anchorId="012C2D07">
                <wp:simplePos x="0" y="0"/>
                <wp:positionH relativeFrom="column">
                  <wp:posOffset>666750</wp:posOffset>
                </wp:positionH>
                <wp:positionV relativeFrom="paragraph">
                  <wp:posOffset>236220</wp:posOffset>
                </wp:positionV>
                <wp:extent cx="114935" cy="114935"/>
                <wp:effectExtent l="9525" t="11430" r="9525" b="7620"/>
                <wp:wrapNone/>
                <wp:docPr id="17" name="Rectangle 13"/>
                <wp:cNvGraphicFramePr/>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fillcolor="white" stroked="t" style="position:absolute;margin-left:52.5pt;margin-top:18.6pt;width:8.95pt;height:8.95pt" wp14:anchorId="012C2D07">
                <w10:wrap type="none"/>
                <v:fill o:detectmouseclick="t" type="solid" color2="black"/>
                <v:stroke color="black" weight="9360" joinstyle="miter" endcap="flat"/>
              </v:rect>
            </w:pict>
          </mc:Fallback>
        </mc:AlternateContent>
      </w:r>
      <w:r>
        <w:rPr>
          <w:rFonts w:cs="Arial"/>
          <w:sz w:val="20"/>
          <w:szCs w:val="20"/>
        </w:rPr>
        <w:t xml:space="preserve">5.  </w:t>
      </w:r>
      <w:r>
        <w:rPr>
          <w:rFonts w:cs="Arial"/>
          <w:b/>
          <w:bCs/>
          <w:sz w:val="20"/>
          <w:szCs w:val="20"/>
        </w:rPr>
        <w:t>Micro Purchase</w:t>
      </w:r>
      <w:r>
        <w:rPr>
          <w:rFonts w:cs="Arial"/>
          <w:sz w:val="20"/>
          <w:szCs w:val="20"/>
        </w:rPr>
        <w:t xml:space="preserve">.  </w:t>
      </w:r>
    </w:p>
    <w:p w:rsidR="003E0109" w:rsidRDefault="00F544A3">
      <w:pPr>
        <w:ind w:left="1440"/>
        <w:rPr>
          <w:rFonts w:cs="Arial"/>
          <w:sz w:val="20"/>
          <w:szCs w:val="20"/>
        </w:rPr>
      </w:pPr>
      <w:r>
        <w:rPr>
          <w:rFonts w:cs="Arial"/>
          <w:sz w:val="20"/>
          <w:szCs w:val="20"/>
        </w:rPr>
        <w:lastRenderedPageBreak/>
        <w:t>Procurement is les</w:t>
      </w:r>
      <w:r>
        <w:rPr>
          <w:rFonts w:cs="Arial"/>
          <w:sz w:val="20"/>
          <w:szCs w:val="20"/>
        </w:rPr>
        <w:t>s than $10,000, or lesser amount as determined by the Tribe. No solicitation required and cost has been determined to be reasonable.</w:t>
      </w:r>
    </w:p>
    <w:p w:rsidR="003E0109" w:rsidRDefault="003E0109">
      <w:pPr>
        <w:ind w:left="1440"/>
        <w:rPr>
          <w:rFonts w:cs="Arial"/>
          <w:sz w:val="20"/>
          <w:szCs w:val="20"/>
        </w:rPr>
      </w:pPr>
    </w:p>
    <w:p w:rsidR="003E0109" w:rsidRDefault="00F544A3">
      <w:pPr>
        <w:sectPr w:rsidR="003E0109">
          <w:footerReference w:type="default" r:id="rId7"/>
          <w:pgSz w:w="12240" w:h="15840"/>
          <w:pgMar w:top="1440" w:right="1080" w:bottom="1440" w:left="1080" w:header="0" w:footer="288" w:gutter="0"/>
          <w:cols w:space="720"/>
          <w:formProt w:val="0"/>
          <w:docGrid w:linePitch="299" w:charSpace="4096"/>
        </w:sectPr>
      </w:pPr>
      <w:r>
        <w:rPr>
          <w:noProof/>
        </w:rPr>
        <mc:AlternateContent>
          <mc:Choice Requires="wps">
            <w:drawing>
              <wp:anchor distT="0" distB="0" distL="0" distR="0" simplePos="0" relativeHeight="14" behindDoc="0" locked="0" layoutInCell="1" allowOverlap="1" wp14:anchorId="6E7FF54A">
                <wp:simplePos x="0" y="0"/>
                <wp:positionH relativeFrom="column">
                  <wp:posOffset>142875</wp:posOffset>
                </wp:positionH>
                <wp:positionV relativeFrom="paragraph">
                  <wp:posOffset>13335</wp:posOffset>
                </wp:positionV>
                <wp:extent cx="3886835" cy="635"/>
                <wp:effectExtent l="9525" t="13970" r="9525" b="5080"/>
                <wp:wrapNone/>
                <wp:docPr id="18" name="Line 16"/>
                <wp:cNvGraphicFramePr/>
                <a:graphic xmlns:a="http://schemas.openxmlformats.org/drawingml/2006/main">
                  <a:graphicData uri="http://schemas.microsoft.com/office/word/2010/wordprocessingShape">
                    <wps:wsp>
                      <wps:cNvCnPr/>
                      <wps:spPr>
                        <a:xfrm>
                          <a:off x="0" y="0"/>
                          <a:ext cx="38862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1.25pt,1.05pt" to="317.2pt,1.05pt" ID="Line 16" stroked="t" style="position:absolute" wp14:anchorId="6E7FF54A">
                <v:stroke color="black" weight="9360" joinstyle="round" endcap="flat"/>
                <v:fill o:detectmouseclick="t" on="false"/>
              </v:line>
            </w:pict>
          </mc:Fallback>
        </mc:AlternateContent>
      </w:r>
      <w:r>
        <w:rPr>
          <w:noProof/>
        </w:rPr>
        <mc:AlternateContent>
          <mc:Choice Requires="wps">
            <w:drawing>
              <wp:anchor distT="0" distB="0" distL="0" distR="0" simplePos="0" relativeHeight="15" behindDoc="0" locked="0" layoutInCell="1" allowOverlap="1" wp14:anchorId="072519F3">
                <wp:simplePos x="0" y="0"/>
                <wp:positionH relativeFrom="column">
                  <wp:posOffset>4229100</wp:posOffset>
                </wp:positionH>
                <wp:positionV relativeFrom="paragraph">
                  <wp:posOffset>13335</wp:posOffset>
                </wp:positionV>
                <wp:extent cx="1715135" cy="635"/>
                <wp:effectExtent l="9525" t="13970" r="9525" b="5080"/>
                <wp:wrapNone/>
                <wp:docPr id="19" name="Line 17"/>
                <wp:cNvGraphicFramePr/>
                <a:graphic xmlns:a="http://schemas.openxmlformats.org/drawingml/2006/main">
                  <a:graphicData uri="http://schemas.microsoft.com/office/word/2010/wordprocessingShape">
                    <wps:wsp>
                      <wps:cNvCnPr/>
                      <wps:spPr>
                        <a:xfrm>
                          <a:off x="0" y="0"/>
                          <a:ext cx="17146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33pt,1.05pt" to="467.95pt,1.05pt" ID="Line 17" stroked="t" style="position:absolute" wp14:anchorId="072519F3">
                <v:stroke color="black" weight="9360" joinstyle="round" endcap="flat"/>
                <v:fill o:detectmouseclick="t" on="false"/>
              </v:line>
            </w:pict>
          </mc:Fallback>
        </mc:AlternateContent>
      </w:r>
      <w:r>
        <w:tab/>
      </w:r>
      <w:r>
        <w:tab/>
      </w:r>
      <w:r>
        <w:tab/>
        <w:t>Housing Director</w:t>
      </w:r>
      <w:r>
        <w:tab/>
      </w:r>
      <w:r>
        <w:tab/>
      </w:r>
      <w:r>
        <w:tab/>
      </w:r>
      <w:r>
        <w:tab/>
      </w:r>
      <w:r>
        <w:tab/>
      </w:r>
      <w:r>
        <w:tab/>
        <w:t>Date</w:t>
      </w:r>
    </w:p>
    <w:p w:rsidR="003E0109" w:rsidRDefault="00F544A3">
      <w:pPr>
        <w:pStyle w:val="Heading1"/>
        <w:jc w:val="center"/>
      </w:pPr>
      <w:r>
        <w:lastRenderedPageBreak/>
        <w:t>Attachment C</w:t>
      </w:r>
    </w:p>
    <w:p w:rsidR="003E0109" w:rsidRDefault="00F544A3">
      <w:pPr>
        <w:pStyle w:val="Heading2"/>
        <w:jc w:val="center"/>
        <w:rPr>
          <w:b/>
          <w:bCs/>
        </w:rPr>
      </w:pPr>
      <w:r>
        <w:rPr>
          <w:w w:val="105"/>
        </w:rPr>
        <w:t>Appendix</w:t>
      </w:r>
      <w:r>
        <w:rPr>
          <w:spacing w:val="1"/>
          <w:w w:val="105"/>
        </w:rPr>
        <w:t xml:space="preserve"> </w:t>
      </w:r>
      <w:r>
        <w:rPr>
          <w:w w:val="105"/>
        </w:rPr>
        <w:t>II to Part 200—Contract Provisions for Non-Federal Entity Contracts Under Federal Awards</w:t>
      </w:r>
    </w:p>
    <w:p w:rsidR="003E0109" w:rsidRDefault="003E0109">
      <w:pPr>
        <w:spacing w:before="6"/>
        <w:rPr>
          <w:rFonts w:ascii="Arial" w:eastAsia="Arial" w:hAnsi="Arial" w:cs="Arial"/>
          <w:b/>
          <w:bCs/>
          <w:sz w:val="13"/>
          <w:szCs w:val="13"/>
        </w:rPr>
      </w:pPr>
    </w:p>
    <w:p w:rsidR="003E0109" w:rsidRDefault="003E0109">
      <w:pPr>
        <w:pStyle w:val="BodyText"/>
        <w:spacing w:line="252" w:lineRule="auto"/>
        <w:ind w:right="556"/>
        <w:rPr>
          <w:spacing w:val="-1"/>
          <w:w w:val="105"/>
        </w:rPr>
      </w:pPr>
    </w:p>
    <w:p w:rsidR="003E0109" w:rsidRDefault="00F544A3">
      <w:pPr>
        <w:pStyle w:val="BodyText"/>
        <w:spacing w:line="252" w:lineRule="auto"/>
        <w:ind w:right="556"/>
        <w:rPr>
          <w:spacing w:val="-1"/>
          <w:w w:val="105"/>
        </w:rPr>
      </w:pPr>
      <w:r>
        <w:rPr>
          <w:spacing w:val="-1"/>
          <w:w w:val="105"/>
        </w:rPr>
        <w:t>In addition to</w:t>
      </w:r>
      <w:r>
        <w:rPr>
          <w:w w:val="105"/>
        </w:rPr>
        <w:t xml:space="preserve"> </w:t>
      </w:r>
      <w:r>
        <w:rPr>
          <w:spacing w:val="-1"/>
          <w:w w:val="105"/>
        </w:rPr>
        <w:t>other provisions required</w:t>
      </w:r>
      <w:r>
        <w:rPr>
          <w:w w:val="105"/>
        </w:rPr>
        <w:t xml:space="preserve"> </w:t>
      </w:r>
      <w:r>
        <w:rPr>
          <w:spacing w:val="-1"/>
          <w:w w:val="105"/>
        </w:rPr>
        <w:t>by</w:t>
      </w:r>
      <w:r>
        <w:rPr>
          <w:w w:val="105"/>
        </w:rPr>
        <w:t xml:space="preserve"> </w:t>
      </w:r>
      <w:r>
        <w:rPr>
          <w:spacing w:val="-1"/>
          <w:w w:val="105"/>
        </w:rPr>
        <w:t>the</w:t>
      </w:r>
      <w:r>
        <w:rPr>
          <w:w w:val="105"/>
        </w:rPr>
        <w:t xml:space="preserve"> </w:t>
      </w:r>
      <w:r>
        <w:rPr>
          <w:spacing w:val="-1"/>
          <w:w w:val="105"/>
        </w:rPr>
        <w:t>Federal agency</w:t>
      </w:r>
      <w:r>
        <w:rPr>
          <w:w w:val="105"/>
        </w:rPr>
        <w:t xml:space="preserve"> or</w:t>
      </w:r>
      <w:r>
        <w:rPr>
          <w:spacing w:val="-1"/>
          <w:w w:val="105"/>
        </w:rPr>
        <w:t xml:space="preserve"> non-Federal entity, all</w:t>
      </w:r>
      <w:r>
        <w:rPr>
          <w:w w:val="105"/>
        </w:rPr>
        <w:t xml:space="preserve"> </w:t>
      </w:r>
      <w:r>
        <w:rPr>
          <w:spacing w:val="-1"/>
          <w:w w:val="105"/>
        </w:rPr>
        <w:t>cont</w:t>
      </w:r>
      <w:r>
        <w:rPr>
          <w:spacing w:val="-1"/>
          <w:w w:val="105"/>
        </w:rPr>
        <w:t>racts made</w:t>
      </w:r>
      <w:r>
        <w:rPr>
          <w:w w:val="105"/>
        </w:rPr>
        <w:t xml:space="preserve"> </w:t>
      </w:r>
      <w:r>
        <w:rPr>
          <w:spacing w:val="-1"/>
          <w:w w:val="105"/>
        </w:rPr>
        <w:t>by</w:t>
      </w:r>
      <w:r>
        <w:rPr>
          <w:w w:val="105"/>
        </w:rPr>
        <w:t xml:space="preserve"> </w:t>
      </w:r>
      <w:r>
        <w:rPr>
          <w:spacing w:val="-1"/>
          <w:w w:val="105"/>
        </w:rPr>
        <w:t>the non-Federal</w:t>
      </w:r>
      <w:r>
        <w:rPr>
          <w:spacing w:val="1"/>
          <w:w w:val="105"/>
        </w:rPr>
        <w:t xml:space="preserve"> </w:t>
      </w:r>
      <w:r>
        <w:rPr>
          <w:spacing w:val="-1"/>
          <w:w w:val="105"/>
        </w:rPr>
        <w:t>entity under the</w:t>
      </w:r>
      <w:r>
        <w:rPr>
          <w:spacing w:val="90"/>
          <w:w w:val="105"/>
        </w:rPr>
        <w:t xml:space="preserve"> </w:t>
      </w:r>
      <w:r>
        <w:rPr>
          <w:spacing w:val="-1"/>
          <w:w w:val="105"/>
        </w:rPr>
        <w:t>Federal award must contain</w:t>
      </w:r>
      <w:r>
        <w:rPr>
          <w:w w:val="105"/>
        </w:rPr>
        <w:t xml:space="preserve"> </w:t>
      </w:r>
      <w:r>
        <w:rPr>
          <w:spacing w:val="-1"/>
          <w:w w:val="105"/>
        </w:rPr>
        <w:t>provisions</w:t>
      </w:r>
      <w:r>
        <w:rPr>
          <w:w w:val="105"/>
        </w:rPr>
        <w:t xml:space="preserve"> </w:t>
      </w:r>
      <w:r>
        <w:rPr>
          <w:spacing w:val="-1"/>
          <w:w w:val="105"/>
        </w:rPr>
        <w:t>covering the following, as</w:t>
      </w:r>
      <w:r>
        <w:rPr>
          <w:w w:val="105"/>
        </w:rPr>
        <w:t xml:space="preserve"> </w:t>
      </w:r>
      <w:r>
        <w:rPr>
          <w:spacing w:val="-1"/>
          <w:w w:val="105"/>
        </w:rPr>
        <w:t>applicable.</w:t>
      </w:r>
    </w:p>
    <w:p w:rsidR="003E0109" w:rsidRDefault="00F544A3">
      <w:pPr>
        <w:pStyle w:val="List1"/>
        <w:rPr>
          <w:rFonts w:cs="Arial"/>
        </w:rPr>
      </w:pPr>
      <w:r>
        <w:t>A.</w:t>
      </w:r>
      <w:r>
        <w:tab/>
      </w:r>
      <w:r>
        <w:rPr>
          <w:b/>
        </w:rPr>
        <w:t>Contracts for more than the simplified acquisition threshold</w:t>
      </w:r>
      <w:r>
        <w:t xml:space="preserve"> currently set at $250,000, which is the inflation adjusted amount determined</w:t>
      </w:r>
      <w:r>
        <w:rPr>
          <w:spacing w:val="88"/>
        </w:rPr>
        <w:t xml:space="preserve"> </w:t>
      </w:r>
      <w:r>
        <w:t>by the Civilian Agency Acquisition Council and the Defense Acquisition Regulations Council (Councils) as authorized by 41 U.S.C. 1908, must</w:t>
      </w:r>
      <w:r>
        <w:rPr>
          <w:spacing w:val="95"/>
        </w:rPr>
        <w:t xml:space="preserve"> </w:t>
      </w:r>
      <w:r>
        <w:t>address administrative, contractual, o</w:t>
      </w:r>
      <w:r>
        <w:t>r legal remedies in instances where contractors violate or breach contract terms, and provide for such</w:t>
      </w:r>
      <w:r>
        <w:rPr>
          <w:spacing w:val="93"/>
        </w:rPr>
        <w:t xml:space="preserve"> </w:t>
      </w:r>
      <w:r>
        <w:t>sanctions and penalties as appropriate.</w:t>
      </w:r>
    </w:p>
    <w:p w:rsidR="003E0109" w:rsidRDefault="00F544A3">
      <w:pPr>
        <w:pStyle w:val="List1"/>
        <w:rPr>
          <w:rFonts w:cs="Arial"/>
        </w:rPr>
      </w:pPr>
      <w:r>
        <w:t>B.</w:t>
      </w:r>
      <w:r>
        <w:tab/>
      </w:r>
      <w:r>
        <w:rPr>
          <w:b/>
        </w:rPr>
        <w:t>All contracts in excess of $10,000</w:t>
      </w:r>
      <w:r>
        <w:t xml:space="preserve"> must address termination for cause and for convenience by the non-Federal e</w:t>
      </w:r>
      <w:r>
        <w:t>ntity including</w:t>
      </w:r>
      <w:r>
        <w:rPr>
          <w:spacing w:val="1"/>
        </w:rPr>
        <w:t xml:space="preserve"> </w:t>
      </w:r>
      <w:r>
        <w:t>the</w:t>
      </w:r>
      <w:r>
        <w:rPr>
          <w:spacing w:val="82"/>
        </w:rPr>
        <w:t xml:space="preserve"> </w:t>
      </w:r>
      <w:r>
        <w:t>manner by which it will be affected and the basis for settlement.</w:t>
      </w:r>
    </w:p>
    <w:p w:rsidR="003E0109" w:rsidRDefault="00F544A3">
      <w:pPr>
        <w:pStyle w:val="List1"/>
      </w:pPr>
      <w:r>
        <w:t>C.</w:t>
      </w:r>
      <w:r>
        <w:tab/>
      </w:r>
      <w:r>
        <w:rPr>
          <w:b/>
        </w:rPr>
        <w:t>Equal Employment Opportunity</w:t>
      </w:r>
      <w:r>
        <w:t>. Except as otherwise provided under 41 CFR Part 60, all contracts that meet the definition of</w:t>
      </w:r>
      <w:r>
        <w:rPr>
          <w:spacing w:val="1"/>
        </w:rPr>
        <w:t xml:space="preserve"> </w:t>
      </w:r>
      <w:r>
        <w:t>“federally</w:t>
      </w:r>
      <w:r>
        <w:rPr>
          <w:spacing w:val="86"/>
        </w:rPr>
        <w:t xml:space="preserve"> </w:t>
      </w:r>
      <w:r>
        <w:t xml:space="preserve">assisted construction contract” </w:t>
      </w:r>
      <w:r>
        <w:t>in 41 CFR Part 60-1.3 must include the equal opportunity clause provided under 41 CFR 60-1.4(b), in accordance</w:t>
      </w:r>
      <w:r>
        <w:rPr>
          <w:spacing w:val="89"/>
        </w:rPr>
        <w:t xml:space="preserve"> </w:t>
      </w:r>
      <w:r>
        <w:t>with Executive Order 11246, “Equal Employment Opportunity” (30 FR 12319, 12935, 3 CFR Part, 1964-1965 Comp., p. 339), as amended by</w:t>
      </w:r>
      <w:r>
        <w:rPr>
          <w:spacing w:val="85"/>
        </w:rPr>
        <w:t xml:space="preserve"> </w:t>
      </w:r>
      <w:r>
        <w:t>Executive Ord</w:t>
      </w:r>
      <w:r>
        <w:t>er 11375, “Amending Executive Order 11246 Relating to Equal Employment Opportunity,” and implementing regulations</w:t>
      </w:r>
      <w:r>
        <w:rPr>
          <w:spacing w:val="1"/>
        </w:rPr>
        <w:t xml:space="preserve"> </w:t>
      </w:r>
      <w:r>
        <w:t>at 41 CFR</w:t>
      </w:r>
      <w:r>
        <w:rPr>
          <w:spacing w:val="92"/>
        </w:rPr>
        <w:t xml:space="preserve"> </w:t>
      </w:r>
      <w:r>
        <w:t>part 60, “Office of Federal Contract Compliance Programs, Equal Employment Opportunity, Department of Labor.”</w:t>
      </w:r>
    </w:p>
    <w:p w:rsidR="003E0109" w:rsidRDefault="00F544A3">
      <w:pPr>
        <w:pStyle w:val="List1"/>
      </w:pPr>
      <w:r>
        <w:t>D.</w:t>
      </w:r>
      <w:r>
        <w:tab/>
      </w:r>
      <w:r>
        <w:rPr>
          <w:b/>
        </w:rPr>
        <w:t>Davis-Bacon Act</w:t>
      </w:r>
      <w:r>
        <w:t>, as</w:t>
      </w:r>
      <w:r>
        <w:t xml:space="preserve"> amended (40 U.S.C. 3141-3148). When required by Federal program legislation, all prime construction contracts in</w:t>
      </w:r>
      <w:r>
        <w:rPr>
          <w:spacing w:val="76"/>
        </w:rPr>
        <w:t xml:space="preserve"> </w:t>
      </w:r>
      <w:r>
        <w:t>excess of $2,000 awarded by non-Federal entities must include a provision for compliance with the Davis-Bacon Act (40 U.S.C. 3141-3144, and</w:t>
      </w:r>
      <w:r>
        <w:rPr>
          <w:spacing w:val="94"/>
        </w:rPr>
        <w:t xml:space="preserve"> </w:t>
      </w:r>
      <w:r>
        <w:t>31</w:t>
      </w:r>
      <w:r>
        <w:t>46-3148) as supplemented by Department of Labor regulations (29</w:t>
      </w:r>
      <w:r>
        <w:rPr>
          <w:spacing w:val="-2"/>
        </w:rPr>
        <w:t xml:space="preserve"> </w:t>
      </w:r>
      <w:r>
        <w:t>CFR Part 5, “Labor Standards Provisions Applicable to Contracts Covering</w:t>
      </w:r>
      <w:r>
        <w:rPr>
          <w:spacing w:val="89"/>
        </w:rPr>
        <w:t xml:space="preserve"> </w:t>
      </w:r>
      <w:r>
        <w:t>Federally Financed and Assisted Construction”). In accordance with</w:t>
      </w:r>
      <w:r>
        <w:rPr>
          <w:spacing w:val="2"/>
        </w:rPr>
        <w:t xml:space="preserve"> </w:t>
      </w:r>
      <w:r>
        <w:t>the statute, contractors must be required to pay wag</w:t>
      </w:r>
      <w:r>
        <w:t>es to laborers and</w:t>
      </w:r>
      <w:r>
        <w:rPr>
          <w:spacing w:val="86"/>
        </w:rPr>
        <w:t xml:space="preserve"> </w:t>
      </w:r>
      <w:r>
        <w:t xml:space="preserve">mechanics at a rate not less than the prevailing wages specified in a wage determination made by the Secretary of Labor. In addition, contractors must be required to pay wages not less than once a week. The non-Federal entity must place </w:t>
      </w:r>
      <w:r>
        <w:t>a copy of the current prevailing wage</w:t>
      </w:r>
      <w:r>
        <w:rPr>
          <w:spacing w:val="95"/>
        </w:rPr>
        <w:t xml:space="preserve"> </w:t>
      </w:r>
      <w:r>
        <w:t xml:space="preserve">determination issued by the Department of Labor in each solicitation. The decision to award a contract or </w:t>
      </w:r>
      <w:r>
        <w:lastRenderedPageBreak/>
        <w:t>subcontract must be conditioned upon</w:t>
      </w:r>
      <w:r>
        <w:rPr>
          <w:spacing w:val="90"/>
        </w:rPr>
        <w:t xml:space="preserve"> </w:t>
      </w:r>
      <w:r>
        <w:t>the acceptance of the wage determination. The non-Federal entity must repor</w:t>
      </w:r>
      <w:r>
        <w:t>t all suspected or reported violations to the Federal</w:t>
      </w:r>
      <w:r>
        <w:rPr>
          <w:spacing w:val="1"/>
        </w:rPr>
        <w:t xml:space="preserve"> </w:t>
      </w:r>
      <w:r>
        <w:t>awarding agency.</w:t>
      </w:r>
      <w:r>
        <w:rPr>
          <w:spacing w:val="88"/>
        </w:rPr>
        <w:t xml:space="preserve"> </w:t>
      </w:r>
      <w:r>
        <w:t>The contracts must also include a provision for compliance with the Copeland “Anti-Kickback” Act (40 U.S.C. 3145), as supplemented</w:t>
      </w:r>
      <w:r>
        <w:rPr>
          <w:spacing w:val="1"/>
        </w:rPr>
        <w:t xml:space="preserve"> </w:t>
      </w:r>
      <w:r>
        <w:t>by</w:t>
      </w:r>
      <w:r>
        <w:rPr>
          <w:spacing w:val="84"/>
        </w:rPr>
        <w:t xml:space="preserve"> </w:t>
      </w:r>
      <w:r>
        <w:t>Department of Labor regulations (29 CFR Part 3, “Co</w:t>
      </w:r>
      <w:r>
        <w:t>ntractors and Subcontractors on Public Building or Public Work Financed in Whole or in Part</w:t>
      </w:r>
      <w:r>
        <w:rPr>
          <w:spacing w:val="80"/>
        </w:rPr>
        <w:t xml:space="preserve"> </w:t>
      </w:r>
      <w:r>
        <w:t>by Loans or Grants from the United States”). The Act provides</w:t>
      </w:r>
      <w:r>
        <w:rPr>
          <w:spacing w:val="1"/>
        </w:rPr>
        <w:t xml:space="preserve"> </w:t>
      </w:r>
      <w:r>
        <w:t>that each contractor or subrecipient must be prohibited</w:t>
      </w:r>
      <w:r>
        <w:rPr>
          <w:spacing w:val="1"/>
        </w:rPr>
        <w:t xml:space="preserve"> </w:t>
      </w:r>
      <w:r>
        <w:t>from inducing, by any</w:t>
      </w:r>
      <w:r>
        <w:rPr>
          <w:spacing w:val="83"/>
        </w:rPr>
        <w:t xml:space="preserve"> </w:t>
      </w:r>
      <w:r>
        <w:t>means, any person employ</w:t>
      </w:r>
      <w:r>
        <w:t>ed in the construction, completion, or repair of public work, to give up any part of the compensation to which he or she</w:t>
      </w:r>
      <w:r>
        <w:rPr>
          <w:spacing w:val="95"/>
        </w:rPr>
        <w:t xml:space="preserve"> </w:t>
      </w:r>
      <w:r>
        <w:t xml:space="preserve">is otherwise entitled. The non-Federal entity must report all suspected or reported violations to the Federal awarding agency. </w:t>
      </w:r>
    </w:p>
    <w:p w:rsidR="003E0109" w:rsidRDefault="00F544A3">
      <w:pPr>
        <w:pStyle w:val="List1"/>
        <w:rPr>
          <w:rFonts w:cs="Arial"/>
        </w:rPr>
      </w:pPr>
      <w:r>
        <w:t>E.</w:t>
      </w:r>
      <w:r>
        <w:tab/>
      </w:r>
      <w:r>
        <w:rPr>
          <w:b/>
        </w:rPr>
        <w:t>Cont</w:t>
      </w:r>
      <w:r>
        <w:rPr>
          <w:b/>
        </w:rPr>
        <w:t>ract Work Hours and Safety Standards Act</w:t>
      </w:r>
      <w:r>
        <w:t xml:space="preserve"> (40 U.S.C. 3701-3708). Where applicable, all contracts awarded by the non-Federal</w:t>
      </w:r>
      <w:r>
        <w:rPr>
          <w:spacing w:val="87"/>
        </w:rPr>
        <w:t xml:space="preserve"> </w:t>
      </w:r>
      <w:r>
        <w:t>entity in excess of $100,000 that involve the employment of mechanics or laborers must include a provision for compliance</w:t>
      </w:r>
      <w:r>
        <w:rPr>
          <w:spacing w:val="1"/>
        </w:rPr>
        <w:t xml:space="preserve"> </w:t>
      </w:r>
      <w:r>
        <w:t>with 40 U.S</w:t>
      </w:r>
      <w:r>
        <w:t>.C.</w:t>
      </w:r>
      <w:r>
        <w:rPr>
          <w:spacing w:val="1"/>
        </w:rPr>
        <w:t xml:space="preserve"> </w:t>
      </w:r>
      <w:r>
        <w:t>3702</w:t>
      </w:r>
      <w:r>
        <w:rPr>
          <w:spacing w:val="97"/>
        </w:rPr>
        <w:t xml:space="preserve"> </w:t>
      </w:r>
      <w:r>
        <w:t>and 3704, as supplemented by Department of Labor regulations (29 CFR Part 5). Under 40 U.S.C.</w:t>
      </w:r>
      <w:r>
        <w:rPr>
          <w:spacing w:val="1"/>
        </w:rPr>
        <w:t xml:space="preserve"> </w:t>
      </w:r>
      <w:r>
        <w:t>3702 of the Act, each contractor must be</w:t>
      </w:r>
      <w:r>
        <w:rPr>
          <w:spacing w:val="84"/>
        </w:rPr>
        <w:t xml:space="preserve"> </w:t>
      </w:r>
      <w:r>
        <w:t>required to compute the wages of every mechanic and laborer on the basis of a standard work week of 40 hours. Wo</w:t>
      </w:r>
      <w:r>
        <w:t>rk in excess of the standard</w:t>
      </w:r>
      <w:r>
        <w:rPr>
          <w:spacing w:val="88"/>
        </w:rPr>
        <w:t xml:space="preserve"> </w:t>
      </w:r>
      <w:r>
        <w:t xml:space="preserve">work week is permissible provided that the worker is compensated at a rate of not less than one and a half times the basic rate of pay for all </w:t>
      </w:r>
      <w:r>
        <w:rPr>
          <w:spacing w:val="97"/>
        </w:rPr>
        <w:t>hours</w:t>
      </w:r>
      <w:r>
        <w:t xml:space="preserve"> worked in excess of 40 hours in the work week. The requirements of 40 U.S.C. 3</w:t>
      </w:r>
      <w:r>
        <w:t>704 are applicable to construction work and</w:t>
      </w:r>
      <w:r>
        <w:rPr>
          <w:spacing w:val="2"/>
        </w:rPr>
        <w:t xml:space="preserve"> </w:t>
      </w:r>
      <w:r>
        <w:t>provide that</w:t>
      </w:r>
      <w:r>
        <w:rPr>
          <w:spacing w:val="78"/>
        </w:rPr>
        <w:t xml:space="preserve"> </w:t>
      </w:r>
      <w:r>
        <w:t>no laborer or mechanic must be required to work in surroundings or under working conditions which are unsanitary, hazardous</w:t>
      </w:r>
      <w:r>
        <w:rPr>
          <w:spacing w:val="1"/>
        </w:rPr>
        <w:t xml:space="preserve"> </w:t>
      </w:r>
      <w:r>
        <w:t>or</w:t>
      </w:r>
      <w:r>
        <w:rPr>
          <w:spacing w:val="1"/>
        </w:rPr>
        <w:t xml:space="preserve"> </w:t>
      </w:r>
      <w:r>
        <w:t>dangerous.</w:t>
      </w:r>
      <w:r>
        <w:rPr>
          <w:spacing w:val="93"/>
        </w:rPr>
        <w:t xml:space="preserve"> </w:t>
      </w:r>
      <w:r>
        <w:t xml:space="preserve">These requirements do not apply to the purchases of supplies </w:t>
      </w:r>
      <w:r>
        <w:t>or materials or articles ordinarily available on the open</w:t>
      </w:r>
      <w:r>
        <w:rPr>
          <w:spacing w:val="1"/>
        </w:rPr>
        <w:t xml:space="preserve"> </w:t>
      </w:r>
      <w:r>
        <w:t>market, or contracts for</w:t>
      </w:r>
      <w:r>
        <w:rPr>
          <w:spacing w:val="101"/>
        </w:rPr>
        <w:t xml:space="preserve"> </w:t>
      </w:r>
      <w:r>
        <w:t xml:space="preserve">transportation or transmission of intelligence. </w:t>
      </w:r>
    </w:p>
    <w:p w:rsidR="003E0109" w:rsidRDefault="00F544A3">
      <w:pPr>
        <w:pStyle w:val="List1"/>
      </w:pPr>
      <w:r>
        <w:t>F.</w:t>
      </w:r>
      <w:r>
        <w:tab/>
      </w:r>
      <w:r>
        <w:rPr>
          <w:b/>
        </w:rPr>
        <w:t>Rights to Inventions Made Under a Contract or Agreement</w:t>
      </w:r>
      <w:r>
        <w:t>. If the Federal award meets the definition of “funding agreement”</w:t>
      </w:r>
      <w:r>
        <w:t xml:space="preserve"> under 37</w:t>
      </w:r>
      <w:r>
        <w:rPr>
          <w:spacing w:val="84"/>
        </w:rPr>
        <w:t xml:space="preserve"> </w:t>
      </w:r>
      <w:r>
        <w:t>CFR §401.2 (a) and the recipient or subrecipient wishes to enter into a contract with a small business firm</w:t>
      </w:r>
      <w:r>
        <w:rPr>
          <w:spacing w:val="1"/>
        </w:rPr>
        <w:t xml:space="preserve"> </w:t>
      </w:r>
      <w:r>
        <w:t>or nonprofit organization regarding the</w:t>
      </w:r>
      <w:r>
        <w:rPr>
          <w:spacing w:val="100"/>
        </w:rPr>
        <w:t xml:space="preserve"> </w:t>
      </w:r>
      <w:r>
        <w:t>substitution of parties, assignment or performance of experimental, developmental, or research wor</w:t>
      </w:r>
      <w:r>
        <w:t xml:space="preserve">k under that “funding agreement,” the </w:t>
      </w:r>
      <w:r>
        <w:rPr>
          <w:spacing w:val="89"/>
        </w:rPr>
        <w:t xml:space="preserve"> </w:t>
      </w:r>
      <w:r>
        <w:t>recipient or subrecipient must comply with the requirements of 37 CFR Part 401, “Rights to Inventions Made by Nonprofit</w:t>
      </w:r>
      <w:r>
        <w:rPr>
          <w:spacing w:val="1"/>
        </w:rPr>
        <w:t xml:space="preserve"> </w:t>
      </w:r>
      <w:r>
        <w:t>Organizations and Small</w:t>
      </w:r>
      <w:r>
        <w:rPr>
          <w:spacing w:val="82"/>
        </w:rPr>
        <w:t xml:space="preserve"> </w:t>
      </w:r>
      <w:r>
        <w:t>Business Firms Under Government Grants, Contracts and Cooperative Agreeme</w:t>
      </w:r>
      <w:r>
        <w:t>nts,” and any implementing regulations issued by</w:t>
      </w:r>
      <w:r>
        <w:rPr>
          <w:spacing w:val="1"/>
        </w:rPr>
        <w:t xml:space="preserve"> </w:t>
      </w:r>
      <w:r>
        <w:t>the awarding</w:t>
      </w:r>
      <w:r>
        <w:rPr>
          <w:spacing w:val="88"/>
        </w:rPr>
        <w:t xml:space="preserve"> </w:t>
      </w:r>
      <w:r>
        <w:t>agency.</w:t>
      </w:r>
    </w:p>
    <w:p w:rsidR="003E0109" w:rsidRDefault="00F544A3">
      <w:pPr>
        <w:pStyle w:val="List1"/>
      </w:pPr>
      <w:r>
        <w:t>G.</w:t>
      </w:r>
      <w:r>
        <w:tab/>
      </w:r>
      <w:r>
        <w:rPr>
          <w:b/>
        </w:rPr>
        <w:t>Clean Air Act</w:t>
      </w:r>
      <w:r>
        <w:t xml:space="preserve"> (42 U.S.C. 7401-7671q.) and the Federal Water Pollution Control Act (33 U.S.C. 1251-1387), as amended—Contracts and</w:t>
      </w:r>
      <w:r>
        <w:rPr>
          <w:spacing w:val="78"/>
        </w:rPr>
        <w:t xml:space="preserve"> </w:t>
      </w:r>
      <w:r>
        <w:t>sub-grants of amounts in excess of $150,000 must cont</w:t>
      </w:r>
      <w:r>
        <w:t>ain a provision that requires the non-Federal award to agree to</w:t>
      </w:r>
      <w:r>
        <w:rPr>
          <w:spacing w:val="1"/>
        </w:rPr>
        <w:t xml:space="preserve"> </w:t>
      </w:r>
      <w:r>
        <w:t>comply with</w:t>
      </w:r>
      <w:r>
        <w:rPr>
          <w:spacing w:val="1"/>
        </w:rPr>
        <w:t xml:space="preserve"> </w:t>
      </w:r>
      <w:r>
        <w:t>all applicable</w:t>
      </w:r>
      <w:r>
        <w:rPr>
          <w:spacing w:val="84"/>
        </w:rPr>
        <w:t xml:space="preserve"> </w:t>
      </w:r>
      <w:r>
        <w:t>standards, orders or regulations issued pursuant to the Clean Air Act (42 U.S.C. 7401-7671q) and the Federal Water Pollution Control Act as</w:t>
      </w:r>
      <w:r>
        <w:rPr>
          <w:spacing w:val="84"/>
        </w:rPr>
        <w:t xml:space="preserve"> </w:t>
      </w:r>
      <w:r>
        <w:lastRenderedPageBreak/>
        <w:t>amended (33 U.S.C.</w:t>
      </w:r>
      <w:r>
        <w:rPr>
          <w:spacing w:val="1"/>
        </w:rPr>
        <w:t xml:space="preserve"> </w:t>
      </w:r>
      <w:r>
        <w:t>1251-1</w:t>
      </w:r>
      <w:r>
        <w:t>387). Violations must be reported to the Federal awarding agency and the Regional Office of the Environmental</w:t>
      </w:r>
      <w:r>
        <w:rPr>
          <w:spacing w:val="89"/>
        </w:rPr>
        <w:t xml:space="preserve"> </w:t>
      </w:r>
      <w:r>
        <w:t xml:space="preserve">Protection Agency </w:t>
      </w:r>
      <w:r>
        <w:rPr>
          <w:spacing w:val="-2"/>
        </w:rPr>
        <w:t>(EPA).</w:t>
      </w:r>
    </w:p>
    <w:p w:rsidR="003E0109" w:rsidRDefault="00F544A3">
      <w:pPr>
        <w:pStyle w:val="List1"/>
      </w:pPr>
      <w:r>
        <w:t>H.</w:t>
      </w:r>
      <w:r>
        <w:tab/>
      </w:r>
      <w:r>
        <w:rPr>
          <w:b/>
        </w:rPr>
        <w:t>Debarment and Suspension</w:t>
      </w:r>
      <w:r>
        <w:t xml:space="preserve"> (Executive Orders 12549 and 12689)—A contract award (see 2 CFR 180.220) must not be made to</w:t>
      </w:r>
      <w:r>
        <w:rPr>
          <w:spacing w:val="1"/>
        </w:rPr>
        <w:t xml:space="preserve"> </w:t>
      </w:r>
      <w:r>
        <w:t>p</w:t>
      </w:r>
      <w:r>
        <w:t>arties</w:t>
      </w:r>
      <w:r>
        <w:rPr>
          <w:spacing w:val="77"/>
        </w:rPr>
        <w:t xml:space="preserve"> </w:t>
      </w:r>
      <w:r>
        <w:t>listed on the government-wide exclusions in the System for Award Management (SAM), in accordance with the OMB guidelines at 2 CFR 180 that</w:t>
      </w:r>
      <w:r>
        <w:rPr>
          <w:spacing w:val="80"/>
        </w:rPr>
        <w:t xml:space="preserve"> </w:t>
      </w:r>
      <w:r>
        <w:t>implement Executive Orders 12549 (3 CFR part 1986 Comp., p. 189) and 12689 (3 CFR part 1989 Comp., p. 235), “D</w:t>
      </w:r>
      <w:r>
        <w:t>ebarment and Suspension.”</w:t>
      </w:r>
      <w:r>
        <w:rPr>
          <w:spacing w:val="84"/>
        </w:rPr>
        <w:t xml:space="preserve"> </w:t>
      </w:r>
      <w:r>
        <w:t>SAM Exclusions contains the names of parties debarred, suspended, or otherwise excluded by agencies, as well as parties declared ineligible under statutory or regulatory authority other than Executive Order 12549.</w:t>
      </w:r>
    </w:p>
    <w:p w:rsidR="003E0109" w:rsidRDefault="00F544A3">
      <w:pPr>
        <w:pStyle w:val="List1"/>
      </w:pPr>
      <w:r>
        <w:t>I.</w:t>
      </w:r>
      <w:r>
        <w:tab/>
      </w:r>
      <w:r>
        <w:rPr>
          <w:b/>
        </w:rPr>
        <w:t>Byrd Anti-Lob</w:t>
      </w:r>
      <w:r>
        <w:rPr>
          <w:b/>
        </w:rPr>
        <w:t>bying Amendment</w:t>
      </w:r>
      <w:r>
        <w:t xml:space="preserve"> (31 U.S.C. 1352)—Contractors that apply or bid for an award exceeding $100,000 must file the required</w:t>
      </w:r>
      <w:r>
        <w:rPr>
          <w:spacing w:val="84"/>
        </w:rPr>
        <w:t xml:space="preserve"> </w:t>
      </w:r>
      <w:r>
        <w:t>certification. Each tier certifies to the tier above that it will not and has not used Federal appropriated funds</w:t>
      </w:r>
      <w:r>
        <w:rPr>
          <w:spacing w:val="1"/>
        </w:rPr>
        <w:t xml:space="preserve"> </w:t>
      </w:r>
      <w:r>
        <w:t>to pay any person or org</w:t>
      </w:r>
      <w:r>
        <w:t>anization for</w:t>
      </w:r>
      <w:r>
        <w:rPr>
          <w:spacing w:val="106"/>
        </w:rPr>
        <w:t xml:space="preserve"> </w:t>
      </w:r>
      <w:r>
        <w:t>influencing or attempting to influence an officer or employee of any agency, a member of Congress, officer or employee</w:t>
      </w:r>
      <w:r>
        <w:rPr>
          <w:spacing w:val="1"/>
        </w:rPr>
        <w:t xml:space="preserve"> </w:t>
      </w:r>
      <w:r>
        <w:t>of Congress, or an</w:t>
      </w:r>
      <w:r>
        <w:rPr>
          <w:spacing w:val="92"/>
        </w:rPr>
        <w:t xml:space="preserve"> </w:t>
      </w:r>
      <w:r>
        <w:t>employee of a member of Congress in connection with obtaining any</w:t>
      </w:r>
      <w:r>
        <w:rPr>
          <w:spacing w:val="1"/>
        </w:rPr>
        <w:t xml:space="preserve"> </w:t>
      </w:r>
      <w:r>
        <w:t>Federal contract, grant or any other a</w:t>
      </w:r>
      <w:r>
        <w:t>ward covered</w:t>
      </w:r>
      <w:r>
        <w:rPr>
          <w:spacing w:val="1"/>
        </w:rPr>
        <w:t xml:space="preserve"> </w:t>
      </w:r>
      <w:r>
        <w:t>by 31 U.S.C. 1352.</w:t>
      </w:r>
      <w:r>
        <w:rPr>
          <w:spacing w:val="82"/>
        </w:rPr>
        <w:t xml:space="preserve"> </w:t>
      </w:r>
      <w:r>
        <w:t>Each tier must also disclose any lobbying with non-Federal funds that takes place in connection with obtaining any Federal</w:t>
      </w:r>
      <w:r>
        <w:rPr>
          <w:spacing w:val="1"/>
        </w:rPr>
        <w:t xml:space="preserve"> </w:t>
      </w:r>
      <w:r>
        <w:t>award. Such</w:t>
      </w:r>
      <w:r>
        <w:rPr>
          <w:spacing w:val="96"/>
        </w:rPr>
        <w:t xml:space="preserve"> </w:t>
      </w:r>
      <w:r>
        <w:t>disclosures are forwarded from tier to tier up to the non-Federal award.</w:t>
      </w:r>
    </w:p>
    <w:p w:rsidR="003E0109" w:rsidRDefault="00F544A3">
      <w:pPr>
        <w:pStyle w:val="List1"/>
      </w:pPr>
      <w:r>
        <w:t>J.</w:t>
      </w:r>
      <w:r>
        <w:tab/>
      </w:r>
      <w:r>
        <w:rPr>
          <w:b/>
        </w:rPr>
        <w:t>See §200.322</w:t>
      </w:r>
      <w:r>
        <w:t xml:space="preserve"> Procurement of recovered materials.</w:t>
      </w:r>
    </w:p>
    <w:p w:rsidR="003E0109" w:rsidRDefault="003E0109">
      <w:pPr>
        <w:spacing w:before="4"/>
        <w:rPr>
          <w:rFonts w:ascii="Arial" w:eastAsia="Arial" w:hAnsi="Arial" w:cs="Arial"/>
          <w:sz w:val="13"/>
          <w:szCs w:val="13"/>
        </w:rPr>
      </w:pPr>
    </w:p>
    <w:p w:rsidR="003E0109" w:rsidRDefault="003E0109">
      <w:pPr>
        <w:spacing w:before="0"/>
      </w:pPr>
    </w:p>
    <w:sectPr w:rsidR="003E0109">
      <w:footerReference w:type="default" r:id="rId8"/>
      <w:pgSz w:w="12240" w:h="15840"/>
      <w:pgMar w:top="1440" w:right="1080" w:bottom="1440" w:left="1080" w:header="0" w:footer="432"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544A3">
      <w:pPr>
        <w:spacing w:before="0" w:after="0" w:line="240" w:lineRule="auto"/>
      </w:pPr>
      <w:r>
        <w:separator/>
      </w:r>
    </w:p>
  </w:endnote>
  <w:endnote w:type="continuationSeparator" w:id="0">
    <w:p w:rsidR="00000000" w:rsidRDefault="00F544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840"/>
      <w:gridCol w:w="402"/>
      <w:gridCol w:w="4838"/>
    </w:tblGrid>
    <w:tr w:rsidR="003E0109">
      <w:trPr>
        <w:trHeight w:val="180"/>
      </w:trPr>
      <w:tc>
        <w:tcPr>
          <w:tcW w:w="4840" w:type="dxa"/>
          <w:shd w:val="clear" w:color="auto" w:fill="auto"/>
        </w:tcPr>
        <w:p w:rsidR="003E0109" w:rsidRDefault="00F544A3">
          <w:pPr>
            <w:pStyle w:val="Footer"/>
            <w:tabs>
              <w:tab w:val="clear" w:pos="4680"/>
              <w:tab w:val="clear" w:pos="9360"/>
            </w:tabs>
            <w:rPr>
              <w:caps/>
              <w:color w:val="4F81BD" w:themeColor="accent1"/>
              <w:sz w:val="18"/>
              <w:szCs w:val="18"/>
            </w:rPr>
          </w:pPr>
          <w:sdt>
            <w:sdtPr>
              <w:alias w:val="Title"/>
              <w:id w:val="-904529044"/>
            </w:sdtPr>
            <w:sdtEndPr/>
            <w:sdtContent>
              <w:r>
                <w:rPr>
                  <w:caps/>
                  <w:sz w:val="18"/>
                  <w:szCs w:val="18"/>
                </w:rPr>
                <w:t>sample procurement policy</w:t>
              </w:r>
            </w:sdtContent>
          </w:sdt>
        </w:p>
      </w:tc>
      <w:tc>
        <w:tcPr>
          <w:tcW w:w="402" w:type="dxa"/>
          <w:shd w:val="clear" w:color="auto" w:fill="auto"/>
        </w:tcPr>
        <w:p w:rsidR="003E0109" w:rsidRDefault="003E0109">
          <w:pPr>
            <w:pStyle w:val="Footer"/>
            <w:tabs>
              <w:tab w:val="clear" w:pos="4680"/>
              <w:tab w:val="clear" w:pos="9360"/>
            </w:tabs>
            <w:rPr>
              <w:caps/>
              <w:color w:val="4F81BD" w:themeColor="accent1"/>
              <w:sz w:val="18"/>
              <w:szCs w:val="18"/>
            </w:rPr>
          </w:pPr>
        </w:p>
      </w:tc>
      <w:tc>
        <w:tcPr>
          <w:tcW w:w="4838" w:type="dxa"/>
          <w:shd w:val="clear" w:color="auto" w:fill="auto"/>
        </w:tcPr>
        <w:p w:rsidR="003E0109" w:rsidRDefault="00F544A3">
          <w:pPr>
            <w:pStyle w:val="Footer"/>
            <w:tabs>
              <w:tab w:val="clear" w:pos="4680"/>
              <w:tab w:val="clear" w:pos="9360"/>
            </w:tabs>
            <w:jc w:val="right"/>
          </w:pPr>
          <w:r>
            <w:rPr>
              <w:caps/>
              <w:sz w:val="18"/>
              <w:szCs w:val="18"/>
            </w:rPr>
            <w:t xml:space="preserve">Page </w:t>
          </w:r>
          <w:r>
            <w:rPr>
              <w:caps/>
              <w:sz w:val="18"/>
              <w:szCs w:val="18"/>
            </w:rPr>
            <w:fldChar w:fldCharType="begin"/>
          </w:r>
          <w:r>
            <w:rPr>
              <w:caps/>
              <w:sz w:val="18"/>
              <w:szCs w:val="18"/>
            </w:rPr>
            <w:instrText>PAGE</w:instrText>
          </w:r>
          <w:r>
            <w:rPr>
              <w:caps/>
              <w:sz w:val="18"/>
              <w:szCs w:val="18"/>
            </w:rPr>
            <w:fldChar w:fldCharType="separate"/>
          </w:r>
          <w:r>
            <w:rPr>
              <w:caps/>
              <w:noProof/>
              <w:sz w:val="18"/>
              <w:szCs w:val="18"/>
            </w:rPr>
            <w:t>2</w:t>
          </w:r>
          <w:r>
            <w:rPr>
              <w:caps/>
              <w:sz w:val="18"/>
              <w:szCs w:val="18"/>
            </w:rPr>
            <w:fldChar w:fldCharType="end"/>
          </w:r>
        </w:p>
      </w:tc>
    </w:tr>
  </w:tbl>
  <w:p w:rsidR="003E0109" w:rsidRDefault="003E01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840"/>
      <w:gridCol w:w="402"/>
      <w:gridCol w:w="4838"/>
    </w:tblGrid>
    <w:tr w:rsidR="003E0109">
      <w:trPr>
        <w:trHeight w:val="180"/>
      </w:trPr>
      <w:tc>
        <w:tcPr>
          <w:tcW w:w="4840" w:type="dxa"/>
          <w:shd w:val="clear" w:color="auto" w:fill="auto"/>
        </w:tcPr>
        <w:p w:rsidR="003E0109" w:rsidRDefault="00F544A3">
          <w:pPr>
            <w:pStyle w:val="Footer"/>
            <w:tabs>
              <w:tab w:val="clear" w:pos="4680"/>
              <w:tab w:val="clear" w:pos="9360"/>
            </w:tabs>
            <w:rPr>
              <w:caps/>
              <w:color w:val="4F81BD" w:themeColor="accent1"/>
              <w:sz w:val="18"/>
              <w:szCs w:val="18"/>
            </w:rPr>
          </w:pPr>
          <w:sdt>
            <w:sdtPr>
              <w:alias w:val="Title"/>
              <w:id w:val="-1019307610"/>
              <w:dataBinding w:prefixMappings="xmlns:ns0='http://purl.org/dc/elements/1.1/' xmlns:ns1='http://schemas.openxmlformats.org/package/2006/metadata/core-properties' " w:xpath="/ns1:coreProperties[1]/ns0:title[1]" w:storeItemID="{6C3C8BC8-F283-45AE-878A-BAB7291924A1}"/>
              <w:text/>
            </w:sdtPr>
            <w:sdtEndPr/>
            <w:sdtContent>
              <w:r>
                <w:rPr>
                  <w:caps/>
                  <w:sz w:val="18"/>
                  <w:szCs w:val="18"/>
                </w:rPr>
                <w:t>sample procurement policy</w:t>
              </w:r>
            </w:sdtContent>
          </w:sdt>
        </w:p>
      </w:tc>
      <w:tc>
        <w:tcPr>
          <w:tcW w:w="402" w:type="dxa"/>
          <w:shd w:val="clear" w:color="auto" w:fill="auto"/>
        </w:tcPr>
        <w:p w:rsidR="003E0109" w:rsidRDefault="003E0109">
          <w:pPr>
            <w:pStyle w:val="Footer"/>
            <w:tabs>
              <w:tab w:val="clear" w:pos="4680"/>
              <w:tab w:val="clear" w:pos="9360"/>
            </w:tabs>
            <w:rPr>
              <w:caps/>
              <w:color w:val="4F81BD" w:themeColor="accent1"/>
              <w:sz w:val="18"/>
              <w:szCs w:val="18"/>
            </w:rPr>
          </w:pPr>
        </w:p>
      </w:tc>
      <w:tc>
        <w:tcPr>
          <w:tcW w:w="4838" w:type="dxa"/>
          <w:shd w:val="clear" w:color="auto" w:fill="auto"/>
        </w:tcPr>
        <w:p w:rsidR="003E0109" w:rsidRDefault="00F544A3">
          <w:pPr>
            <w:pStyle w:val="Footer"/>
            <w:tabs>
              <w:tab w:val="clear" w:pos="4680"/>
              <w:tab w:val="clear" w:pos="9360"/>
            </w:tabs>
            <w:jc w:val="right"/>
          </w:pPr>
          <w:r>
            <w:rPr>
              <w:caps/>
              <w:sz w:val="18"/>
              <w:szCs w:val="18"/>
            </w:rPr>
            <w:t xml:space="preserve">Page </w:t>
          </w:r>
          <w:r>
            <w:rPr>
              <w:caps/>
              <w:sz w:val="18"/>
              <w:szCs w:val="18"/>
            </w:rPr>
            <w:fldChar w:fldCharType="begin"/>
          </w:r>
          <w:r>
            <w:rPr>
              <w:caps/>
              <w:sz w:val="18"/>
              <w:szCs w:val="18"/>
            </w:rPr>
            <w:instrText>PAGE</w:instrText>
          </w:r>
          <w:r>
            <w:rPr>
              <w:caps/>
              <w:sz w:val="18"/>
              <w:szCs w:val="18"/>
            </w:rPr>
            <w:fldChar w:fldCharType="separate"/>
          </w:r>
          <w:r>
            <w:rPr>
              <w:caps/>
              <w:noProof/>
              <w:sz w:val="18"/>
              <w:szCs w:val="18"/>
            </w:rPr>
            <w:t>25</w:t>
          </w:r>
          <w:r>
            <w:rPr>
              <w:caps/>
              <w:sz w:val="18"/>
              <w:szCs w:val="18"/>
            </w:rPr>
            <w:fldChar w:fldCharType="end"/>
          </w:r>
        </w:p>
      </w:tc>
    </w:tr>
  </w:tbl>
  <w:p w:rsidR="003E0109" w:rsidRDefault="003E01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544A3">
      <w:pPr>
        <w:spacing w:before="0" w:after="0" w:line="240" w:lineRule="auto"/>
      </w:pPr>
      <w:r>
        <w:separator/>
      </w:r>
    </w:p>
  </w:footnote>
  <w:footnote w:type="continuationSeparator" w:id="0">
    <w:p w:rsidR="00000000" w:rsidRDefault="00F544A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09"/>
    <w:rsid w:val="003E0109"/>
    <w:rsid w:val="00F544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F64F46-DF58-4C74-AE09-A03B7196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F70"/>
    <w:pPr>
      <w:spacing w:before="120" w:after="120" w:line="276" w:lineRule="auto"/>
    </w:pPr>
  </w:style>
  <w:style w:type="paragraph" w:styleId="Heading1">
    <w:name w:val="heading 1"/>
    <w:basedOn w:val="Normal"/>
    <w:next w:val="Normal"/>
    <w:link w:val="Heading1Char"/>
    <w:uiPriority w:val="9"/>
    <w:qFormat/>
    <w:rsid w:val="00326F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6F70"/>
    <w:pPr>
      <w:keepNext/>
      <w:keepLines/>
      <w:spacing w:before="40" w:after="0"/>
      <w:ind w:left="72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32E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2Char">
    <w:name w:val="Body Text Indent 2 Char"/>
    <w:basedOn w:val="DefaultParagraphFont"/>
    <w:link w:val="BodyTextIndent2"/>
    <w:qFormat/>
    <w:rsid w:val="00E30F59"/>
    <w:rPr>
      <w:rFonts w:ascii="Times New Roman" w:eastAsia="Times New Roman" w:hAnsi="Times New Roman" w:cs="Times New Roman"/>
      <w:color w:val="3366FF"/>
      <w:sz w:val="24"/>
      <w:szCs w:val="24"/>
    </w:rPr>
  </w:style>
  <w:style w:type="character" w:customStyle="1" w:styleId="BodyTextIndent3Char">
    <w:name w:val="Body Text Indent 3 Char"/>
    <w:basedOn w:val="DefaultParagraphFont"/>
    <w:link w:val="BodyTextIndent3"/>
    <w:qFormat/>
    <w:rsid w:val="00E30F59"/>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sid w:val="00DC45CF"/>
  </w:style>
  <w:style w:type="character" w:customStyle="1" w:styleId="FooterChar">
    <w:name w:val="Footer Char"/>
    <w:basedOn w:val="DefaultParagraphFont"/>
    <w:link w:val="Footer"/>
    <w:uiPriority w:val="99"/>
    <w:qFormat/>
    <w:rsid w:val="00DC45CF"/>
  </w:style>
  <w:style w:type="character" w:customStyle="1" w:styleId="Heading1Char">
    <w:name w:val="Heading 1 Char"/>
    <w:basedOn w:val="DefaultParagraphFont"/>
    <w:link w:val="Heading1"/>
    <w:uiPriority w:val="9"/>
    <w:qFormat/>
    <w:rsid w:val="00326F7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326F7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532EFE"/>
    <w:rPr>
      <w:rFonts w:asciiTheme="majorHAnsi" w:eastAsiaTheme="majorEastAsia" w:hAnsiTheme="majorHAnsi" w:cstheme="majorBidi"/>
      <w:color w:val="243F60" w:themeColor="accent1" w:themeShade="7F"/>
      <w:sz w:val="24"/>
      <w:szCs w:val="24"/>
    </w:rPr>
  </w:style>
  <w:style w:type="character" w:customStyle="1" w:styleId="TitleChar">
    <w:name w:val="Title Char"/>
    <w:basedOn w:val="DefaultParagraphFont"/>
    <w:link w:val="Title"/>
    <w:qFormat/>
    <w:rsid w:val="00DA7752"/>
    <w:rPr>
      <w:rFonts w:asciiTheme="majorHAnsi" w:eastAsiaTheme="majorEastAsia" w:hAnsiTheme="majorHAnsi" w:cstheme="majorBidi"/>
      <w:spacing w:val="-10"/>
      <w:kern w:val="2"/>
      <w:sz w:val="56"/>
      <w:szCs w:val="56"/>
    </w:rPr>
  </w:style>
  <w:style w:type="character" w:customStyle="1" w:styleId="BodyTextChar">
    <w:name w:val="Body Text Char"/>
    <w:basedOn w:val="DefaultParagraphFont"/>
    <w:link w:val="BodyText"/>
    <w:uiPriority w:val="99"/>
    <w:semiHidden/>
    <w:qFormat/>
    <w:rsid w:val="00E86125"/>
  </w:style>
  <w:style w:type="character" w:customStyle="1" w:styleId="BodyTextIndentChar">
    <w:name w:val="Body Text Indent Char"/>
    <w:basedOn w:val="DefaultParagraphFont"/>
    <w:link w:val="BodyTextIndent"/>
    <w:uiPriority w:val="99"/>
    <w:semiHidden/>
    <w:qFormat/>
    <w:rsid w:val="00004BAB"/>
  </w:style>
  <w:style w:type="character" w:customStyle="1" w:styleId="BalloonTextChar">
    <w:name w:val="Balloon Text Char"/>
    <w:basedOn w:val="DefaultParagraphFont"/>
    <w:link w:val="BalloonText"/>
    <w:uiPriority w:val="99"/>
    <w:semiHidden/>
    <w:qFormat/>
    <w:rsid w:val="00980ED0"/>
    <w:rPr>
      <w:rFonts w:ascii="Tahoma" w:hAnsi="Tahoma" w:cs="Tahoma"/>
      <w:sz w:val="16"/>
      <w:szCs w:val="16"/>
    </w:rPr>
  </w:style>
  <w:style w:type="character" w:styleId="CommentReference">
    <w:name w:val="annotation reference"/>
    <w:basedOn w:val="DefaultParagraphFont"/>
    <w:uiPriority w:val="99"/>
    <w:semiHidden/>
    <w:unhideWhenUsed/>
    <w:qFormat/>
    <w:rsid w:val="000A0C65"/>
    <w:rPr>
      <w:sz w:val="16"/>
      <w:szCs w:val="16"/>
    </w:rPr>
  </w:style>
  <w:style w:type="character" w:customStyle="1" w:styleId="CommentTextChar">
    <w:name w:val="Comment Text Char"/>
    <w:basedOn w:val="DefaultParagraphFont"/>
    <w:link w:val="CommentText"/>
    <w:uiPriority w:val="99"/>
    <w:semiHidden/>
    <w:qFormat/>
    <w:rsid w:val="000A0C65"/>
    <w:rPr>
      <w:sz w:val="20"/>
      <w:szCs w:val="20"/>
    </w:rPr>
  </w:style>
  <w:style w:type="character" w:customStyle="1" w:styleId="CommentSubjectChar">
    <w:name w:val="Comment Subject Char"/>
    <w:basedOn w:val="CommentTextChar"/>
    <w:link w:val="CommentSubject"/>
    <w:uiPriority w:val="99"/>
    <w:semiHidden/>
    <w:qFormat/>
    <w:rsid w:val="000A0C65"/>
    <w:rPr>
      <w:b/>
      <w:bCs/>
      <w:sz w:val="20"/>
      <w:szCs w:val="20"/>
    </w:rPr>
  </w:style>
  <w:style w:type="character" w:customStyle="1" w:styleId="InternetLink">
    <w:name w:val="Internet Link"/>
    <w:basedOn w:val="DefaultParagraphFont"/>
    <w:uiPriority w:val="99"/>
    <w:unhideWhenUsed/>
    <w:rsid w:val="009041A8"/>
    <w:rPr>
      <w:color w:val="0000FF" w:themeColor="hyperlink"/>
      <w:u w:val="single"/>
    </w:rPr>
  </w:style>
  <w:style w:type="character" w:customStyle="1" w:styleId="ListLabel1">
    <w:name w:val="ListLabel 1"/>
    <w:qFormat/>
    <w:rPr>
      <w:rFonts w:eastAsia="Calibri" w:cs="Times New Roman"/>
    </w:rPr>
  </w:style>
  <w:style w:type="character" w:customStyle="1" w:styleId="ListLabel2">
    <w:name w:val="ListLabel 2"/>
    <w:qFormat/>
    <w:rPr>
      <w:b w:val="0"/>
      <w:bCs w:val="0"/>
    </w:rPr>
  </w:style>
  <w:style w:type="character" w:customStyle="1" w:styleId="ListLabel3">
    <w:name w:val="ListLabel 3"/>
    <w:qFormat/>
    <w:rPr>
      <w:b w:val="0"/>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Arial"/>
      <w:spacing w:val="-1"/>
      <w:w w:val="105"/>
      <w:sz w:val="14"/>
      <w:szCs w:val="14"/>
    </w:rPr>
  </w:style>
  <w:style w:type="character" w:customStyle="1" w:styleId="ListLabel11">
    <w:name w:val="ListLabel 11"/>
    <w:qFormat/>
    <w:rPr>
      <w:rFonts w:eastAsia="Arial"/>
      <w:spacing w:val="-1"/>
      <w:w w:val="105"/>
      <w:sz w:val="14"/>
      <w:szCs w:val="14"/>
    </w:rPr>
  </w:style>
  <w:style w:type="character" w:customStyle="1" w:styleId="ListLabel12">
    <w:name w:val="ListLabel 12"/>
    <w:qFormat/>
    <w:rPr>
      <w:rFonts w:eastAsia="Arial"/>
      <w:spacing w:val="-1"/>
      <w:w w:val="105"/>
      <w:sz w:val="14"/>
      <w:szCs w:val="14"/>
    </w:rPr>
  </w:style>
  <w:style w:type="character" w:customStyle="1" w:styleId="ListLabel13">
    <w:name w:val="ListLabel 13"/>
    <w:qFormat/>
    <w:rPr>
      <w:rFonts w:eastAsia="Arial"/>
      <w:spacing w:val="-1"/>
      <w:w w:val="105"/>
      <w:sz w:val="14"/>
      <w:szCs w:val="14"/>
    </w:rPr>
  </w:style>
  <w:style w:type="character" w:customStyle="1" w:styleId="ListLabel14">
    <w:name w:val="ListLabel 14"/>
    <w:qFormat/>
    <w:rPr>
      <w:rFonts w:eastAsia="Arial"/>
      <w:spacing w:val="-1"/>
      <w:w w:val="105"/>
      <w:sz w:val="14"/>
      <w:szCs w:val="14"/>
    </w:rPr>
  </w:style>
  <w:style w:type="character" w:customStyle="1" w:styleId="ListLabel15">
    <w:name w:val="ListLabel 15"/>
    <w:qFormat/>
    <w:rPr>
      <w:rFonts w:eastAsia="Arial"/>
      <w:i/>
      <w:spacing w:val="-1"/>
      <w:w w:val="105"/>
      <w:sz w:val="14"/>
      <w:szCs w:val="14"/>
    </w:rPr>
  </w:style>
  <w:style w:type="character" w:customStyle="1" w:styleId="ListLabel16">
    <w:name w:val="ListLabel 16"/>
    <w:qFormat/>
  </w:style>
  <w:style w:type="paragraph" w:customStyle="1" w:styleId="Heading">
    <w:name w:val="Heading"/>
    <w:basedOn w:val="Normal"/>
    <w:next w:val="BodyText"/>
    <w:qFormat/>
    <w:pPr>
      <w:keepNext/>
      <w:spacing w:before="240"/>
    </w:pPr>
    <w:rPr>
      <w:rFonts w:ascii="Arial" w:eastAsia="Microsoft YaHei" w:hAnsi="Arial" w:cs="Arial"/>
      <w:sz w:val="28"/>
      <w:szCs w:val="28"/>
    </w:rPr>
  </w:style>
  <w:style w:type="paragraph" w:styleId="BodyText">
    <w:name w:val="Body Text"/>
    <w:basedOn w:val="Normal"/>
    <w:link w:val="BodyTextChar"/>
    <w:uiPriority w:val="99"/>
    <w:semiHidden/>
    <w:unhideWhenUsed/>
    <w:rsid w:val="00E86125"/>
  </w:style>
  <w:style w:type="paragraph" w:styleId="List">
    <w:name w:val="List"/>
    <w:basedOn w:val="BodyText"/>
    <w:rPr>
      <w:rFonts w:cs="Arial"/>
    </w:rPr>
  </w:style>
  <w:style w:type="paragraph" w:styleId="Caption">
    <w:name w:val="caption"/>
    <w:basedOn w:val="Normal"/>
    <w:qFormat/>
    <w:pPr>
      <w:suppressLineNumbers/>
    </w:pPr>
    <w:rPr>
      <w:rFonts w:cs="Arial"/>
      <w:i/>
      <w:iCs/>
      <w:sz w:val="24"/>
      <w:szCs w:val="24"/>
    </w:rPr>
  </w:style>
  <w:style w:type="paragraph" w:customStyle="1" w:styleId="Index">
    <w:name w:val="Index"/>
    <w:basedOn w:val="Normal"/>
    <w:qFormat/>
    <w:pPr>
      <w:suppressLineNumbers/>
    </w:pPr>
    <w:rPr>
      <w:rFonts w:cs="Arial"/>
    </w:rPr>
  </w:style>
  <w:style w:type="paragraph" w:styleId="BodyTextIndent2">
    <w:name w:val="Body Text Indent 2"/>
    <w:basedOn w:val="Normal"/>
    <w:link w:val="BodyTextIndent2Char"/>
    <w:qFormat/>
    <w:rsid w:val="00E30F59"/>
    <w:pPr>
      <w:spacing w:after="0" w:line="240" w:lineRule="auto"/>
      <w:ind w:left="900" w:hanging="270"/>
    </w:pPr>
    <w:rPr>
      <w:rFonts w:ascii="Times New Roman" w:eastAsia="Times New Roman" w:hAnsi="Times New Roman" w:cs="Times New Roman"/>
      <w:color w:val="3366FF"/>
      <w:sz w:val="24"/>
      <w:szCs w:val="24"/>
    </w:rPr>
  </w:style>
  <w:style w:type="paragraph" w:styleId="BodyTextIndent3">
    <w:name w:val="Body Text Indent 3"/>
    <w:basedOn w:val="Normal"/>
    <w:link w:val="BodyTextIndent3Char"/>
    <w:qFormat/>
    <w:rsid w:val="00E30F59"/>
    <w:pPr>
      <w:spacing w:after="0" w:line="240" w:lineRule="auto"/>
      <w:ind w:left="1170" w:hanging="450"/>
    </w:pPr>
    <w:rPr>
      <w:rFonts w:ascii="Times New Roman" w:eastAsia="Times New Roman" w:hAnsi="Times New Roman" w:cs="Times New Roman"/>
      <w:sz w:val="24"/>
      <w:szCs w:val="24"/>
    </w:rPr>
  </w:style>
  <w:style w:type="paragraph" w:styleId="ListParagraph">
    <w:name w:val="List Paragraph"/>
    <w:basedOn w:val="Normal"/>
    <w:uiPriority w:val="34"/>
    <w:qFormat/>
    <w:rsid w:val="00E30F59"/>
    <w:pPr>
      <w:ind w:left="720"/>
      <w:contextualSpacing/>
    </w:pPr>
  </w:style>
  <w:style w:type="paragraph" w:styleId="Header">
    <w:name w:val="header"/>
    <w:basedOn w:val="Normal"/>
    <w:link w:val="HeaderChar"/>
    <w:uiPriority w:val="99"/>
    <w:unhideWhenUsed/>
    <w:rsid w:val="00DC45CF"/>
    <w:pPr>
      <w:tabs>
        <w:tab w:val="center" w:pos="4680"/>
        <w:tab w:val="right" w:pos="9360"/>
      </w:tabs>
      <w:spacing w:after="0" w:line="240" w:lineRule="auto"/>
    </w:pPr>
  </w:style>
  <w:style w:type="paragraph" w:styleId="Footer">
    <w:name w:val="footer"/>
    <w:basedOn w:val="Normal"/>
    <w:link w:val="FooterChar"/>
    <w:uiPriority w:val="99"/>
    <w:unhideWhenUsed/>
    <w:rsid w:val="00DC45CF"/>
    <w:pPr>
      <w:tabs>
        <w:tab w:val="center" w:pos="4680"/>
        <w:tab w:val="right" w:pos="9360"/>
      </w:tabs>
      <w:spacing w:after="0" w:line="240" w:lineRule="auto"/>
    </w:pPr>
  </w:style>
  <w:style w:type="paragraph" w:customStyle="1" w:styleId="Indent1">
    <w:name w:val="Indent1"/>
    <w:basedOn w:val="Normal"/>
    <w:qFormat/>
    <w:rsid w:val="006132F6"/>
    <w:pPr>
      <w:ind w:left="720"/>
    </w:pPr>
  </w:style>
  <w:style w:type="paragraph" w:customStyle="1" w:styleId="Indent2">
    <w:name w:val="Indent2"/>
    <w:basedOn w:val="Indent1"/>
    <w:autoRedefine/>
    <w:qFormat/>
    <w:rsid w:val="00934008"/>
    <w:pPr>
      <w:ind w:left="1440"/>
    </w:pPr>
  </w:style>
  <w:style w:type="paragraph" w:customStyle="1" w:styleId="List2">
    <w:name w:val="List2"/>
    <w:basedOn w:val="Normal"/>
    <w:autoRedefine/>
    <w:qFormat/>
    <w:rsid w:val="00FD0B55"/>
    <w:pPr>
      <w:ind w:left="1440" w:hanging="720"/>
    </w:pPr>
    <w:rPr>
      <w:rFonts w:cs="Times New Roman"/>
    </w:rPr>
  </w:style>
  <w:style w:type="paragraph" w:customStyle="1" w:styleId="List3">
    <w:name w:val="List3"/>
    <w:basedOn w:val="ListParagraph"/>
    <w:autoRedefine/>
    <w:qFormat/>
    <w:rsid w:val="00D565AC"/>
    <w:pPr>
      <w:ind w:left="2880" w:hanging="720"/>
    </w:pPr>
    <w:rPr>
      <w:rFonts w:cs="Times New Roman"/>
    </w:rPr>
  </w:style>
  <w:style w:type="paragraph" w:customStyle="1" w:styleId="List4">
    <w:name w:val="List4"/>
    <w:basedOn w:val="Normal"/>
    <w:autoRedefine/>
    <w:qFormat/>
    <w:rsid w:val="00532EFE"/>
    <w:pPr>
      <w:ind w:left="3600" w:hanging="720"/>
    </w:pPr>
    <w:rPr>
      <w:rFonts w:cs="Times New Roman"/>
      <w:szCs w:val="24"/>
    </w:rPr>
  </w:style>
  <w:style w:type="paragraph" w:customStyle="1" w:styleId="Indent4">
    <w:name w:val="Indent4"/>
    <w:basedOn w:val="Normal"/>
    <w:autoRedefine/>
    <w:qFormat/>
    <w:rsid w:val="00BB1E76"/>
    <w:pPr>
      <w:ind w:left="3600"/>
    </w:pPr>
    <w:rPr>
      <w:rFonts w:cs="Times New Roman"/>
      <w:szCs w:val="24"/>
    </w:rPr>
  </w:style>
  <w:style w:type="paragraph" w:customStyle="1" w:styleId="Indent3">
    <w:name w:val="Indent3"/>
    <w:basedOn w:val="ListParagraph"/>
    <w:autoRedefine/>
    <w:qFormat/>
    <w:rsid w:val="00773928"/>
    <w:pPr>
      <w:ind w:left="2880"/>
    </w:pPr>
    <w:rPr>
      <w:rFonts w:cs="Times New Roman"/>
    </w:rPr>
  </w:style>
  <w:style w:type="paragraph" w:styleId="Title">
    <w:name w:val="Title"/>
    <w:basedOn w:val="Normal"/>
    <w:next w:val="Normal"/>
    <w:link w:val="TitleChar"/>
    <w:qFormat/>
    <w:rsid w:val="00DA7752"/>
    <w:pPr>
      <w:spacing w:before="0" w:after="0" w:line="240" w:lineRule="auto"/>
      <w:contextualSpacing/>
    </w:pPr>
    <w:rPr>
      <w:rFonts w:asciiTheme="majorHAnsi" w:eastAsiaTheme="majorEastAsia" w:hAnsiTheme="majorHAnsi" w:cstheme="majorBidi"/>
      <w:spacing w:val="-10"/>
      <w:kern w:val="2"/>
      <w:sz w:val="56"/>
      <w:szCs w:val="56"/>
    </w:rPr>
  </w:style>
  <w:style w:type="paragraph" w:styleId="BodyTextIndent">
    <w:name w:val="Body Text Indent"/>
    <w:basedOn w:val="Normal"/>
    <w:link w:val="BodyTextIndentChar"/>
    <w:uiPriority w:val="99"/>
    <w:semiHidden/>
    <w:unhideWhenUsed/>
    <w:rsid w:val="00004BAB"/>
    <w:pPr>
      <w:ind w:left="360"/>
    </w:pPr>
  </w:style>
  <w:style w:type="paragraph" w:customStyle="1" w:styleId="List1">
    <w:name w:val="List1"/>
    <w:basedOn w:val="List2"/>
    <w:autoRedefine/>
    <w:qFormat/>
    <w:rsid w:val="002C7897"/>
    <w:rPr>
      <w:w w:val="105"/>
    </w:rPr>
  </w:style>
  <w:style w:type="paragraph" w:styleId="BalloonText">
    <w:name w:val="Balloon Text"/>
    <w:basedOn w:val="Normal"/>
    <w:link w:val="BalloonTextChar"/>
    <w:uiPriority w:val="99"/>
    <w:semiHidden/>
    <w:unhideWhenUsed/>
    <w:qFormat/>
    <w:rsid w:val="00980ED0"/>
    <w:pPr>
      <w:spacing w:before="0"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A0C65"/>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0A0C65"/>
    <w:rPr>
      <w:b/>
      <w:bCs/>
    </w:rPr>
  </w:style>
  <w:style w:type="table" w:styleId="TableGrid">
    <w:name w:val="Table Grid"/>
    <w:basedOn w:val="TableNormal"/>
    <w:uiPriority w:val="59"/>
    <w:rsid w:val="00B92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m.go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7B"/>
    <w:rsid w:val="00006CEF"/>
    <w:rsid w:val="000F0AA0"/>
    <w:rsid w:val="0021267B"/>
    <w:rsid w:val="002220D1"/>
    <w:rsid w:val="00892847"/>
    <w:rsid w:val="00946064"/>
    <w:rsid w:val="00A40E9C"/>
    <w:rsid w:val="00B9765E"/>
    <w:rsid w:val="00DE28AA"/>
    <w:rsid w:val="00E2663D"/>
    <w:rsid w:val="00E5620F"/>
    <w:rsid w:val="00E8472D"/>
    <w:rsid w:val="00EA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33AC362ACE48CBABA2951CD88AFA36">
    <w:name w:val="1B33AC362ACE48CBABA2951CD88AFA36"/>
    <w:rsid w:val="0021267B"/>
  </w:style>
  <w:style w:type="paragraph" w:customStyle="1" w:styleId="704A0538487E434B9BF3E81C08426F4A">
    <w:name w:val="704A0538487E434B9BF3E81C08426F4A"/>
    <w:rsid w:val="002126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9534</Words>
  <Characters>54345</Characters>
  <Application>Microsoft Office Word</Application>
  <DocSecurity>4</DocSecurity>
  <Lines>452</Lines>
  <Paragraphs>127</Paragraphs>
  <ScaleCrop>false</ScaleCrop>
  <HeadingPairs>
    <vt:vector size="2" baseType="variant">
      <vt:variant>
        <vt:lpstr>Title</vt:lpstr>
      </vt:variant>
      <vt:variant>
        <vt:i4>1</vt:i4>
      </vt:variant>
    </vt:vector>
  </HeadingPairs>
  <TitlesOfParts>
    <vt:vector size="1" baseType="lpstr">
      <vt:lpstr>sample procurement policy</vt:lpstr>
    </vt:vector>
  </TitlesOfParts>
  <Company>Microsoft</Company>
  <LinksUpToDate>false</LinksUpToDate>
  <CharactersWithSpaces>63752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procurement policy</dc:title>
  <dc:subject/>
  <dc:creator>Georgi Banna</dc:creator>
  <dc:description/>
  <cp:lastModifiedBy>Esther Labrado</cp:lastModifiedBy>
  <cp:revision>2</cp:revision>
  <cp:lastPrinted>2015-04-15T15:17:00Z</cp:lastPrinted>
  <dcterms:created xsi:type="dcterms:W3CDTF">2021-02-04T20:33:00Z</dcterms:created>
  <dcterms:modified xsi:type="dcterms:W3CDTF">2021-02-04T20:33:00Z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