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 w:after="60"/>
      </w:pPr>
      <w:r>
        <w:rPr>
          <w:rFonts w:ascii="Arial" w:hAnsi="Arial"/>
          <w:b/>
          <w:i w:val="0"/>
          <w:color w:val="17365D"/>
          <w:sz w:val="50"/>
        </w:rPr>
        <w:t>Stream Forge Project Completion Report</w:t>
      </w:r>
    </w:p>
    <w:p>
      <w:pPr>
        <w:spacing w:after="180"/>
      </w:pPr>
      <w:r>
        <w:rPr>
          <w:rFonts w:ascii="Arial" w:hAnsi="Arial"/>
          <w:b w:val="0"/>
          <w:i w:val="0"/>
          <w:color w:val="2E75B6"/>
          <w:sz w:val="28"/>
        </w:rPr>
        <w:t>Weeks 1–4 implementation and validation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shd w:fill="17365D"/>
          </w:tcPr>
          <w:p>
            <w:pPr>
              <w:spacing w:after="0" w:before="0"/>
            </w:pPr>
            <w:r/>
            <w:r>
              <w:rPr>
                <w:rFonts w:ascii="Arial" w:hAnsi="Arial"/>
                <w:b/>
                <w:i w:val="0"/>
                <w:color w:val="FFFFFF"/>
                <w:sz w:val="18"/>
              </w:rPr>
              <w:t>Project details</w:t>
            </w:r>
          </w:p>
        </w:tc>
        <w:tc>
          <w:tcPr>
            <w:tcW w:type="dxa" w:w="7920"/>
            <w:vAlign w:val="center"/>
            <w:shd w:fill="17365D"/>
          </w:tcPr>
          <w:p>
            <w:pPr>
              <w:spacing w:after="0" w:before="0"/>
            </w:pPr>
            <w:r/>
            <w:r>
              <w:rPr>
                <w:rFonts w:ascii="Arial" w:hAnsi="Arial"/>
                <w:b/>
                <w:i w:val="0"/>
                <w:color w:val="FFFFFF"/>
                <w:sz w:val="18"/>
              </w:rPr>
              <w:t>Value</w:t>
            </w:r>
          </w:p>
        </w:tc>
      </w:tr>
      <w:tr>
        <w:trPr>
          <w:cantSplit/>
        </w:trPr>
        <w:tc>
          <w:tcPr>
            <w:tcW w:type="dxa" w:w="2232"/>
            <w:vAlign w:val="center"/>
          </w:tcPr>
          <w:p>
            <w:pPr>
              <w:spacing w:after="0" w:before="0"/>
            </w:pPr>
            <w:r/>
            <w:r>
              <w:rPr>
                <w:rFonts w:ascii="Arial" w:hAnsi="Arial"/>
                <w:b w:val="0"/>
                <w:i w:val="0"/>
                <w:color w:val="202833"/>
                <w:sz w:val="17"/>
              </w:rPr>
              <w:t>Project</w:t>
            </w:r>
          </w:p>
        </w:tc>
        <w:tc>
          <w:tcPr>
            <w:tcW w:type="dxa" w:w="7920"/>
            <w:vAlign w:val="center"/>
          </w:tcPr>
          <w:p>
            <w:pPr>
              <w:spacing w:after="0" w:before="0"/>
            </w:pPr>
            <w:r/>
            <w:r>
              <w:rPr>
                <w:rFonts w:ascii="Arial" w:hAnsi="Arial"/>
                <w:b w:val="0"/>
                <w:i w:val="0"/>
                <w:color w:val="202833"/>
                <w:sz w:val="17"/>
              </w:rPr>
              <w:t>Stream Forge — Distributed Python Event Processor</w:t>
            </w:r>
          </w:p>
        </w:tc>
      </w:tr>
      <w:tr>
        <w:trPr>
          <w:cantSplit/>
        </w:trPr>
        <w:tc>
          <w:tcPr>
            <w:tcW w:type="dxa" w:w="2232"/>
            <w:vAlign w:val="center"/>
            <w:shd w:fill="F3F5F7"/>
          </w:tcPr>
          <w:p>
            <w:pPr>
              <w:spacing w:after="0" w:before="0"/>
            </w:pPr>
            <w:r/>
            <w:r>
              <w:rPr>
                <w:rFonts w:ascii="Arial" w:hAnsi="Arial"/>
                <w:b w:val="0"/>
                <w:i w:val="0"/>
                <w:color w:val="202833"/>
                <w:sz w:val="17"/>
              </w:rPr>
              <w:t>Reporting period</w:t>
            </w:r>
          </w:p>
        </w:tc>
        <w:tc>
          <w:tcPr>
            <w:tcW w:type="dxa" w:w="7920"/>
            <w:vAlign w:val="center"/>
            <w:shd w:fill="F3F5F7"/>
          </w:tcPr>
          <w:p>
            <w:pPr>
              <w:spacing w:after="0" w:before="0"/>
            </w:pPr>
            <w:r/>
            <w:r>
              <w:rPr>
                <w:rFonts w:ascii="Arial" w:hAnsi="Arial"/>
                <w:b w:val="0"/>
                <w:i w:val="0"/>
                <w:color w:val="202833"/>
                <w:sz w:val="17"/>
              </w:rPr>
              <w:t>Weeks 1–4; completion review dated 1 October 2026</w:t>
            </w:r>
          </w:p>
        </w:tc>
      </w:tr>
      <w:tr>
        <w:trPr>
          <w:cantSplit/>
        </w:trPr>
        <w:tc>
          <w:tcPr>
            <w:tcW w:type="dxa" w:w="2232"/>
            <w:vAlign w:val="center"/>
          </w:tcPr>
          <w:p>
            <w:pPr>
              <w:spacing w:after="0" w:before="0"/>
            </w:pPr>
            <w:r/>
            <w:r>
              <w:rPr>
                <w:rFonts w:ascii="Arial" w:hAnsi="Arial"/>
                <w:b w:val="0"/>
                <w:i w:val="0"/>
                <w:color w:val="202833"/>
                <w:sz w:val="17"/>
              </w:rPr>
              <w:t>Prepared by</w:t>
            </w:r>
          </w:p>
        </w:tc>
        <w:tc>
          <w:tcPr>
            <w:tcW w:type="dxa" w:w="7920"/>
            <w:vAlign w:val="center"/>
          </w:tcPr>
          <w:p>
            <w:pPr>
              <w:spacing w:after="0" w:before="0"/>
            </w:pPr>
            <w:r/>
            <w:r>
              <w:rPr>
                <w:rFonts w:ascii="Arial" w:hAnsi="Arial"/>
                <w:b w:val="0"/>
                <w:i w:val="0"/>
                <w:color w:val="202833"/>
                <w:sz w:val="17"/>
              </w:rPr>
              <w:t>Member A — Sidhanshu branch</w:t>
            </w:r>
          </w:p>
        </w:tc>
      </w:tr>
      <w:tr>
        <w:trPr>
          <w:cantSplit/>
        </w:trPr>
        <w:tc>
          <w:tcPr>
            <w:tcW w:type="dxa" w:w="2232"/>
            <w:vAlign w:val="center"/>
            <w:shd w:fill="F3F5F7"/>
          </w:tcPr>
          <w:p>
            <w:pPr>
              <w:spacing w:after="0" w:before="0"/>
            </w:pPr>
            <w:r/>
            <w:r>
              <w:rPr>
                <w:rFonts w:ascii="Arial" w:hAnsi="Arial"/>
                <w:b w:val="0"/>
                <w:i w:val="0"/>
                <w:color w:val="202833"/>
                <w:sz w:val="17"/>
              </w:rPr>
              <w:t>Audience</w:t>
            </w:r>
          </w:p>
        </w:tc>
        <w:tc>
          <w:tcPr>
            <w:tcW w:type="dxa" w:w="7920"/>
            <w:vAlign w:val="center"/>
            <w:shd w:fill="F3F5F7"/>
          </w:tcPr>
          <w:p>
            <w:pPr>
              <w:spacing w:after="0" w:before="0"/>
            </w:pPr>
            <w:r/>
            <w:r>
              <w:rPr>
                <w:rFonts w:ascii="Arial" w:hAnsi="Arial"/>
                <w:b w:val="0"/>
                <w:i w:val="0"/>
                <w:color w:val="202833"/>
                <w:sz w:val="17"/>
              </w:rPr>
              <w:t>Project evaluator / instructor</w:t>
            </w:r>
          </w:p>
        </w:tc>
      </w:tr>
      <w:tr>
        <w:trPr>
          <w:cantSplit/>
        </w:trPr>
        <w:tc>
          <w:tcPr>
            <w:tcW w:type="dxa" w:w="2232"/>
            <w:vAlign w:val="center"/>
          </w:tcPr>
          <w:p>
            <w:pPr>
              <w:spacing w:after="0" w:before="0"/>
            </w:pPr>
            <w:r/>
            <w:r>
              <w:rPr>
                <w:rFonts w:ascii="Arial" w:hAnsi="Arial"/>
                <w:b w:val="0"/>
                <w:i w:val="0"/>
                <w:color w:val="202833"/>
                <w:sz w:val="17"/>
              </w:rPr>
              <w:t>Status</w:t>
            </w:r>
          </w:p>
        </w:tc>
        <w:tc>
          <w:tcPr>
            <w:tcW w:type="dxa" w:w="7920"/>
            <w:vAlign w:val="center"/>
          </w:tcPr>
          <w:p>
            <w:pPr>
              <w:spacing w:after="0" w:before="0"/>
            </w:pPr>
            <w:r/>
            <w:r>
              <w:rPr>
                <w:rFonts w:ascii="Arial" w:hAnsi="Arial"/>
                <w:b w:val="0"/>
                <w:i w:val="0"/>
                <w:color w:val="202833"/>
                <w:sz w:val="17"/>
              </w:rPr>
              <w:t>Local end-to-end pipeline implemented and verified; production hardening remains</w:t>
            </w:r>
          </w:p>
        </w:tc>
      </w:tr>
    </w:tbl>
    <w:p>
      <w:pPr>
        <w:spacing w:after="20"/>
      </w:pPr>
    </w:p>
    <w:p>
      <w:pPr>
        <w:pStyle w:val="Heading1"/>
        <w:keepNext/>
        <w:spacing w:before="180" w:after="80"/>
      </w:pPr>
      <w:r>
        <w:rPr>
          <w:rFonts w:ascii="Arial" w:hAnsi="Arial"/>
          <w:b/>
          <w:i w:val="0"/>
          <w:color w:val="17365D"/>
          <w:sz w:val="30"/>
        </w:rPr>
        <w:t>Executive summary</w:t>
      </w:r>
    </w:p>
    <w:p>
      <w:pPr>
        <w:spacing w:after="100" w:line="259" w:lineRule="auto"/>
      </w:pPr>
      <w:r>
        <w:rPr>
          <w:rFonts w:ascii="Arial" w:hAnsi="Arial"/>
          <w:b w:val="0"/>
          <w:i w:val="0"/>
          <w:color w:val="202833"/>
          <w:sz w:val="19"/>
        </w:rPr>
        <w:t>Stream Forge now has a runnable local pipeline from Kafka telemetry input through Python processing and RocksDB state to a React monitoring dashboard. The processor filters temperatures at or below 0°C and maintains UTC five-minute tumbling-window averages per truck. Kafka transactions commit each valid event’s output, changelog snapshot, and source offset together.</w:t>
      </w:r>
    </w:p>
    <w:p>
      <w:pPr>
        <w:spacing w:after="100" w:line="259" w:lineRule="auto"/>
      </w:pPr>
      <w:r>
        <w:rPr>
          <w:rFonts w:ascii="Arial" w:hAnsi="Arial"/>
          <w:b w:val="0"/>
          <w:i w:val="0"/>
          <w:color w:val="202833"/>
          <w:sz w:val="19"/>
        </w:rPr>
        <w:t>The implemented stack was exercised against a live single-broker Kafka cluster. In a bounded run, 100 generated telemetry records were consumed: 85 positive-temperature records produced aggregate updates and 15 records were filtered. The API reported 20 active partitions, one processor consumer, zero lag, and live Prometheus metrics. A processor restart replayed 94 changelog snapshots. The current scope is suitable for local demonstration and further team development; multi-process recovery and crash-during-transaction behavior still need a dedicated fault-injection run.</w:t>
      </w:r>
    </w:p>
    <w:p>
      <w:pPr>
        <w:pStyle w:val="Heading1"/>
        <w:keepNext/>
        <w:spacing w:before="180" w:after="80"/>
      </w:pPr>
      <w:r>
        <w:rPr>
          <w:rFonts w:ascii="Arial" w:hAnsi="Arial"/>
          <w:b/>
          <w:i w:val="0"/>
          <w:color w:val="17365D"/>
          <w:sz w:val="30"/>
        </w:rPr>
        <w:t>Delivered outcomes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vAlign w:val="center"/>
            <w:shd w:fill="17365D"/>
          </w:tcPr>
          <w:p>
            <w:pPr>
              <w:spacing w:after="0" w:before="0"/>
            </w:pPr>
            <w:r/>
            <w:r>
              <w:rPr>
                <w:rFonts w:ascii="Arial" w:hAnsi="Arial"/>
                <w:b/>
                <w:i w:val="0"/>
                <w:color w:val="FFFFFF"/>
                <w:sz w:val="18"/>
              </w:rPr>
              <w:t>Area</w:t>
            </w:r>
          </w:p>
        </w:tc>
        <w:tc>
          <w:tcPr>
            <w:tcW w:type="dxa" w:w="4752"/>
            <w:vAlign w:val="center"/>
            <w:shd w:fill="17365D"/>
          </w:tcPr>
          <w:p>
            <w:pPr>
              <w:spacing w:after="0" w:before="0"/>
            </w:pPr>
            <w:r/>
            <w:r>
              <w:rPr>
                <w:rFonts w:ascii="Arial" w:hAnsi="Arial"/>
                <w:b/>
                <w:i w:val="0"/>
                <w:color w:val="FFFFFF"/>
                <w:sz w:val="18"/>
              </w:rPr>
              <w:t>Delivered</w:t>
            </w:r>
          </w:p>
        </w:tc>
        <w:tc>
          <w:tcPr>
            <w:tcW w:type="dxa" w:w="3528"/>
            <w:vAlign w:val="center"/>
            <w:shd w:fill="17365D"/>
          </w:tcPr>
          <w:p>
            <w:pPr>
              <w:spacing w:after="0" w:before="0"/>
            </w:pPr>
            <w:r/>
            <w:r>
              <w:rPr>
                <w:rFonts w:ascii="Arial" w:hAnsi="Arial"/>
                <w:b/>
                <w:i w:val="0"/>
                <w:color w:val="FFFFFF"/>
                <w:sz w:val="18"/>
              </w:rPr>
              <w:t>Evidence</w:t>
            </w:r>
          </w:p>
        </w:tc>
      </w:tr>
      <w:tr>
        <w:trPr>
          <w:cantSplit/>
        </w:trPr>
        <w:tc>
          <w:tcPr>
            <w:tcW w:type="dxa" w:w="1872"/>
            <w:vAlign w:val="center"/>
          </w:tcPr>
          <w:p>
            <w:pPr>
              <w:spacing w:after="0" w:before="0"/>
            </w:pPr>
            <w:r/>
            <w:r>
              <w:rPr>
                <w:rFonts w:ascii="Arial" w:hAnsi="Arial"/>
                <w:b w:val="0"/>
                <w:i w:val="0"/>
                <w:color w:val="202833"/>
                <w:sz w:val="17"/>
              </w:rPr>
              <w:t>Kafka foundation</w:t>
            </w:r>
          </w:p>
        </w:tc>
        <w:tc>
          <w:tcPr>
            <w:tcW w:type="dxa" w:w="4752"/>
            <w:vAlign w:val="center"/>
          </w:tcPr>
          <w:p>
            <w:pPr>
              <w:spacing w:after="0" w:before="0"/>
            </w:pPr>
            <w:r/>
            <w:r>
              <w:rPr>
                <w:rFonts w:ascii="Arial" w:hAnsi="Arial"/>
                <w:b w:val="0"/>
                <w:i w:val="0"/>
                <w:color w:val="202833"/>
                <w:sz w:val="17"/>
              </w:rPr>
              <w:t>Three 20-partition topics; compacted state changelog</w:t>
            </w:r>
          </w:p>
        </w:tc>
        <w:tc>
          <w:tcPr>
            <w:tcW w:type="dxa" w:w="3528"/>
            <w:vAlign w:val="center"/>
          </w:tcPr>
          <w:p>
            <w:pPr>
              <w:spacing w:after="0" w:before="0"/>
            </w:pPr>
            <w:r/>
            <w:r>
              <w:rPr>
                <w:rFonts w:ascii="Arial" w:hAnsi="Arial"/>
                <w:b w:val="0"/>
                <w:i w:val="0"/>
                <w:color w:val="202833"/>
                <w:sz w:val="17"/>
              </w:rPr>
              <w:t>Live broker metadata and topic setup verified</w:t>
            </w:r>
          </w:p>
        </w:tc>
      </w:tr>
      <w:tr>
        <w:trPr>
          <w:cantSplit/>
        </w:trPr>
        <w:tc>
          <w:tcPr>
            <w:tcW w:type="dxa" w:w="1872"/>
            <w:vAlign w:val="center"/>
            <w:shd w:fill="F3F5F7"/>
          </w:tcPr>
          <w:p>
            <w:pPr>
              <w:spacing w:after="0" w:before="0"/>
            </w:pPr>
            <w:r/>
            <w:r>
              <w:rPr>
                <w:rFonts w:ascii="Arial" w:hAnsi="Arial"/>
                <w:b w:val="0"/>
                <w:i w:val="0"/>
                <w:color w:val="202833"/>
                <w:sz w:val="17"/>
              </w:rPr>
              <w:t>Telemetry producer</w:t>
            </w:r>
          </w:p>
        </w:tc>
        <w:tc>
          <w:tcPr>
            <w:tcW w:type="dxa" w:w="4752"/>
            <w:vAlign w:val="center"/>
            <w:shd w:fill="F3F5F7"/>
          </w:tcPr>
          <w:p>
            <w:pPr>
              <w:spacing w:after="0" w:before="0"/>
            </w:pPr>
            <w:r/>
            <w:r>
              <w:rPr>
                <w:rFonts w:ascii="Arial" w:hAnsi="Arial"/>
                <w:b w:val="0"/>
                <w:i w:val="0"/>
                <w:color w:val="202833"/>
                <w:sz w:val="17"/>
              </w:rPr>
              <w:t>Validated JSON events, unique IDs, idempotent Kafka delivery</w:t>
            </w:r>
          </w:p>
        </w:tc>
        <w:tc>
          <w:tcPr>
            <w:tcW w:type="dxa" w:w="3528"/>
            <w:vAlign w:val="center"/>
            <w:shd w:fill="F3F5F7"/>
          </w:tcPr>
          <w:p>
            <w:pPr>
              <w:spacing w:after="0" w:before="0"/>
            </w:pPr>
            <w:r/>
            <w:r>
              <w:rPr>
                <w:rFonts w:ascii="Arial" w:hAnsi="Arial"/>
                <w:b w:val="0"/>
                <w:i w:val="0"/>
                <w:color w:val="202833"/>
                <w:sz w:val="17"/>
              </w:rPr>
              <w:t>100/100 sample records delivered</w:t>
            </w:r>
          </w:p>
        </w:tc>
      </w:tr>
      <w:tr>
        <w:trPr>
          <w:cantSplit/>
        </w:trPr>
        <w:tc>
          <w:tcPr>
            <w:tcW w:type="dxa" w:w="1872"/>
            <w:vAlign w:val="center"/>
          </w:tcPr>
          <w:p>
            <w:pPr>
              <w:spacing w:after="0" w:before="0"/>
            </w:pPr>
            <w:r/>
            <w:r>
              <w:rPr>
                <w:rFonts w:ascii="Arial" w:hAnsi="Arial"/>
                <w:b w:val="0"/>
                <w:i w:val="0"/>
                <w:color w:val="202833"/>
                <w:sz w:val="17"/>
              </w:rPr>
              <w:t>Stream processor</w:t>
            </w:r>
          </w:p>
        </w:tc>
        <w:tc>
          <w:tcPr>
            <w:tcW w:type="dxa" w:w="4752"/>
            <w:vAlign w:val="center"/>
          </w:tcPr>
          <w:p>
            <w:pPr>
              <w:spacing w:after="0" w:before="0"/>
            </w:pPr>
            <w:r/>
            <w:r>
              <w:rPr>
                <w:rFonts w:ascii="Arial" w:hAnsi="Arial"/>
                <w:b w:val="0"/>
                <w:i w:val="0"/>
                <w:color w:val="202833"/>
                <w:sz w:val="17"/>
              </w:rPr>
              <w:t>Filter, window aggregate, transactional output and offsets</w:t>
            </w:r>
          </w:p>
        </w:tc>
        <w:tc>
          <w:tcPr>
            <w:tcW w:type="dxa" w:w="3528"/>
            <w:vAlign w:val="center"/>
          </w:tcPr>
          <w:p>
            <w:pPr>
              <w:spacing w:after="0" w:before="0"/>
            </w:pPr>
            <w:r/>
            <w:r>
              <w:rPr>
                <w:rFonts w:ascii="Arial" w:hAnsi="Arial"/>
                <w:b w:val="0"/>
                <w:i w:val="0"/>
                <w:color w:val="202833"/>
                <w:sz w:val="17"/>
              </w:rPr>
              <w:t>85 aggregate outputs; 15 filtered</w:t>
            </w:r>
          </w:p>
        </w:tc>
      </w:tr>
      <w:tr>
        <w:trPr>
          <w:cantSplit/>
        </w:trPr>
        <w:tc>
          <w:tcPr>
            <w:tcW w:type="dxa" w:w="1872"/>
            <w:vAlign w:val="center"/>
            <w:shd w:fill="F3F5F7"/>
          </w:tcPr>
          <w:p>
            <w:pPr>
              <w:spacing w:after="0" w:before="0"/>
            </w:pPr>
            <w:r/>
            <w:r>
              <w:rPr>
                <w:rFonts w:ascii="Arial" w:hAnsi="Arial"/>
                <w:b w:val="0"/>
                <w:i w:val="0"/>
                <w:color w:val="202833"/>
                <w:sz w:val="17"/>
              </w:rPr>
              <w:t>State recovery</w:t>
            </w:r>
          </w:p>
        </w:tc>
        <w:tc>
          <w:tcPr>
            <w:tcW w:type="dxa" w:w="4752"/>
            <w:vAlign w:val="center"/>
            <w:shd w:fill="F3F5F7"/>
          </w:tcPr>
          <w:p>
            <w:pPr>
              <w:spacing w:after="0" w:before="0"/>
            </w:pPr>
            <w:r/>
            <w:r>
              <w:rPr>
                <w:rFonts w:ascii="Arial" w:hAnsi="Arial"/>
                <w:b w:val="0"/>
                <w:i w:val="0"/>
                <w:color w:val="202833"/>
                <w:sz w:val="17"/>
              </w:rPr>
              <w:t>RocksDB store rebuilt from Kafka changelog</w:t>
            </w:r>
          </w:p>
        </w:tc>
        <w:tc>
          <w:tcPr>
            <w:tcW w:type="dxa" w:w="3528"/>
            <w:vAlign w:val="center"/>
            <w:shd w:fill="F3F5F7"/>
          </w:tcPr>
          <w:p>
            <w:pPr>
              <w:spacing w:after="0" w:before="0"/>
            </w:pPr>
            <w:r/>
            <w:r>
              <w:rPr>
                <w:rFonts w:ascii="Arial" w:hAnsi="Arial"/>
                <w:b w:val="0"/>
                <w:i w:val="0"/>
                <w:color w:val="202833"/>
                <w:sz w:val="17"/>
              </w:rPr>
              <w:t>94 changelog snapshots replayed on restart</w:t>
            </w:r>
          </w:p>
        </w:tc>
      </w:tr>
      <w:tr>
        <w:trPr>
          <w:cantSplit/>
        </w:trPr>
        <w:tc>
          <w:tcPr>
            <w:tcW w:type="dxa" w:w="1872"/>
            <w:vAlign w:val="center"/>
          </w:tcPr>
          <w:p>
            <w:pPr>
              <w:spacing w:after="0" w:before="0"/>
            </w:pPr>
            <w:r/>
            <w:r>
              <w:rPr>
                <w:rFonts w:ascii="Arial" w:hAnsi="Arial"/>
                <w:b w:val="0"/>
                <w:i w:val="0"/>
                <w:color w:val="202833"/>
                <w:sz w:val="17"/>
              </w:rPr>
              <w:t>Monitoring</w:t>
            </w:r>
          </w:p>
        </w:tc>
        <w:tc>
          <w:tcPr>
            <w:tcW w:type="dxa" w:w="4752"/>
            <w:vAlign w:val="center"/>
          </w:tcPr>
          <w:p>
            <w:pPr>
              <w:spacing w:after="0" w:before="0"/>
            </w:pPr>
            <w:r/>
            <w:r>
              <w:rPr>
                <w:rFonts w:ascii="Arial" w:hAnsi="Arial"/>
                <w:b w:val="0"/>
                <w:i w:val="0"/>
                <w:color w:val="202833"/>
                <w:sz w:val="17"/>
              </w:rPr>
              <w:t>FastAPI cluster data and Prometheus exposition proxy</w:t>
            </w:r>
          </w:p>
        </w:tc>
        <w:tc>
          <w:tcPr>
            <w:tcW w:type="dxa" w:w="3528"/>
            <w:vAlign w:val="center"/>
          </w:tcPr>
          <w:p>
            <w:pPr>
              <w:spacing w:after="0" w:before="0"/>
            </w:pPr>
            <w:r/>
            <w:r>
              <w:rPr>
                <w:rFonts w:ascii="Arial" w:hAnsi="Arial"/>
                <w:b w:val="0"/>
                <w:i w:val="0"/>
                <w:color w:val="202833"/>
                <w:sz w:val="17"/>
              </w:rPr>
              <w:t>20/20 active partitions; zero consumer lag</w:t>
            </w:r>
          </w:p>
        </w:tc>
      </w:tr>
      <w:tr>
        <w:trPr>
          <w:cantSplit/>
        </w:trPr>
        <w:tc>
          <w:tcPr>
            <w:tcW w:type="dxa" w:w="1872"/>
            <w:vAlign w:val="center"/>
            <w:shd w:fill="F3F5F7"/>
          </w:tcPr>
          <w:p>
            <w:pPr>
              <w:spacing w:after="0" w:before="0"/>
            </w:pPr>
            <w:r/>
            <w:r>
              <w:rPr>
                <w:rFonts w:ascii="Arial" w:hAnsi="Arial"/>
                <w:b w:val="0"/>
                <w:i w:val="0"/>
                <w:color w:val="202833"/>
                <w:sz w:val="17"/>
              </w:rPr>
              <w:t>Dashboard</w:t>
            </w:r>
          </w:p>
        </w:tc>
        <w:tc>
          <w:tcPr>
            <w:tcW w:type="dxa" w:w="4752"/>
            <w:vAlign w:val="center"/>
            <w:shd w:fill="F3F5F7"/>
          </w:tcPr>
          <w:p>
            <w:pPr>
              <w:spacing w:after="0" w:before="0"/>
            </w:pPr>
            <w:r/>
            <w:r>
              <w:rPr>
                <w:rFonts w:ascii="Arial" w:hAnsi="Arial"/>
                <w:b w:val="0"/>
                <w:i w:val="0"/>
                <w:color w:val="202833"/>
                <w:sz w:val="17"/>
              </w:rPr>
              <w:t>Live API data on overview, topology, workers, partitions and metrics</w:t>
            </w:r>
          </w:p>
        </w:tc>
        <w:tc>
          <w:tcPr>
            <w:tcW w:type="dxa" w:w="3528"/>
            <w:vAlign w:val="center"/>
            <w:shd w:fill="F3F5F7"/>
          </w:tcPr>
          <w:p>
            <w:pPr>
              <w:spacing w:after="0" w:before="0"/>
            </w:pPr>
            <w:r/>
            <w:r>
              <w:rPr>
                <w:rFonts w:ascii="Arial" w:hAnsi="Arial"/>
                <w:b w:val="0"/>
                <w:i w:val="0"/>
                <w:color w:val="202833"/>
                <w:sz w:val="17"/>
              </w:rPr>
              <w:t>React production build compiled successfully</w:t>
            </w:r>
          </w:p>
        </w:tc>
      </w:tr>
      <w:tr>
        <w:trPr>
          <w:cantSplit/>
        </w:trPr>
        <w:tc>
          <w:tcPr>
            <w:tcW w:type="dxa" w:w="1872"/>
            <w:vAlign w:val="center"/>
          </w:tcPr>
          <w:p>
            <w:pPr>
              <w:spacing w:after="0" w:before="0"/>
            </w:pPr>
            <w:r/>
            <w:r>
              <w:rPr>
                <w:rFonts w:ascii="Arial" w:hAnsi="Arial"/>
                <w:b w:val="0"/>
                <w:i w:val="0"/>
                <w:color w:val="202833"/>
                <w:sz w:val="17"/>
              </w:rPr>
              <w:t>Automated checks</w:t>
            </w:r>
          </w:p>
        </w:tc>
        <w:tc>
          <w:tcPr>
            <w:tcW w:type="dxa" w:w="4752"/>
            <w:vAlign w:val="center"/>
          </w:tcPr>
          <w:p>
            <w:pPr>
              <w:spacing w:after="0" w:before="0"/>
            </w:pPr>
            <w:r/>
            <w:r>
              <w:rPr>
                <w:rFonts w:ascii="Arial" w:hAnsi="Arial"/>
                <w:b w:val="0"/>
                <w:i w:val="0"/>
                <w:color w:val="202833"/>
                <w:sz w:val="17"/>
              </w:rPr>
              <w:t>Producer, decoding, window and state tests</w:t>
            </w:r>
          </w:p>
        </w:tc>
        <w:tc>
          <w:tcPr>
            <w:tcW w:type="dxa" w:w="3528"/>
            <w:vAlign w:val="center"/>
          </w:tcPr>
          <w:p>
            <w:pPr>
              <w:spacing w:after="0" w:before="0"/>
            </w:pPr>
            <w:r/>
            <w:r>
              <w:rPr>
                <w:rFonts w:ascii="Arial" w:hAnsi="Arial"/>
                <w:b w:val="0"/>
                <w:i w:val="0"/>
                <w:color w:val="202833"/>
                <w:sz w:val="17"/>
              </w:rPr>
              <w:t>9 tests passed</w:t>
            </w:r>
          </w:p>
        </w:tc>
      </w:tr>
    </w:tbl>
    <w:p>
      <w:pPr>
        <w:spacing w:after="20"/>
      </w:pPr>
    </w:p>
    <w:p>
      <w:r>
        <w:br w:type="page"/>
      </w:r>
    </w:p>
    <w:p>
      <w:pPr>
        <w:pStyle w:val="Heading1"/>
        <w:keepNext/>
        <w:spacing w:before="180" w:after="80"/>
      </w:pPr>
      <w:r>
        <w:rPr>
          <w:rFonts w:ascii="Arial" w:hAnsi="Arial"/>
          <w:b/>
          <w:i w:val="0"/>
          <w:color w:val="17365D"/>
          <w:sz w:val="30"/>
        </w:rPr>
        <w:t>1  System design</w:t>
      </w:r>
    </w:p>
    <w:p>
      <w:pPr>
        <w:spacing w:after="100" w:line="259" w:lineRule="auto"/>
      </w:pPr>
      <w:r>
        <w:rPr>
          <w:rFonts w:ascii="Arial" w:hAnsi="Arial"/>
          <w:b w:val="0"/>
          <w:i w:val="0"/>
          <w:color w:val="202833"/>
          <w:sz w:val="19"/>
        </w:rPr>
        <w:t>The repository provides a three-topic Kafka pipeline, a transactional Python consumer/producer, local RocksDB state, a FastAPI monitoring layer, and a React Flow UI. The processing code uses the Confluent Kafka Python client directly. Faust and Bytewax were listed in the original plan but are not dependencies of the delivered processor.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440"/>
            <w:vAlign w:val="center"/>
            <w:shd w:fill="17365D"/>
          </w:tcPr>
          <w:p>
            <w:pPr>
              <w:spacing w:after="0" w:before="0"/>
            </w:pPr>
            <w:r/>
            <w:r>
              <w:rPr>
                <w:rFonts w:ascii="Arial" w:hAnsi="Arial"/>
                <w:b/>
                <w:i w:val="0"/>
                <w:color w:val="FFFFFF"/>
                <w:sz w:val="18"/>
              </w:rPr>
              <w:t>Pipeline stage</w:t>
            </w:r>
          </w:p>
        </w:tc>
        <w:tc>
          <w:tcPr>
            <w:tcW w:type="dxa" w:w="3528"/>
            <w:vAlign w:val="center"/>
            <w:shd w:fill="17365D"/>
          </w:tcPr>
          <w:p>
            <w:pPr>
              <w:spacing w:after="0" w:before="0"/>
            </w:pPr>
            <w:r/>
            <w:r>
              <w:rPr>
                <w:rFonts w:ascii="Arial" w:hAnsi="Arial"/>
                <w:b/>
                <w:i w:val="0"/>
                <w:color w:val="FFFFFF"/>
                <w:sz w:val="18"/>
              </w:rPr>
              <w:t>Topic / service</w:t>
            </w:r>
          </w:p>
        </w:tc>
        <w:tc>
          <w:tcPr>
            <w:tcW w:type="dxa" w:w="5184"/>
            <w:vAlign w:val="center"/>
            <w:shd w:fill="17365D"/>
          </w:tcPr>
          <w:p>
            <w:pPr>
              <w:spacing w:after="0" w:before="0"/>
            </w:pPr>
            <w:r/>
            <w:r>
              <w:rPr>
                <w:rFonts w:ascii="Arial" w:hAnsi="Arial"/>
                <w:b/>
                <w:i w:val="0"/>
                <w:color w:val="FFFFFF"/>
                <w:sz w:val="18"/>
              </w:rPr>
              <w:t>Responsibility</w:t>
            </w:r>
          </w:p>
        </w:tc>
      </w:tr>
      <w:tr>
        <w:trPr>
          <w:cantSplit/>
        </w:trPr>
        <w:tc>
          <w:tcPr>
            <w:tcW w:type="dxa" w:w="1440"/>
            <w:vAlign w:val="center"/>
          </w:tcPr>
          <w:p>
            <w:pPr>
              <w:spacing w:after="0" w:before="0"/>
            </w:pPr>
            <w:r/>
            <w:r>
              <w:rPr>
                <w:rFonts w:ascii="Arial" w:hAnsi="Arial"/>
                <w:b w:val="0"/>
                <w:i w:val="0"/>
                <w:color w:val="202833"/>
                <w:sz w:val="17"/>
              </w:rPr>
              <w:t>Input</w:t>
            </w:r>
          </w:p>
        </w:tc>
        <w:tc>
          <w:tcPr>
            <w:tcW w:type="dxa" w:w="3528"/>
            <w:vAlign w:val="center"/>
          </w:tcPr>
          <w:p>
            <w:pPr>
              <w:spacing w:after="0" w:before="0"/>
            </w:pPr>
            <w:r/>
            <w:r>
              <w:rPr>
                <w:rFonts w:ascii="Arial" w:hAnsi="Arial"/>
                <w:b w:val="0"/>
                <w:i w:val="0"/>
                <w:color w:val="202833"/>
                <w:sz w:val="17"/>
              </w:rPr>
              <w:t>truck-telemetry</w:t>
            </w:r>
          </w:p>
        </w:tc>
        <w:tc>
          <w:tcPr>
            <w:tcW w:type="dxa" w:w="5184"/>
            <w:vAlign w:val="center"/>
          </w:tcPr>
          <w:p>
            <w:pPr>
              <w:spacing w:after="0" w:before="0"/>
            </w:pPr>
            <w:r/>
            <w:r>
              <w:rPr>
                <w:rFonts w:ascii="Arial" w:hAnsi="Arial"/>
                <w:b w:val="0"/>
                <w:i w:val="0"/>
                <w:color w:val="202833"/>
                <w:sz w:val="17"/>
              </w:rPr>
              <w:t>Accept keyed telemetry records; truck_id keeps a truck’s records on one partition.</w:t>
            </w:r>
          </w:p>
        </w:tc>
      </w:tr>
      <w:tr>
        <w:trPr>
          <w:cantSplit/>
        </w:trPr>
        <w:tc>
          <w:tcPr>
            <w:tcW w:type="dxa" w:w="1440"/>
            <w:vAlign w:val="center"/>
            <w:shd w:fill="F3F5F7"/>
          </w:tcPr>
          <w:p>
            <w:pPr>
              <w:spacing w:after="0" w:before="0"/>
            </w:pPr>
            <w:r/>
            <w:r>
              <w:rPr>
                <w:rFonts w:ascii="Arial" w:hAnsi="Arial"/>
                <w:b w:val="0"/>
                <w:i w:val="0"/>
                <w:color w:val="202833"/>
                <w:sz w:val="17"/>
              </w:rPr>
              <w:t>Process</w:t>
            </w:r>
          </w:p>
        </w:tc>
        <w:tc>
          <w:tcPr>
            <w:tcW w:type="dxa" w:w="3528"/>
            <w:vAlign w:val="center"/>
            <w:shd w:fill="F3F5F7"/>
          </w:tcPr>
          <w:p>
            <w:pPr>
              <w:spacing w:after="0" w:before="0"/>
            </w:pPr>
            <w:r/>
            <w:r>
              <w:rPr>
                <w:rFonts w:ascii="Arial" w:hAnsi="Arial"/>
                <w:b w:val="0"/>
                <w:i w:val="0"/>
                <w:color w:val="202833"/>
                <w:sz w:val="17"/>
              </w:rPr>
              <w:t>faust.processor</w:t>
            </w:r>
          </w:p>
        </w:tc>
        <w:tc>
          <w:tcPr>
            <w:tcW w:type="dxa" w:w="5184"/>
            <w:vAlign w:val="center"/>
            <w:shd w:fill="F3F5F7"/>
          </w:tcPr>
          <w:p>
            <w:pPr>
              <w:spacing w:after="0" w:before="0"/>
            </w:pPr>
            <w:r/>
            <w:r>
              <w:rPr>
                <w:rFonts w:ascii="Arial" w:hAnsi="Arial"/>
                <w:b w:val="0"/>
                <w:i w:val="0"/>
                <w:color w:val="202833"/>
                <w:sz w:val="17"/>
              </w:rPr>
              <w:t>Validate event, apply temperature filter, update five-minute window state.</w:t>
            </w:r>
          </w:p>
        </w:tc>
      </w:tr>
      <w:tr>
        <w:trPr>
          <w:cantSplit/>
        </w:trPr>
        <w:tc>
          <w:tcPr>
            <w:tcW w:type="dxa" w:w="1440"/>
            <w:vAlign w:val="center"/>
          </w:tcPr>
          <w:p>
            <w:pPr>
              <w:spacing w:after="0" w:before="0"/>
            </w:pPr>
            <w:r/>
            <w:r>
              <w:rPr>
                <w:rFonts w:ascii="Arial" w:hAnsi="Arial"/>
                <w:b w:val="0"/>
                <w:i w:val="0"/>
                <w:color w:val="202833"/>
                <w:sz w:val="17"/>
              </w:rPr>
              <w:t>Output</w:t>
            </w:r>
          </w:p>
        </w:tc>
        <w:tc>
          <w:tcPr>
            <w:tcW w:type="dxa" w:w="3528"/>
            <w:vAlign w:val="center"/>
          </w:tcPr>
          <w:p>
            <w:pPr>
              <w:spacing w:after="0" w:before="0"/>
            </w:pPr>
            <w:r/>
            <w:r>
              <w:rPr>
                <w:rFonts w:ascii="Arial" w:hAnsi="Arial"/>
                <w:b w:val="0"/>
                <w:i w:val="0"/>
                <w:color w:val="202833"/>
                <w:sz w:val="17"/>
              </w:rPr>
              <w:t>truck-temperature-averages</w:t>
            </w:r>
          </w:p>
        </w:tc>
        <w:tc>
          <w:tcPr>
            <w:tcW w:type="dxa" w:w="5184"/>
            <w:vAlign w:val="center"/>
          </w:tcPr>
          <w:p>
            <w:pPr>
              <w:spacing w:after="0" w:before="0"/>
            </w:pPr>
            <w:r/>
            <w:r>
              <w:rPr>
                <w:rFonts w:ascii="Arial" w:hAnsi="Arial"/>
                <w:b w:val="0"/>
                <w:i w:val="0"/>
                <w:color w:val="202833"/>
                <w:sz w:val="17"/>
              </w:rPr>
              <w:t>Publish the current average and count for each accepted event.</w:t>
            </w:r>
          </w:p>
        </w:tc>
      </w:tr>
      <w:tr>
        <w:trPr>
          <w:cantSplit/>
        </w:trPr>
        <w:tc>
          <w:tcPr>
            <w:tcW w:type="dxa" w:w="1440"/>
            <w:vAlign w:val="center"/>
            <w:shd w:fill="F3F5F7"/>
          </w:tcPr>
          <w:p>
            <w:pPr>
              <w:spacing w:after="0" w:before="0"/>
            </w:pPr>
            <w:r/>
            <w:r>
              <w:rPr>
                <w:rFonts w:ascii="Arial" w:hAnsi="Arial"/>
                <w:b w:val="0"/>
                <w:i w:val="0"/>
                <w:color w:val="202833"/>
                <w:sz w:val="17"/>
              </w:rPr>
              <w:t>Recovery</w:t>
            </w:r>
          </w:p>
        </w:tc>
        <w:tc>
          <w:tcPr>
            <w:tcW w:type="dxa" w:w="3528"/>
            <w:vAlign w:val="center"/>
            <w:shd w:fill="F3F5F7"/>
          </w:tcPr>
          <w:p>
            <w:pPr>
              <w:spacing w:after="0" w:before="0"/>
            </w:pPr>
            <w:r/>
            <w:r>
              <w:rPr>
                <w:rFonts w:ascii="Arial" w:hAnsi="Arial"/>
                <w:b w:val="0"/>
                <w:i w:val="0"/>
                <w:color w:val="202833"/>
                <w:sz w:val="17"/>
              </w:rPr>
              <w:t>truck-temperature-averages-changelog</w:t>
            </w:r>
          </w:p>
        </w:tc>
        <w:tc>
          <w:tcPr>
            <w:tcW w:type="dxa" w:w="5184"/>
            <w:vAlign w:val="center"/>
            <w:shd w:fill="F3F5F7"/>
          </w:tcPr>
          <w:p>
            <w:pPr>
              <w:spacing w:after="0" w:before="0"/>
            </w:pPr>
            <w:r/>
            <w:r>
              <w:rPr>
                <w:rFonts w:ascii="Arial" w:hAnsi="Arial"/>
                <w:b w:val="0"/>
                <w:i w:val="0"/>
                <w:color w:val="202833"/>
                <w:sz w:val="17"/>
              </w:rPr>
              <w:t>Store the latest state snapshot per truck/window key; topic cleanup policy is compact.</w:t>
            </w:r>
          </w:p>
        </w:tc>
      </w:tr>
      <w:tr>
        <w:trPr>
          <w:cantSplit/>
        </w:trPr>
        <w:tc>
          <w:tcPr>
            <w:tcW w:type="dxa" w:w="1440"/>
            <w:vAlign w:val="center"/>
          </w:tcPr>
          <w:p>
            <w:pPr>
              <w:spacing w:after="0" w:before="0"/>
            </w:pPr>
            <w:r/>
            <w:r>
              <w:rPr>
                <w:rFonts w:ascii="Arial" w:hAnsi="Arial"/>
                <w:b w:val="0"/>
                <w:i w:val="0"/>
                <w:color w:val="202833"/>
                <w:sz w:val="17"/>
              </w:rPr>
              <w:t>State</w:t>
            </w:r>
          </w:p>
        </w:tc>
        <w:tc>
          <w:tcPr>
            <w:tcW w:type="dxa" w:w="3528"/>
            <w:vAlign w:val="center"/>
          </w:tcPr>
          <w:p>
            <w:pPr>
              <w:spacing w:after="0" w:before="0"/>
            </w:pPr>
            <w:r/>
            <w:r>
              <w:rPr>
                <w:rFonts w:ascii="Arial" w:hAnsi="Arial"/>
                <w:b w:val="0"/>
                <w:i w:val="0"/>
                <w:color w:val="202833"/>
                <w:sz w:val="17"/>
              </w:rPr>
              <w:t>RocksDB</w:t>
            </w:r>
          </w:p>
        </w:tc>
        <w:tc>
          <w:tcPr>
            <w:tcW w:type="dxa" w:w="5184"/>
            <w:vAlign w:val="center"/>
          </w:tcPr>
          <w:p>
            <w:pPr>
              <w:spacing w:after="0" w:before="0"/>
            </w:pPr>
            <w:r/>
            <w:r>
              <w:rPr>
                <w:rFonts w:ascii="Arial" w:hAnsi="Arial"/>
                <w:b w:val="0"/>
                <w:i w:val="0"/>
                <w:color w:val="202833"/>
                <w:sz w:val="17"/>
              </w:rPr>
              <w:t>Persist per-window sum, count, average, and event timestamp locally.</w:t>
            </w:r>
          </w:p>
        </w:tc>
      </w:tr>
      <w:tr>
        <w:trPr>
          <w:cantSplit/>
        </w:trPr>
        <w:tc>
          <w:tcPr>
            <w:tcW w:type="dxa" w:w="1440"/>
            <w:vAlign w:val="center"/>
            <w:shd w:fill="F3F5F7"/>
          </w:tcPr>
          <w:p>
            <w:pPr>
              <w:spacing w:after="0" w:before="0"/>
            </w:pPr>
            <w:r/>
            <w:r>
              <w:rPr>
                <w:rFonts w:ascii="Arial" w:hAnsi="Arial"/>
                <w:b w:val="0"/>
                <w:i w:val="0"/>
                <w:color w:val="202833"/>
                <w:sz w:val="17"/>
              </w:rPr>
              <w:t>Monitoring</w:t>
            </w:r>
          </w:p>
        </w:tc>
        <w:tc>
          <w:tcPr>
            <w:tcW w:type="dxa" w:w="3528"/>
            <w:vAlign w:val="center"/>
            <w:shd w:fill="F3F5F7"/>
          </w:tcPr>
          <w:p>
            <w:pPr>
              <w:spacing w:after="0" w:before="0"/>
            </w:pPr>
            <w:r/>
            <w:r>
              <w:rPr>
                <w:rFonts w:ascii="Arial" w:hAnsi="Arial"/>
                <w:b w:val="0"/>
                <w:i w:val="0"/>
                <w:color w:val="202833"/>
                <w:sz w:val="17"/>
              </w:rPr>
              <w:t>FastAPI + Prometheus client</w:t>
            </w:r>
          </w:p>
        </w:tc>
        <w:tc>
          <w:tcPr>
            <w:tcW w:type="dxa" w:w="5184"/>
            <w:vAlign w:val="center"/>
            <w:shd w:fill="F3F5F7"/>
          </w:tcPr>
          <w:p>
            <w:pPr>
              <w:spacing w:after="0" w:before="0"/>
            </w:pPr>
            <w:r/>
            <w:r>
              <w:rPr>
                <w:rFonts w:ascii="Arial" w:hAnsi="Arial"/>
                <w:b w:val="0"/>
                <w:i w:val="0"/>
                <w:color w:val="202833"/>
                <w:sz w:val="17"/>
              </w:rPr>
              <w:t>Expose broker, consumer-group, lag, throughput, and processing-duration measurements.</w:t>
            </w:r>
          </w:p>
        </w:tc>
      </w:tr>
      <w:tr>
        <w:trPr>
          <w:cantSplit/>
        </w:trPr>
        <w:tc>
          <w:tcPr>
            <w:tcW w:type="dxa" w:w="1440"/>
            <w:vAlign w:val="center"/>
          </w:tcPr>
          <w:p>
            <w:pPr>
              <w:spacing w:after="0" w:before="0"/>
            </w:pPr>
            <w:r/>
            <w:r>
              <w:rPr>
                <w:rFonts w:ascii="Arial" w:hAnsi="Arial"/>
                <w:b w:val="0"/>
                <w:i w:val="0"/>
                <w:color w:val="202833"/>
                <w:sz w:val="17"/>
              </w:rPr>
              <w:t>Presentation</w:t>
            </w:r>
          </w:p>
        </w:tc>
        <w:tc>
          <w:tcPr>
            <w:tcW w:type="dxa" w:w="3528"/>
            <w:vAlign w:val="center"/>
          </w:tcPr>
          <w:p>
            <w:pPr>
              <w:spacing w:after="0" w:before="0"/>
            </w:pPr>
            <w:r/>
            <w:r>
              <w:rPr>
                <w:rFonts w:ascii="Arial" w:hAnsi="Arial"/>
                <w:b w:val="0"/>
                <w:i w:val="0"/>
                <w:color w:val="202833"/>
                <w:sz w:val="17"/>
              </w:rPr>
              <w:t>React + React Flow</w:t>
            </w:r>
          </w:p>
        </w:tc>
        <w:tc>
          <w:tcPr>
            <w:tcW w:type="dxa" w:w="5184"/>
            <w:vAlign w:val="center"/>
          </w:tcPr>
          <w:p>
            <w:pPr>
              <w:spacing w:after="0" w:before="0"/>
            </w:pPr>
            <w:r/>
            <w:r>
              <w:rPr>
                <w:rFonts w:ascii="Arial" w:hAnsi="Arial"/>
                <w:b w:val="0"/>
                <w:i w:val="0"/>
                <w:color w:val="202833"/>
                <w:sz w:val="17"/>
              </w:rPr>
              <w:t>Poll the API every five seconds and display current cluster state.</w:t>
            </w:r>
          </w:p>
        </w:tc>
      </w:tr>
    </w:tbl>
    <w:p>
      <w:pPr>
        <w:spacing w:after="20"/>
      </w:pPr>
    </w:p>
    <w:p>
      <w:pPr>
        <w:pStyle w:val="Heading2"/>
        <w:keepNext/>
        <w:spacing w:before="120" w:after="80"/>
      </w:pPr>
      <w:r>
        <w:rPr>
          <w:rFonts w:ascii="Arial" w:hAnsi="Arial"/>
          <w:b/>
          <w:i w:val="0"/>
          <w:color w:val="2E75B6"/>
          <w:sz w:val="23"/>
        </w:rPr>
        <w:t>Telemetry contract</w:t>
      </w:r>
    </w:p>
    <w:p>
      <w:pPr>
        <w:spacing w:after="100" w:line="259" w:lineRule="auto"/>
      </w:pPr>
      <w:r>
        <w:rPr>
          <w:rFonts w:ascii="Arial" w:hAnsi="Arial"/>
          <w:b w:val="0"/>
          <w:i w:val="0"/>
          <w:color w:val="202833"/>
          <w:sz w:val="19"/>
        </w:rPr>
        <w:t>Each input event has event_id, truck_id, temperature, and an ISO-8601 timestamp with a timezone. The producer generates sample records across 50,000 truck IDs and temperatures from −10°C to 50°C. The processor rejects malformed records, skips temperatures at or below 0°C, and groups accepted values by truck and UTC window start.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vAlign w:val="center"/>
            <w:shd w:fill="17365D"/>
          </w:tcPr>
          <w:p>
            <w:pPr>
              <w:spacing w:after="0" w:before="0"/>
            </w:pPr>
            <w:r/>
            <w:r>
              <w:rPr>
                <w:rFonts w:ascii="Arial" w:hAnsi="Arial"/>
                <w:b/>
                <w:i w:val="0"/>
                <w:color w:val="FFFFFF"/>
                <w:sz w:val="18"/>
              </w:rPr>
              <w:t>Output field</w:t>
            </w:r>
          </w:p>
        </w:tc>
        <w:tc>
          <w:tcPr>
            <w:tcW w:type="dxa" w:w="7128"/>
            <w:vAlign w:val="center"/>
            <w:shd w:fill="17365D"/>
          </w:tcPr>
          <w:p>
            <w:pPr>
              <w:spacing w:after="0" w:before="0"/>
            </w:pPr>
            <w:r/>
            <w:r>
              <w:rPr>
                <w:rFonts w:ascii="Arial" w:hAnsi="Arial"/>
                <w:b/>
                <w:i w:val="0"/>
                <w:color w:val="FFFFFF"/>
                <w:sz w:val="18"/>
              </w:rPr>
              <w:t>Meaning</w:t>
            </w:r>
          </w:p>
        </w:tc>
      </w:tr>
      <w:tr>
        <w:trPr>
          <w:cantSplit/>
        </w:trPr>
        <w:tc>
          <w:tcPr>
            <w:tcW w:type="dxa" w:w="3024"/>
            <w:vAlign w:val="center"/>
          </w:tcPr>
          <w:p>
            <w:pPr>
              <w:spacing w:after="0" w:before="0"/>
            </w:pPr>
            <w:r/>
            <w:r>
              <w:rPr>
                <w:rFonts w:ascii="Arial" w:hAnsi="Arial"/>
                <w:b w:val="0"/>
                <w:i w:val="0"/>
                <w:color w:val="202833"/>
                <w:sz w:val="17"/>
              </w:rPr>
              <w:t>event_id</w:t>
            </w:r>
          </w:p>
        </w:tc>
        <w:tc>
          <w:tcPr>
            <w:tcW w:type="dxa" w:w="7128"/>
            <w:vAlign w:val="center"/>
          </w:tcPr>
          <w:p>
            <w:pPr>
              <w:spacing w:after="0" w:before="0"/>
            </w:pPr>
            <w:r/>
            <w:r>
              <w:rPr>
                <w:rFonts w:ascii="Arial" w:hAnsi="Arial"/>
                <w:b w:val="0"/>
                <w:i w:val="0"/>
                <w:color w:val="202833"/>
                <w:sz w:val="17"/>
              </w:rPr>
              <w:t>Source event identifier</w:t>
            </w:r>
          </w:p>
        </w:tc>
      </w:tr>
      <w:tr>
        <w:trPr>
          <w:cantSplit/>
        </w:trPr>
        <w:tc>
          <w:tcPr>
            <w:tcW w:type="dxa" w:w="3024"/>
            <w:vAlign w:val="center"/>
            <w:shd w:fill="F3F5F7"/>
          </w:tcPr>
          <w:p>
            <w:pPr>
              <w:spacing w:after="0" w:before="0"/>
            </w:pPr>
            <w:r/>
            <w:r>
              <w:rPr>
                <w:rFonts w:ascii="Arial" w:hAnsi="Arial"/>
                <w:b w:val="0"/>
                <w:i w:val="0"/>
                <w:color w:val="202833"/>
                <w:sz w:val="17"/>
              </w:rPr>
              <w:t>truck_id</w:t>
            </w:r>
          </w:p>
        </w:tc>
        <w:tc>
          <w:tcPr>
            <w:tcW w:type="dxa" w:w="7128"/>
            <w:vAlign w:val="center"/>
            <w:shd w:fill="F3F5F7"/>
          </w:tcPr>
          <w:p>
            <w:pPr>
              <w:spacing w:after="0" w:before="0"/>
            </w:pPr>
            <w:r/>
            <w:r>
              <w:rPr>
                <w:rFonts w:ascii="Arial" w:hAnsi="Arial"/>
                <w:b w:val="0"/>
                <w:i w:val="0"/>
                <w:color w:val="202833"/>
                <w:sz w:val="17"/>
              </w:rPr>
              <w:t>Truck key used to partition related events</w:t>
            </w:r>
          </w:p>
        </w:tc>
      </w:tr>
      <w:tr>
        <w:trPr>
          <w:cantSplit/>
        </w:trPr>
        <w:tc>
          <w:tcPr>
            <w:tcW w:type="dxa" w:w="3024"/>
            <w:vAlign w:val="center"/>
          </w:tcPr>
          <w:p>
            <w:pPr>
              <w:spacing w:after="0" w:before="0"/>
            </w:pPr>
            <w:r/>
            <w:r>
              <w:rPr>
                <w:rFonts w:ascii="Arial" w:hAnsi="Arial"/>
                <w:b w:val="0"/>
                <w:i w:val="0"/>
                <w:color w:val="202833"/>
                <w:sz w:val="17"/>
              </w:rPr>
              <w:t>window_start / window_end</w:t>
            </w:r>
          </w:p>
        </w:tc>
        <w:tc>
          <w:tcPr>
            <w:tcW w:type="dxa" w:w="7128"/>
            <w:vAlign w:val="center"/>
          </w:tcPr>
          <w:p>
            <w:pPr>
              <w:spacing w:after="0" w:before="0"/>
            </w:pPr>
            <w:r/>
            <w:r>
              <w:rPr>
                <w:rFonts w:ascii="Arial" w:hAnsi="Arial"/>
                <w:b w:val="0"/>
                <w:i w:val="0"/>
                <w:color w:val="202833"/>
                <w:sz w:val="17"/>
              </w:rPr>
              <w:t>UTC boundaries of a five-minute tumbling window</w:t>
            </w:r>
          </w:p>
        </w:tc>
      </w:tr>
      <w:tr>
        <w:trPr>
          <w:cantSplit/>
        </w:trPr>
        <w:tc>
          <w:tcPr>
            <w:tcW w:type="dxa" w:w="3024"/>
            <w:vAlign w:val="center"/>
            <w:shd w:fill="F3F5F7"/>
          </w:tcPr>
          <w:p>
            <w:pPr>
              <w:spacing w:after="0" w:before="0"/>
            </w:pPr>
            <w:r/>
            <w:r>
              <w:rPr>
                <w:rFonts w:ascii="Arial" w:hAnsi="Arial"/>
                <w:b w:val="0"/>
                <w:i w:val="0"/>
                <w:color w:val="202833"/>
                <w:sz w:val="17"/>
              </w:rPr>
              <w:t>average_temperature</w:t>
            </w:r>
          </w:p>
        </w:tc>
        <w:tc>
          <w:tcPr>
            <w:tcW w:type="dxa" w:w="7128"/>
            <w:vAlign w:val="center"/>
            <w:shd w:fill="F3F5F7"/>
          </w:tcPr>
          <w:p>
            <w:pPr>
              <w:spacing w:after="0" w:before="0"/>
            </w:pPr>
            <w:r/>
            <w:r>
              <w:rPr>
                <w:rFonts w:ascii="Arial" w:hAnsi="Arial"/>
                <w:b w:val="0"/>
                <w:i w:val="0"/>
                <w:color w:val="202833"/>
                <w:sz w:val="17"/>
              </w:rPr>
              <w:t>Cumulative mean for accepted readings in this window</w:t>
            </w:r>
          </w:p>
        </w:tc>
      </w:tr>
      <w:tr>
        <w:trPr>
          <w:cantSplit/>
        </w:trPr>
        <w:tc>
          <w:tcPr>
            <w:tcW w:type="dxa" w:w="3024"/>
            <w:vAlign w:val="center"/>
          </w:tcPr>
          <w:p>
            <w:pPr>
              <w:spacing w:after="0" w:before="0"/>
            </w:pPr>
            <w:r/>
            <w:r>
              <w:rPr>
                <w:rFonts w:ascii="Arial" w:hAnsi="Arial"/>
                <w:b w:val="0"/>
                <w:i w:val="0"/>
                <w:color w:val="202833"/>
                <w:sz w:val="17"/>
              </w:rPr>
              <w:t>count</w:t>
            </w:r>
          </w:p>
        </w:tc>
        <w:tc>
          <w:tcPr>
            <w:tcW w:type="dxa" w:w="7128"/>
            <w:vAlign w:val="center"/>
          </w:tcPr>
          <w:p>
            <w:pPr>
              <w:spacing w:after="0" w:before="0"/>
            </w:pPr>
            <w:r/>
            <w:r>
              <w:rPr>
                <w:rFonts w:ascii="Arial" w:hAnsi="Arial"/>
                <w:b w:val="0"/>
                <w:i w:val="0"/>
                <w:color w:val="202833"/>
                <w:sz w:val="17"/>
              </w:rPr>
              <w:t>Number of accepted readings included in the mean</w:t>
            </w:r>
          </w:p>
        </w:tc>
      </w:tr>
      <w:tr>
        <w:trPr>
          <w:cantSplit/>
        </w:trPr>
        <w:tc>
          <w:tcPr>
            <w:tcW w:type="dxa" w:w="3024"/>
            <w:vAlign w:val="center"/>
            <w:shd w:fill="F3F5F7"/>
          </w:tcPr>
          <w:p>
            <w:pPr>
              <w:spacing w:after="0" w:before="0"/>
            </w:pPr>
            <w:r/>
            <w:r>
              <w:rPr>
                <w:rFonts w:ascii="Arial" w:hAnsi="Arial"/>
                <w:b w:val="0"/>
                <w:i w:val="0"/>
                <w:color w:val="202833"/>
                <w:sz w:val="17"/>
              </w:rPr>
              <w:t>last_event_timestamp</w:t>
            </w:r>
          </w:p>
        </w:tc>
        <w:tc>
          <w:tcPr>
            <w:tcW w:type="dxa" w:w="7128"/>
            <w:vAlign w:val="center"/>
            <w:shd w:fill="F3F5F7"/>
          </w:tcPr>
          <w:p>
            <w:pPr>
              <w:spacing w:after="0" w:before="0"/>
            </w:pPr>
            <w:r/>
            <w:r>
              <w:rPr>
                <w:rFonts w:ascii="Arial" w:hAnsi="Arial"/>
                <w:b w:val="0"/>
                <w:i w:val="0"/>
                <w:color w:val="202833"/>
                <w:sz w:val="17"/>
              </w:rPr>
              <w:t>Timestamp of the source reading that updated the snapshot</w:t>
            </w:r>
          </w:p>
        </w:tc>
      </w:tr>
    </w:tbl>
    <w:p>
      <w:pPr>
        <w:spacing w:after="20"/>
      </w:pPr>
    </w:p>
    <w:p>
      <w:pPr>
        <w:pStyle w:val="Heading2"/>
        <w:keepNext/>
        <w:spacing w:before="120" w:after="80"/>
      </w:pPr>
      <w:r>
        <w:rPr>
          <w:rFonts w:ascii="Arial" w:hAnsi="Arial"/>
          <w:b/>
          <w:i w:val="0"/>
          <w:color w:val="2E75B6"/>
          <w:sz w:val="23"/>
        </w:rPr>
        <w:t>Partitioning and scaling</w:t>
      </w:r>
    </w:p>
    <w:p>
      <w:pPr>
        <w:spacing w:after="100" w:line="259" w:lineRule="auto"/>
      </w:pPr>
      <w:r>
        <w:rPr>
          <w:rFonts w:ascii="Arial" w:hAnsi="Arial"/>
          <w:b w:val="0"/>
          <w:i w:val="0"/>
          <w:color w:val="202833"/>
          <w:sz w:val="19"/>
        </w:rPr>
        <w:t>The three topics use 20 partitions so the processor group can distribute work across consumers. The live local verification used one consumer assigned all 20 partitions. Additional group members can share the partitions, but coordinated state recovery across concurrent members has not yet been tested under reassignment.</w:t>
      </w:r>
    </w:p>
    <w:p>
      <w:r>
        <w:br w:type="page"/>
      </w:r>
    </w:p>
    <w:p>
      <w:pPr>
        <w:pStyle w:val="Heading1"/>
        <w:keepNext/>
        <w:spacing w:before="180" w:after="80"/>
      </w:pPr>
      <w:r>
        <w:rPr>
          <w:rFonts w:ascii="Arial" w:hAnsi="Arial"/>
          <w:b/>
          <w:i w:val="0"/>
          <w:color w:val="17365D"/>
          <w:sz w:val="30"/>
        </w:rPr>
        <w:t>2  Processing and recovery</w:t>
      </w:r>
    </w:p>
    <w:p>
      <w:pPr>
        <w:pStyle w:val="Heading2"/>
        <w:keepNext/>
        <w:spacing w:before="120" w:after="80"/>
      </w:pPr>
      <w:r>
        <w:rPr>
          <w:rFonts w:ascii="Arial" w:hAnsi="Arial"/>
          <w:b/>
          <w:i w:val="0"/>
          <w:color w:val="2E75B6"/>
          <w:sz w:val="23"/>
        </w:rPr>
        <w:t>Per-record transaction</w:t>
      </w:r>
    </w:p>
    <w:p>
      <w:pPr>
        <w:spacing w:after="100" w:line="259" w:lineRule="auto"/>
      </w:pPr>
      <w:r>
        <w:rPr>
          <w:rFonts w:ascii="Arial" w:hAnsi="Arial"/>
          <w:b w:val="0"/>
          <w:i w:val="0"/>
          <w:color w:val="202833"/>
          <w:sz w:val="19"/>
        </w:rPr>
        <w:t>For each source message, the processor validates the payload and calculates the next aggregate from the current RocksDB value. It opens a Kafka transaction, writes the new changelog snapshot and output record when the event passes the filter, adds the source offset to the transaction, and commits. Only after commit does it update the local RocksDB value. Filtered or malformed records still have their source offset committed so they do not block later records; malformed payloads increment an error metric and are logged.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vAlign w:val="center"/>
            <w:shd w:fill="17365D"/>
          </w:tcPr>
          <w:p>
            <w:pPr>
              <w:spacing w:after="0" w:before="0"/>
            </w:pPr>
            <w:r/>
            <w:r>
              <w:rPr>
                <w:rFonts w:ascii="Arial" w:hAnsi="Arial"/>
                <w:b/>
                <w:i w:val="0"/>
                <w:color w:val="FFFFFF"/>
                <w:sz w:val="18"/>
              </w:rPr>
              <w:t>Failure point</w:t>
            </w:r>
          </w:p>
        </w:tc>
        <w:tc>
          <w:tcPr>
            <w:tcW w:type="dxa" w:w="6984"/>
            <w:vAlign w:val="center"/>
            <w:shd w:fill="17365D"/>
          </w:tcPr>
          <w:p>
            <w:pPr>
              <w:spacing w:after="0" w:before="0"/>
            </w:pPr>
            <w:r/>
            <w:r>
              <w:rPr>
                <w:rFonts w:ascii="Arial" w:hAnsi="Arial"/>
                <w:b/>
                <w:i w:val="0"/>
                <w:color w:val="FFFFFF"/>
                <w:sz w:val="18"/>
              </w:rPr>
              <w:t>Result</w:t>
            </w:r>
          </w:p>
        </w:tc>
      </w:tr>
      <w:tr>
        <w:trPr>
          <w:cantSplit/>
        </w:trPr>
        <w:tc>
          <w:tcPr>
            <w:tcW w:type="dxa" w:w="3168"/>
            <w:vAlign w:val="center"/>
          </w:tcPr>
          <w:p>
            <w:pPr>
              <w:spacing w:after="0" w:before="0"/>
            </w:pPr>
            <w:r/>
            <w:r>
              <w:rPr>
                <w:rFonts w:ascii="Arial" w:hAnsi="Arial"/>
                <w:b w:val="0"/>
                <w:i w:val="0"/>
                <w:color w:val="202833"/>
                <w:sz w:val="17"/>
              </w:rPr>
              <w:t>Before transaction commit</w:t>
            </w:r>
          </w:p>
        </w:tc>
        <w:tc>
          <w:tcPr>
            <w:tcW w:type="dxa" w:w="6984"/>
            <w:vAlign w:val="center"/>
          </w:tcPr>
          <w:p>
            <w:pPr>
              <w:spacing w:after="0" w:before="0"/>
            </w:pPr>
            <w:r/>
            <w:r>
              <w:rPr>
                <w:rFonts w:ascii="Arial" w:hAnsi="Arial"/>
                <w:b w:val="0"/>
                <w:i w:val="0"/>
                <w:color w:val="202833"/>
                <w:sz w:val="17"/>
              </w:rPr>
              <w:t>Kafka hides the uncommitted output and changelog; the source offset is not committed and the record can be retried.</w:t>
            </w:r>
          </w:p>
        </w:tc>
      </w:tr>
      <w:tr>
        <w:trPr>
          <w:cantSplit/>
        </w:trPr>
        <w:tc>
          <w:tcPr>
            <w:tcW w:type="dxa" w:w="3168"/>
            <w:vAlign w:val="center"/>
            <w:shd w:fill="F3F5F7"/>
          </w:tcPr>
          <w:p>
            <w:pPr>
              <w:spacing w:after="0" w:before="0"/>
            </w:pPr>
            <w:r/>
            <w:r>
              <w:rPr>
                <w:rFonts w:ascii="Arial" w:hAnsi="Arial"/>
                <w:b w:val="0"/>
                <w:i w:val="0"/>
                <w:color w:val="202833"/>
                <w:sz w:val="17"/>
              </w:rPr>
              <w:t>After transaction commit, before local RocksDB write</w:t>
            </w:r>
          </w:p>
        </w:tc>
        <w:tc>
          <w:tcPr>
            <w:tcW w:type="dxa" w:w="6984"/>
            <w:vAlign w:val="center"/>
            <w:shd w:fill="F3F5F7"/>
          </w:tcPr>
          <w:p>
            <w:pPr>
              <w:spacing w:after="0" w:before="0"/>
            </w:pPr>
            <w:r/>
            <w:r>
              <w:rPr>
                <w:rFonts w:ascii="Arial" w:hAnsi="Arial"/>
                <w:b w:val="0"/>
                <w:i w:val="0"/>
                <w:color w:val="202833"/>
                <w:sz w:val="17"/>
              </w:rPr>
              <w:t>Kafka output, changelog, and offset are committed together; startup replay restores the local state.</w:t>
            </w:r>
          </w:p>
        </w:tc>
      </w:tr>
      <w:tr>
        <w:trPr>
          <w:cantSplit/>
        </w:trPr>
        <w:tc>
          <w:tcPr>
            <w:tcW w:type="dxa" w:w="3168"/>
            <w:vAlign w:val="center"/>
          </w:tcPr>
          <w:p>
            <w:pPr>
              <w:spacing w:after="0" w:before="0"/>
            </w:pPr>
            <w:r/>
            <w:r>
              <w:rPr>
                <w:rFonts w:ascii="Arial" w:hAnsi="Arial"/>
                <w:b w:val="0"/>
                <w:i w:val="0"/>
                <w:color w:val="202833"/>
                <w:sz w:val="17"/>
              </w:rPr>
              <w:t>After local state update</w:t>
            </w:r>
          </w:p>
        </w:tc>
        <w:tc>
          <w:tcPr>
            <w:tcW w:type="dxa" w:w="6984"/>
            <w:vAlign w:val="center"/>
          </w:tcPr>
          <w:p>
            <w:pPr>
              <w:spacing w:after="0" w:before="0"/>
            </w:pPr>
            <w:r/>
            <w:r>
              <w:rPr>
                <w:rFonts w:ascii="Arial" w:hAnsi="Arial"/>
                <w:b w:val="0"/>
                <w:i w:val="0"/>
                <w:color w:val="202833"/>
                <w:sz w:val="17"/>
              </w:rPr>
              <w:t>Kafka and RocksDB both contain the committed snapshot; normal processing continues from the next offset.</w:t>
            </w:r>
          </w:p>
        </w:tc>
      </w:tr>
    </w:tbl>
    <w:p>
      <w:pPr>
        <w:spacing w:after="20"/>
      </w:pPr>
    </w:p>
    <w:p>
      <w:pPr>
        <w:spacing w:after="100" w:line="259" w:lineRule="auto"/>
      </w:pPr>
      <w:r>
        <w:rPr>
          <w:rFonts w:ascii="Arial" w:hAnsi="Arial"/>
          <w:b w:val="0"/>
          <w:i w:val="0"/>
          <w:color w:val="202833"/>
          <w:sz w:val="19"/>
        </w:rPr>
        <w:t>The exactly-once guarantee here applies to the Kafka transaction boundary: downstream consumers must use read_committed to hide aborted transactional records. RocksDB is not enlisted in the Kafka transaction; the compacted changelog is the recovery source for that separate local store.</w:t>
      </w:r>
    </w:p>
    <w:p>
      <w:pPr>
        <w:pStyle w:val="Heading2"/>
        <w:keepNext/>
        <w:spacing w:before="120" w:after="80"/>
      </w:pPr>
      <w:r>
        <w:rPr>
          <w:rFonts w:ascii="Arial" w:hAnsi="Arial"/>
          <w:b/>
          <w:i w:val="0"/>
          <w:color w:val="2E75B6"/>
          <w:sz w:val="23"/>
        </w:rPr>
        <w:t>State model</w:t>
      </w:r>
    </w:p>
    <w:p>
      <w:pPr>
        <w:spacing w:after="100" w:line="259" w:lineRule="auto"/>
      </w:pPr>
      <w:r>
        <w:rPr>
          <w:rFonts w:ascii="Arial" w:hAnsi="Arial"/>
          <w:b w:val="0"/>
          <w:i w:val="0"/>
          <w:color w:val="202833"/>
          <w:sz w:val="19"/>
        </w:rPr>
        <w:t>A RocksDB key is truck_id plus the UTC window-start epoch. The value stores the running sum and count, the derived average, the five-minute end time, and the latest event timestamp. The same JSON snapshot is published under that key to the compacted changelog. At process startup, the processor reads committed changelog records to the captured broker watermarks, applies snapshots, flushes RocksDB, and only then joins the input consumer group.</w:t>
      </w:r>
    </w:p>
    <w:p>
      <w:pPr>
        <w:pStyle w:val="Heading2"/>
        <w:keepNext/>
        <w:spacing w:before="120" w:after="80"/>
      </w:pPr>
      <w:r>
        <w:rPr>
          <w:rFonts w:ascii="Arial" w:hAnsi="Arial"/>
          <w:b/>
          <w:i w:val="0"/>
          <w:color w:val="2E75B6"/>
          <w:sz w:val="23"/>
        </w:rPr>
        <w:t>Metrics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5040"/>
            <w:vAlign w:val="center"/>
            <w:shd w:fill="17365D"/>
          </w:tcPr>
          <w:p>
            <w:pPr>
              <w:spacing w:after="0" w:before="0"/>
            </w:pPr>
            <w:r/>
            <w:r>
              <w:rPr>
                <w:rFonts w:ascii="Arial" w:hAnsi="Arial"/>
                <w:b/>
                <w:i w:val="0"/>
                <w:color w:val="FFFFFF"/>
                <w:sz w:val="18"/>
              </w:rPr>
              <w:t>Metric</w:t>
            </w:r>
          </w:p>
        </w:tc>
        <w:tc>
          <w:tcPr>
            <w:tcW w:type="dxa" w:w="5112"/>
            <w:vAlign w:val="center"/>
            <w:shd w:fill="17365D"/>
          </w:tcPr>
          <w:p>
            <w:pPr>
              <w:spacing w:after="0" w:before="0"/>
            </w:pPr>
            <w:r/>
            <w:r>
              <w:rPr>
                <w:rFonts w:ascii="Arial" w:hAnsi="Arial"/>
                <w:b/>
                <w:i w:val="0"/>
                <w:color w:val="FFFFFF"/>
                <w:sz w:val="18"/>
              </w:rPr>
              <w:t>Definition</w:t>
            </w:r>
          </w:p>
        </w:tc>
      </w:tr>
      <w:tr>
        <w:trPr>
          <w:cantSplit/>
        </w:trPr>
        <w:tc>
          <w:tcPr>
            <w:tcW w:type="dxa" w:w="5040"/>
            <w:vAlign w:val="center"/>
          </w:tcPr>
          <w:p>
            <w:pPr>
              <w:spacing w:after="0" w:before="0"/>
            </w:pPr>
            <w:r/>
            <w:r>
              <w:rPr>
                <w:rFonts w:ascii="Arial" w:hAnsi="Arial"/>
                <w:b w:val="0"/>
                <w:i w:val="0"/>
                <w:color w:val="202833"/>
                <w:sz w:val="17"/>
              </w:rPr>
              <w:t>streamforge_events_processed_total</w:t>
            </w:r>
          </w:p>
        </w:tc>
        <w:tc>
          <w:tcPr>
            <w:tcW w:type="dxa" w:w="5112"/>
            <w:vAlign w:val="center"/>
          </w:tcPr>
          <w:p>
            <w:pPr>
              <w:spacing w:after="0" w:before="0"/>
            </w:pPr>
            <w:r/>
            <w:r>
              <w:rPr>
                <w:rFonts w:ascii="Arial" w:hAnsi="Arial"/>
                <w:b w:val="0"/>
                <w:i w:val="0"/>
                <w:color w:val="202833"/>
                <w:sz w:val="17"/>
              </w:rPr>
              <w:t>Accepted source events committed to the output path.</w:t>
            </w:r>
          </w:p>
        </w:tc>
      </w:tr>
      <w:tr>
        <w:trPr>
          <w:cantSplit/>
        </w:trPr>
        <w:tc>
          <w:tcPr>
            <w:tcW w:type="dxa" w:w="5040"/>
            <w:vAlign w:val="center"/>
            <w:shd w:fill="F3F5F7"/>
          </w:tcPr>
          <w:p>
            <w:pPr>
              <w:spacing w:after="0" w:before="0"/>
            </w:pPr>
            <w:r/>
            <w:r>
              <w:rPr>
                <w:rFonts w:ascii="Arial" w:hAnsi="Arial"/>
                <w:b w:val="0"/>
                <w:i w:val="0"/>
                <w:color w:val="202833"/>
                <w:sz w:val="17"/>
              </w:rPr>
              <w:t>streamforge_events_filtered_total</w:t>
            </w:r>
          </w:p>
        </w:tc>
        <w:tc>
          <w:tcPr>
            <w:tcW w:type="dxa" w:w="5112"/>
            <w:vAlign w:val="center"/>
            <w:shd w:fill="F3F5F7"/>
          </w:tcPr>
          <w:p>
            <w:pPr>
              <w:spacing w:after="0" w:before="0"/>
            </w:pPr>
            <w:r/>
            <w:r>
              <w:rPr>
                <w:rFonts w:ascii="Arial" w:hAnsi="Arial"/>
                <w:b w:val="0"/>
                <w:i w:val="0"/>
                <w:color w:val="202833"/>
                <w:sz w:val="17"/>
              </w:rPr>
              <w:t>Valid events excluded because temperature is at or below 0°C.</w:t>
            </w:r>
          </w:p>
        </w:tc>
      </w:tr>
      <w:tr>
        <w:trPr>
          <w:cantSplit/>
        </w:trPr>
        <w:tc>
          <w:tcPr>
            <w:tcW w:type="dxa" w:w="5040"/>
            <w:vAlign w:val="center"/>
          </w:tcPr>
          <w:p>
            <w:pPr>
              <w:spacing w:after="0" w:before="0"/>
            </w:pPr>
            <w:r/>
            <w:r>
              <w:rPr>
                <w:rFonts w:ascii="Arial" w:hAnsi="Arial"/>
                <w:b w:val="0"/>
                <w:i w:val="0"/>
                <w:color w:val="202833"/>
                <w:sz w:val="17"/>
              </w:rPr>
              <w:t>streamforge_processing_errors_total</w:t>
            </w:r>
          </w:p>
        </w:tc>
        <w:tc>
          <w:tcPr>
            <w:tcW w:type="dxa" w:w="5112"/>
            <w:vAlign w:val="center"/>
          </w:tcPr>
          <w:p>
            <w:pPr>
              <w:spacing w:after="0" w:before="0"/>
            </w:pPr>
            <w:r/>
            <w:r>
              <w:rPr>
                <w:rFonts w:ascii="Arial" w:hAnsi="Arial"/>
                <w:b w:val="0"/>
                <w:i w:val="0"/>
                <w:color w:val="202833"/>
                <w:sz w:val="17"/>
              </w:rPr>
              <w:t>Malformed input records skipped and logged.</w:t>
            </w:r>
          </w:p>
        </w:tc>
      </w:tr>
      <w:tr>
        <w:trPr>
          <w:cantSplit/>
        </w:trPr>
        <w:tc>
          <w:tcPr>
            <w:tcW w:type="dxa" w:w="5040"/>
            <w:vAlign w:val="center"/>
            <w:shd w:fill="F3F5F7"/>
          </w:tcPr>
          <w:p>
            <w:pPr>
              <w:spacing w:after="0" w:before="0"/>
            </w:pPr>
            <w:r/>
            <w:r>
              <w:rPr>
                <w:rFonts w:ascii="Arial" w:hAnsi="Arial"/>
                <w:b w:val="0"/>
                <w:i w:val="0"/>
                <w:color w:val="202833"/>
                <w:sz w:val="17"/>
              </w:rPr>
              <w:t>streamforge_last_processing_duration_seconds</w:t>
            </w:r>
          </w:p>
        </w:tc>
        <w:tc>
          <w:tcPr>
            <w:tcW w:type="dxa" w:w="5112"/>
            <w:vAlign w:val="center"/>
            <w:shd w:fill="F3F5F7"/>
          </w:tcPr>
          <w:p>
            <w:pPr>
              <w:spacing w:after="0" w:before="0"/>
            </w:pPr>
            <w:r/>
            <w:r>
              <w:rPr>
                <w:rFonts w:ascii="Arial" w:hAnsi="Arial"/>
                <w:b w:val="0"/>
                <w:i w:val="0"/>
                <w:color w:val="202833"/>
                <w:sz w:val="17"/>
              </w:rPr>
              <w:t>Latest per-record processing duration, including Kafka commit and state flush.</w:t>
            </w:r>
          </w:p>
        </w:tc>
      </w:tr>
      <w:tr>
        <w:trPr>
          <w:cantSplit/>
        </w:trPr>
        <w:tc>
          <w:tcPr>
            <w:tcW w:type="dxa" w:w="5040"/>
            <w:vAlign w:val="center"/>
          </w:tcPr>
          <w:p>
            <w:pPr>
              <w:spacing w:after="0" w:before="0"/>
            </w:pPr>
            <w:r/>
            <w:r>
              <w:rPr>
                <w:rFonts w:ascii="Arial" w:hAnsi="Arial"/>
                <w:b w:val="0"/>
                <w:i w:val="0"/>
                <w:color w:val="202833"/>
                <w:sz w:val="17"/>
              </w:rPr>
              <w:t>streamforge_processor_up</w:t>
            </w:r>
          </w:p>
        </w:tc>
        <w:tc>
          <w:tcPr>
            <w:tcW w:type="dxa" w:w="5112"/>
            <w:vAlign w:val="center"/>
          </w:tcPr>
          <w:p>
            <w:pPr>
              <w:spacing w:after="0" w:before="0"/>
            </w:pPr>
            <w:r/>
            <w:r>
              <w:rPr>
                <w:rFonts w:ascii="Arial" w:hAnsi="Arial"/>
                <w:b w:val="0"/>
                <w:i w:val="0"/>
                <w:color w:val="202833"/>
                <w:sz w:val="17"/>
              </w:rPr>
              <w:t>One while this processor instance is running.</w:t>
            </w:r>
          </w:p>
        </w:tc>
      </w:tr>
    </w:tbl>
    <w:p>
      <w:pPr>
        <w:spacing w:after="20"/>
      </w:pPr>
    </w:p>
    <w:p>
      <w:pPr>
        <w:spacing w:after="100" w:line="259" w:lineRule="auto"/>
      </w:pPr>
      <w:r>
        <w:rPr>
          <w:rFonts w:ascii="Arial" w:hAnsi="Arial"/>
          <w:b w:val="0"/>
          <w:i w:val="0"/>
          <w:color w:val="202833"/>
          <w:sz w:val="19"/>
        </w:rPr>
        <w:t>The processor exports Prometheus text format on port 9101. FastAPI proxies the exposition at port 8000 `/metrics` and serves structured cluster data at `/api/cluster`.</w:t>
      </w:r>
    </w:p>
    <w:p>
      <w:r>
        <w:br w:type="page"/>
      </w:r>
    </w:p>
    <w:p>
      <w:pPr>
        <w:pStyle w:val="Heading1"/>
        <w:keepNext/>
        <w:spacing w:before="180" w:after="80"/>
      </w:pPr>
      <w:r>
        <w:rPr>
          <w:rFonts w:ascii="Arial" w:hAnsi="Arial"/>
          <w:b/>
          <w:i w:val="0"/>
          <w:color w:val="17365D"/>
          <w:sz w:val="30"/>
        </w:rPr>
        <w:t>3  Backend and dashboard</w:t>
      </w:r>
    </w:p>
    <w:p>
      <w:pPr>
        <w:pStyle w:val="Heading2"/>
        <w:keepNext/>
        <w:spacing w:before="120" w:after="80"/>
      </w:pPr>
      <w:r>
        <w:rPr>
          <w:rFonts w:ascii="Arial" w:hAnsi="Arial"/>
          <w:b/>
          <w:i w:val="0"/>
          <w:color w:val="2E75B6"/>
          <w:sz w:val="23"/>
        </w:rPr>
        <w:t>Monitoring API</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vAlign w:val="center"/>
            <w:shd w:fill="17365D"/>
          </w:tcPr>
          <w:p>
            <w:pPr>
              <w:spacing w:after="0" w:before="0"/>
            </w:pPr>
            <w:r/>
            <w:r>
              <w:rPr>
                <w:rFonts w:ascii="Arial" w:hAnsi="Arial"/>
                <w:b/>
                <w:i w:val="0"/>
                <w:color w:val="FFFFFF"/>
                <w:sz w:val="18"/>
              </w:rPr>
              <w:t>Endpoint</w:t>
            </w:r>
          </w:p>
        </w:tc>
        <w:tc>
          <w:tcPr>
            <w:tcW w:type="dxa" w:w="7560"/>
            <w:vAlign w:val="center"/>
            <w:shd w:fill="17365D"/>
          </w:tcPr>
          <w:p>
            <w:pPr>
              <w:spacing w:after="0" w:before="0"/>
            </w:pPr>
            <w:r/>
            <w:r>
              <w:rPr>
                <w:rFonts w:ascii="Arial" w:hAnsi="Arial"/>
                <w:b/>
                <w:i w:val="0"/>
                <w:color w:val="FFFFFF"/>
                <w:sz w:val="18"/>
              </w:rPr>
              <w:t>Purpose</w:t>
            </w:r>
          </w:p>
        </w:tc>
      </w:tr>
      <w:tr>
        <w:trPr>
          <w:cantSplit/>
        </w:trPr>
        <w:tc>
          <w:tcPr>
            <w:tcW w:type="dxa" w:w="2592"/>
            <w:vAlign w:val="center"/>
          </w:tcPr>
          <w:p>
            <w:pPr>
              <w:spacing w:after="0" w:before="0"/>
            </w:pPr>
            <w:r/>
            <w:r>
              <w:rPr>
                <w:rFonts w:ascii="Arial" w:hAnsi="Arial"/>
                <w:b w:val="0"/>
                <w:i w:val="0"/>
                <w:color w:val="202833"/>
                <w:sz w:val="17"/>
              </w:rPr>
              <w:t>GET /api/health</w:t>
            </w:r>
          </w:p>
        </w:tc>
        <w:tc>
          <w:tcPr>
            <w:tcW w:type="dxa" w:w="7560"/>
            <w:vAlign w:val="center"/>
          </w:tcPr>
          <w:p>
            <w:pPr>
              <w:spacing w:after="0" w:before="0"/>
            </w:pPr>
            <w:r/>
            <w:r>
              <w:rPr>
                <w:rFonts w:ascii="Arial" w:hAnsi="Arial"/>
                <w:b w:val="0"/>
                <w:i w:val="0"/>
                <w:color w:val="202833"/>
                <w:sz w:val="17"/>
              </w:rPr>
              <w:t>API process health check.</w:t>
            </w:r>
          </w:p>
        </w:tc>
      </w:tr>
      <w:tr>
        <w:trPr>
          <w:cantSplit/>
        </w:trPr>
        <w:tc>
          <w:tcPr>
            <w:tcW w:type="dxa" w:w="2592"/>
            <w:vAlign w:val="center"/>
            <w:shd w:fill="F3F5F7"/>
          </w:tcPr>
          <w:p>
            <w:pPr>
              <w:spacing w:after="0" w:before="0"/>
            </w:pPr>
            <w:r/>
            <w:r>
              <w:rPr>
                <w:rFonts w:ascii="Arial" w:hAnsi="Arial"/>
                <w:b w:val="0"/>
                <w:i w:val="0"/>
                <w:color w:val="202833"/>
                <w:sz w:val="17"/>
              </w:rPr>
              <w:t>GET /api/cluster</w:t>
            </w:r>
          </w:p>
        </w:tc>
        <w:tc>
          <w:tcPr>
            <w:tcW w:type="dxa" w:w="7560"/>
            <w:vAlign w:val="center"/>
            <w:shd w:fill="F3F5F7"/>
          </w:tcPr>
          <w:p>
            <w:pPr>
              <w:spacing w:after="0" w:before="0"/>
            </w:pPr>
            <w:r/>
            <w:r>
              <w:rPr>
                <w:rFonts w:ascii="Arial" w:hAnsi="Arial"/>
                <w:b w:val="0"/>
                <w:i w:val="0"/>
                <w:color w:val="202833"/>
                <w:sz w:val="17"/>
              </w:rPr>
              <w:t>Kafka broker and partition metadata, active processor group members and assignments, source lag, throughput sample, processor status, processed count, and latest processing duration.</w:t>
            </w:r>
          </w:p>
        </w:tc>
      </w:tr>
      <w:tr>
        <w:trPr>
          <w:cantSplit/>
        </w:trPr>
        <w:tc>
          <w:tcPr>
            <w:tcW w:type="dxa" w:w="2592"/>
            <w:vAlign w:val="center"/>
          </w:tcPr>
          <w:p>
            <w:pPr>
              <w:spacing w:after="0" w:before="0"/>
            </w:pPr>
            <w:r/>
            <w:r>
              <w:rPr>
                <w:rFonts w:ascii="Arial" w:hAnsi="Arial"/>
                <w:b w:val="0"/>
                <w:i w:val="0"/>
                <w:color w:val="202833"/>
                <w:sz w:val="17"/>
              </w:rPr>
              <w:t>GET /metrics</w:t>
            </w:r>
          </w:p>
        </w:tc>
        <w:tc>
          <w:tcPr>
            <w:tcW w:type="dxa" w:w="7560"/>
            <w:vAlign w:val="center"/>
          </w:tcPr>
          <w:p>
            <w:pPr>
              <w:spacing w:after="0" w:before="0"/>
            </w:pPr>
            <w:r/>
            <w:r>
              <w:rPr>
                <w:rFonts w:ascii="Arial" w:hAnsi="Arial"/>
                <w:b w:val="0"/>
                <w:i w:val="0"/>
                <w:color w:val="202833"/>
                <w:sz w:val="17"/>
              </w:rPr>
              <w:t>Proxy the processor’s Prometheus exposition; returns unavailable when the processor metrics server is stopped.</w:t>
            </w:r>
          </w:p>
        </w:tc>
      </w:tr>
    </w:tbl>
    <w:p>
      <w:pPr>
        <w:spacing w:after="20"/>
      </w:pPr>
    </w:p>
    <w:p>
      <w:pPr>
        <w:spacing w:after="100" w:line="259" w:lineRule="auto"/>
      </w:pPr>
      <w:r>
        <w:rPr>
          <w:rFonts w:ascii="Arial" w:hAnsi="Arial"/>
          <w:b w:val="0"/>
          <w:i w:val="0"/>
          <w:color w:val="202833"/>
          <w:sz w:val="19"/>
        </w:rPr>
        <w:t>The API reads the configured Kafka topic and bootstrap servers, queries consumer group membership and committed offsets, and samples processor metrics from port 9101. It returns 503 with an actionable message when Kafka is unreachable. CORS permits the local React development server by default.</w:t>
      </w:r>
    </w:p>
    <w:p>
      <w:pPr>
        <w:pStyle w:val="Heading2"/>
        <w:keepNext/>
        <w:spacing w:before="120" w:after="80"/>
      </w:pPr>
      <w:r>
        <w:rPr>
          <w:rFonts w:ascii="Arial" w:hAnsi="Arial"/>
          <w:b/>
          <w:i w:val="0"/>
          <w:color w:val="2E75B6"/>
          <w:sz w:val="23"/>
        </w:rPr>
        <w:t>Frontend integration</w:t>
      </w:r>
    </w:p>
    <w:p>
      <w:pPr>
        <w:spacing w:after="100" w:line="259" w:lineRule="auto"/>
      </w:pPr>
      <w:r>
        <w:rPr>
          <w:rFonts w:ascii="Arial" w:hAnsi="Arial"/>
          <w:b w:val="0"/>
          <w:i w:val="0"/>
          <w:color w:val="202833"/>
          <w:sz w:val="19"/>
        </w:rPr>
        <w:t>A shared React context polls `/api/cluster` every five seconds and provides loading/error state across all pages. Overview cards use measured throughput, worker count, group lag, and processing duration. The topology and partitions views use broker leaders, replicas, in-sync replicas, group assignment, and per-partition lag. The metrics page lists these measurements and the Prometheus-backed processor values.</w:t>
      </w:r>
    </w:p>
    <w:p>
      <w:pPr>
        <w:pStyle w:val="ListBullet"/>
        <w:spacing w:after="60" w:line="252" w:lineRule="auto"/>
        <w:ind w:left="317" w:hanging="202"/>
      </w:pPr>
      <w:r>
        <w:rPr>
          <w:rFonts w:ascii="Arial" w:hAnsi="Arial"/>
          <w:b w:val="0"/>
          <w:i w:val="0"/>
          <w:color w:val="202833"/>
          <w:sz w:val="18"/>
        </w:rPr>
        <w:t>Removed generated frontend mock arrays and hard-coded metrics. The old unused metrics fetcher and its fabricated fallback values were removed with the mock data module.</w:t>
      </w:r>
    </w:p>
    <w:p>
      <w:pPr>
        <w:pStyle w:val="ListBullet"/>
        <w:spacing w:after="60" w:line="252" w:lineRule="auto"/>
        <w:ind w:left="317" w:hanging="202"/>
      </w:pPr>
      <w:r>
        <w:rPr>
          <w:rFonts w:ascii="Arial" w:hAnsi="Arial"/>
          <w:b w:val="0"/>
          <w:i w:val="0"/>
          <w:color w:val="202833"/>
          <w:sz w:val="18"/>
        </w:rPr>
        <w:t>The header, overview, sidebar, and topology indicator share the same API connection state; disconnected states no longer use green Connected or LIVE labels.</w:t>
      </w:r>
    </w:p>
    <w:p>
      <w:pPr>
        <w:pStyle w:val="ListBullet"/>
        <w:spacing w:after="60" w:line="252" w:lineRule="auto"/>
        <w:ind w:left="317" w:hanging="202"/>
      </w:pPr>
      <w:r>
        <w:rPr>
          <w:rFonts w:ascii="Arial" w:hAnsi="Arial"/>
          <w:b w:val="0"/>
          <w:i w:val="0"/>
          <w:color w:val="202833"/>
          <w:sz w:val="18"/>
        </w:rPr>
        <w:t>Worker membership, assigned partitions, and lag use Kafka consumer-group data. Per-worker throughput, CPU, and memory stay blank because the processor does not export those measurements.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shd w:fill="17365D"/>
          </w:tcPr>
          <w:p>
            <w:pPr>
              <w:spacing w:after="0" w:before="0"/>
            </w:pPr>
            <w:r/>
            <w:r>
              <w:rPr>
                <w:rFonts w:ascii="Arial" w:hAnsi="Arial"/>
                <w:b/>
                <w:i w:val="0"/>
                <w:color w:val="FFFFFF"/>
                <w:sz w:val="18"/>
              </w:rPr>
              <w:t>Dashboard page</w:t>
            </w:r>
          </w:p>
        </w:tc>
        <w:tc>
          <w:tcPr>
            <w:tcW w:type="dxa" w:w="7920"/>
            <w:vAlign w:val="center"/>
            <w:shd w:fill="17365D"/>
          </w:tcPr>
          <w:p>
            <w:pPr>
              <w:spacing w:after="0" w:before="0"/>
            </w:pPr>
            <w:r/>
            <w:r>
              <w:rPr>
                <w:rFonts w:ascii="Arial" w:hAnsi="Arial"/>
                <w:b/>
                <w:i w:val="0"/>
                <w:color w:val="FFFFFF"/>
                <w:sz w:val="18"/>
              </w:rPr>
              <w:t>Live data displayed</w:t>
            </w:r>
          </w:p>
        </w:tc>
      </w:tr>
      <w:tr>
        <w:trPr>
          <w:cantSplit/>
        </w:trPr>
        <w:tc>
          <w:tcPr>
            <w:tcW w:type="dxa" w:w="2232"/>
            <w:vAlign w:val="center"/>
          </w:tcPr>
          <w:p>
            <w:pPr>
              <w:spacing w:after="0" w:before="0"/>
            </w:pPr>
            <w:r/>
            <w:r>
              <w:rPr>
                <w:rFonts w:ascii="Arial" w:hAnsi="Arial"/>
                <w:b w:val="0"/>
                <w:i w:val="0"/>
                <w:color w:val="202833"/>
                <w:sz w:val="17"/>
              </w:rPr>
              <w:t>Overview</w:t>
            </w:r>
          </w:p>
        </w:tc>
        <w:tc>
          <w:tcPr>
            <w:tcW w:type="dxa" w:w="7920"/>
            <w:vAlign w:val="center"/>
          </w:tcPr>
          <w:p>
            <w:pPr>
              <w:spacing w:after="0" w:before="0"/>
            </w:pPr>
            <w:r/>
            <w:r>
              <w:rPr>
                <w:rFonts w:ascii="Arial" w:hAnsi="Arial"/>
                <w:b w:val="0"/>
                <w:i w:val="0"/>
                <w:color w:val="202833"/>
                <w:sz w:val="17"/>
              </w:rPr>
              <w:t>Kafka connection, sampled throughput, worker count, consumer lag, processing duration.</w:t>
            </w:r>
          </w:p>
        </w:tc>
      </w:tr>
      <w:tr>
        <w:trPr>
          <w:cantSplit/>
        </w:trPr>
        <w:tc>
          <w:tcPr>
            <w:tcW w:type="dxa" w:w="2232"/>
            <w:vAlign w:val="center"/>
            <w:shd w:fill="F3F5F7"/>
          </w:tcPr>
          <w:p>
            <w:pPr>
              <w:spacing w:after="0" w:before="0"/>
            </w:pPr>
            <w:r/>
            <w:r>
              <w:rPr>
                <w:rFonts w:ascii="Arial" w:hAnsi="Arial"/>
                <w:b w:val="0"/>
                <w:i w:val="0"/>
                <w:color w:val="202833"/>
                <w:sz w:val="17"/>
              </w:rPr>
              <w:t>Topology</w:t>
            </w:r>
          </w:p>
        </w:tc>
        <w:tc>
          <w:tcPr>
            <w:tcW w:type="dxa" w:w="7920"/>
            <w:vAlign w:val="center"/>
            <w:shd w:fill="F3F5F7"/>
          </w:tcPr>
          <w:p>
            <w:pPr>
              <w:spacing w:after="0" w:before="0"/>
            </w:pPr>
            <w:r/>
            <w:r>
              <w:rPr>
                <w:rFonts w:ascii="Arial" w:hAnsi="Arial"/>
                <w:b w:val="0"/>
                <w:i w:val="0"/>
                <w:color w:val="202833"/>
                <w:sz w:val="17"/>
              </w:rPr>
              <w:t>Broker count, topic name, partition state, processor group state, architecture graph.</w:t>
            </w:r>
          </w:p>
        </w:tc>
      </w:tr>
      <w:tr>
        <w:trPr>
          <w:cantSplit/>
        </w:trPr>
        <w:tc>
          <w:tcPr>
            <w:tcW w:type="dxa" w:w="2232"/>
            <w:vAlign w:val="center"/>
          </w:tcPr>
          <w:p>
            <w:pPr>
              <w:spacing w:after="0" w:before="0"/>
            </w:pPr>
            <w:r/>
            <w:r>
              <w:rPr>
                <w:rFonts w:ascii="Arial" w:hAnsi="Arial"/>
                <w:b w:val="0"/>
                <w:i w:val="0"/>
                <w:color w:val="202833"/>
                <w:sz w:val="17"/>
              </w:rPr>
              <w:t>Workers</w:t>
            </w:r>
          </w:p>
        </w:tc>
        <w:tc>
          <w:tcPr>
            <w:tcW w:type="dxa" w:w="7920"/>
            <w:vAlign w:val="center"/>
          </w:tcPr>
          <w:p>
            <w:pPr>
              <w:spacing w:after="0" w:before="0"/>
            </w:pPr>
            <w:r/>
            <w:r>
              <w:rPr>
                <w:rFonts w:ascii="Arial" w:hAnsi="Arial"/>
                <w:b w:val="0"/>
                <w:i w:val="0"/>
                <w:color w:val="202833"/>
                <w:sz w:val="17"/>
              </w:rPr>
              <w:t>Active consumer group members, assigned partitions, lag, status.</w:t>
            </w:r>
          </w:p>
        </w:tc>
      </w:tr>
      <w:tr>
        <w:trPr>
          <w:cantSplit/>
        </w:trPr>
        <w:tc>
          <w:tcPr>
            <w:tcW w:type="dxa" w:w="2232"/>
            <w:vAlign w:val="center"/>
            <w:shd w:fill="F3F5F7"/>
          </w:tcPr>
          <w:p>
            <w:pPr>
              <w:spacing w:after="0" w:before="0"/>
            </w:pPr>
            <w:r/>
            <w:r>
              <w:rPr>
                <w:rFonts w:ascii="Arial" w:hAnsi="Arial"/>
                <w:b w:val="0"/>
                <w:i w:val="0"/>
                <w:color w:val="202833"/>
                <w:sz w:val="17"/>
              </w:rPr>
              <w:t>Partitions</w:t>
            </w:r>
          </w:p>
        </w:tc>
        <w:tc>
          <w:tcPr>
            <w:tcW w:type="dxa" w:w="7920"/>
            <w:vAlign w:val="center"/>
            <w:shd w:fill="F3F5F7"/>
          </w:tcPr>
          <w:p>
            <w:pPr>
              <w:spacing w:after="0" w:before="0"/>
            </w:pPr>
            <w:r/>
            <w:r>
              <w:rPr>
                <w:rFonts w:ascii="Arial" w:hAnsi="Arial"/>
                <w:b w:val="0"/>
                <w:i w:val="0"/>
                <w:color w:val="202833"/>
                <w:sz w:val="17"/>
              </w:rPr>
              <w:t>Leader, replicas, in-sync replicas, assigned processor member, lag.</w:t>
            </w:r>
          </w:p>
        </w:tc>
      </w:tr>
      <w:tr>
        <w:trPr>
          <w:cantSplit/>
        </w:trPr>
        <w:tc>
          <w:tcPr>
            <w:tcW w:type="dxa" w:w="2232"/>
            <w:vAlign w:val="center"/>
          </w:tcPr>
          <w:p>
            <w:pPr>
              <w:spacing w:after="0" w:before="0"/>
            </w:pPr>
            <w:r/>
            <w:r>
              <w:rPr>
                <w:rFonts w:ascii="Arial" w:hAnsi="Arial"/>
                <w:b w:val="0"/>
                <w:i w:val="0"/>
                <w:color w:val="202833"/>
                <w:sz w:val="17"/>
              </w:rPr>
              <w:t>Metrics</w:t>
            </w:r>
          </w:p>
        </w:tc>
        <w:tc>
          <w:tcPr>
            <w:tcW w:type="dxa" w:w="7920"/>
            <w:vAlign w:val="center"/>
          </w:tcPr>
          <w:p>
            <w:pPr>
              <w:spacing w:after="0" w:before="0"/>
            </w:pPr>
            <w:r/>
            <w:r>
              <w:rPr>
                <w:rFonts w:ascii="Arial" w:hAnsi="Arial"/>
                <w:b w:val="0"/>
                <w:i w:val="0"/>
                <w:color w:val="202833"/>
                <w:sz w:val="17"/>
              </w:rPr>
              <w:t>Processed event count, processing rate, duration, lag, per-partition broker metadata.</w:t>
            </w:r>
          </w:p>
        </w:tc>
      </w:tr>
    </w:tbl>
    <w:p>
      <w:pPr>
        <w:spacing w:after="20"/>
      </w:pPr>
    </w:p>
    <w:p>
      <w:pPr>
        <w:pStyle w:val="Heading2"/>
        <w:keepNext/>
        <w:spacing w:before="120" w:after="80"/>
      </w:pPr>
      <w:r>
        <w:rPr>
          <w:rFonts w:ascii="Arial" w:hAnsi="Arial"/>
          <w:b/>
          <w:i w:val="0"/>
          <w:color w:val="2E75B6"/>
          <w:sz w:val="23"/>
        </w:rPr>
        <w:t>Operational topology</w:t>
      </w:r>
    </w:p>
    <w:p>
      <w:pPr>
        <w:spacing w:after="100" w:line="259" w:lineRule="auto"/>
      </w:pPr>
      <w:r>
        <w:rPr>
          <w:rFonts w:ascii="Arial" w:hAnsi="Arial"/>
          <w:b w:val="0"/>
          <w:i w:val="0"/>
          <w:color w:val="202833"/>
          <w:sz w:val="19"/>
        </w:rPr>
        <w:t>The dashboard’s graph identifies Kafka, the processor consumer group, RocksDB, processor metrics, and the monitoring UI. The graph is an architectural view: RocksDB health itself is not currently probed, so the UI labels that measurement as unavailable instead of reporting a false healthy state.</w:t>
      </w:r>
    </w:p>
    <w:p>
      <w:r>
        <w:br w:type="page"/>
      </w:r>
    </w:p>
    <w:p>
      <w:pPr>
        <w:pStyle w:val="Heading1"/>
        <w:keepNext/>
        <w:spacing w:before="180" w:after="80"/>
      </w:pPr>
      <w:r>
        <w:rPr>
          <w:rFonts w:ascii="Arial" w:hAnsi="Arial"/>
          <w:b/>
          <w:i w:val="0"/>
          <w:color w:val="17365D"/>
          <w:sz w:val="30"/>
        </w:rPr>
        <w:t>4  Verification results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vAlign w:val="center"/>
            <w:shd w:fill="17365D"/>
          </w:tcPr>
          <w:p>
            <w:pPr>
              <w:spacing w:after="0" w:before="0"/>
            </w:pPr>
            <w:r/>
            <w:r>
              <w:rPr>
                <w:rFonts w:ascii="Arial" w:hAnsi="Arial"/>
                <w:b/>
                <w:i w:val="0"/>
                <w:color w:val="FFFFFF"/>
                <w:sz w:val="18"/>
              </w:rPr>
              <w:t>Check</w:t>
            </w:r>
          </w:p>
        </w:tc>
        <w:tc>
          <w:tcPr>
            <w:tcW w:type="dxa" w:w="3672"/>
            <w:vAlign w:val="center"/>
            <w:shd w:fill="17365D"/>
          </w:tcPr>
          <w:p>
            <w:pPr>
              <w:spacing w:after="0" w:before="0"/>
            </w:pPr>
            <w:r/>
            <w:r>
              <w:rPr>
                <w:rFonts w:ascii="Arial" w:hAnsi="Arial"/>
                <w:b/>
                <w:i w:val="0"/>
                <w:color w:val="FFFFFF"/>
                <w:sz w:val="18"/>
              </w:rPr>
              <w:t>Observed result</w:t>
            </w:r>
          </w:p>
        </w:tc>
        <w:tc>
          <w:tcPr>
            <w:tcW w:type="dxa" w:w="4464"/>
            <w:vAlign w:val="center"/>
            <w:shd w:fill="17365D"/>
          </w:tcPr>
          <w:p>
            <w:pPr>
              <w:spacing w:after="0" w:before="0"/>
            </w:pPr>
            <w:r/>
            <w:r>
              <w:rPr>
                <w:rFonts w:ascii="Arial" w:hAnsi="Arial"/>
                <w:b/>
                <w:i w:val="0"/>
                <w:color w:val="FFFFFF"/>
                <w:sz w:val="18"/>
              </w:rPr>
              <w:t>Interpretation</w:t>
            </w:r>
          </w:p>
        </w:tc>
      </w:tr>
      <w:tr>
        <w:trPr>
          <w:cantSplit/>
        </w:trPr>
        <w:tc>
          <w:tcPr>
            <w:tcW w:type="dxa" w:w="2016"/>
            <w:vAlign w:val="center"/>
          </w:tcPr>
          <w:p>
            <w:pPr>
              <w:spacing w:after="0" w:before="0"/>
            </w:pPr>
            <w:r/>
            <w:r>
              <w:rPr>
                <w:rFonts w:ascii="Arial" w:hAnsi="Arial"/>
                <w:b w:val="0"/>
                <w:i w:val="0"/>
                <w:color w:val="202833"/>
                <w:sz w:val="17"/>
              </w:rPr>
              <w:t>Kafka cluster</w:t>
            </w:r>
          </w:p>
        </w:tc>
        <w:tc>
          <w:tcPr>
            <w:tcW w:type="dxa" w:w="3672"/>
            <w:vAlign w:val="center"/>
          </w:tcPr>
          <w:p>
            <w:pPr>
              <w:spacing w:after="0" w:before="0"/>
            </w:pPr>
            <w:r/>
            <w:r>
              <w:rPr>
                <w:rFonts w:ascii="Arial" w:hAnsi="Arial"/>
                <w:b w:val="0"/>
                <w:i w:val="0"/>
                <w:color w:val="202833"/>
                <w:sz w:val="17"/>
              </w:rPr>
              <w:t>One broker; 20/20 telemetry partitions active</w:t>
            </w:r>
          </w:p>
        </w:tc>
        <w:tc>
          <w:tcPr>
            <w:tcW w:type="dxa" w:w="4464"/>
            <w:vAlign w:val="center"/>
          </w:tcPr>
          <w:p>
            <w:pPr>
              <w:spacing w:after="0" w:before="0"/>
            </w:pPr>
            <w:r/>
            <w:r>
              <w:rPr>
                <w:rFonts w:ascii="Arial" w:hAnsi="Arial"/>
                <w:b w:val="0"/>
                <w:i w:val="0"/>
                <w:color w:val="202833"/>
                <w:sz w:val="17"/>
              </w:rPr>
              <w:t>Local broker and partition metadata available.</w:t>
            </w:r>
          </w:p>
        </w:tc>
      </w:tr>
      <w:tr>
        <w:trPr>
          <w:cantSplit/>
        </w:trPr>
        <w:tc>
          <w:tcPr>
            <w:tcW w:type="dxa" w:w="2016"/>
            <w:vAlign w:val="center"/>
            <w:shd w:fill="F3F5F7"/>
          </w:tcPr>
          <w:p>
            <w:pPr>
              <w:spacing w:after="0" w:before="0"/>
            </w:pPr>
            <w:r/>
            <w:r>
              <w:rPr>
                <w:rFonts w:ascii="Arial" w:hAnsi="Arial"/>
                <w:b w:val="0"/>
                <w:i w:val="0"/>
                <w:color w:val="202833"/>
                <w:sz w:val="17"/>
              </w:rPr>
              <w:t>Topic setup</w:t>
            </w:r>
          </w:p>
        </w:tc>
        <w:tc>
          <w:tcPr>
            <w:tcW w:type="dxa" w:w="3672"/>
            <w:vAlign w:val="center"/>
            <w:shd w:fill="F3F5F7"/>
          </w:tcPr>
          <w:p>
            <w:pPr>
              <w:spacing w:after="0" w:before="0"/>
            </w:pPr>
            <w:r/>
            <w:r>
              <w:rPr>
                <w:rFonts w:ascii="Arial" w:hAnsi="Arial"/>
                <w:b w:val="0"/>
                <w:i w:val="0"/>
                <w:color w:val="202833"/>
                <w:sz w:val="17"/>
              </w:rPr>
              <w:t>Input, output, and changelog topics each have 20 partitions</w:t>
            </w:r>
          </w:p>
        </w:tc>
        <w:tc>
          <w:tcPr>
            <w:tcW w:type="dxa" w:w="4464"/>
            <w:vAlign w:val="center"/>
            <w:shd w:fill="F3F5F7"/>
          </w:tcPr>
          <w:p>
            <w:pPr>
              <w:spacing w:after="0" w:before="0"/>
            </w:pPr>
            <w:r/>
            <w:r>
              <w:rPr>
                <w:rFonts w:ascii="Arial" w:hAnsi="Arial"/>
                <w:b w:val="0"/>
                <w:i w:val="0"/>
                <w:color w:val="202833"/>
                <w:sz w:val="17"/>
              </w:rPr>
              <w:t>Changelog cleanup policy reported `compact`.</w:t>
            </w:r>
          </w:p>
        </w:tc>
      </w:tr>
      <w:tr>
        <w:trPr>
          <w:cantSplit/>
        </w:trPr>
        <w:tc>
          <w:tcPr>
            <w:tcW w:type="dxa" w:w="2016"/>
            <w:vAlign w:val="center"/>
          </w:tcPr>
          <w:p>
            <w:pPr>
              <w:spacing w:after="0" w:before="0"/>
            </w:pPr>
            <w:r/>
            <w:r>
              <w:rPr>
                <w:rFonts w:ascii="Arial" w:hAnsi="Arial"/>
                <w:b w:val="0"/>
                <w:i w:val="0"/>
                <w:color w:val="202833"/>
                <w:sz w:val="17"/>
              </w:rPr>
              <w:t>Producer run</w:t>
            </w:r>
          </w:p>
        </w:tc>
        <w:tc>
          <w:tcPr>
            <w:tcW w:type="dxa" w:w="3672"/>
            <w:vAlign w:val="center"/>
          </w:tcPr>
          <w:p>
            <w:pPr>
              <w:spacing w:after="0" w:before="0"/>
            </w:pPr>
            <w:r/>
            <w:r>
              <w:rPr>
                <w:rFonts w:ascii="Arial" w:hAnsi="Arial"/>
                <w:b w:val="0"/>
                <w:i w:val="0"/>
                <w:color w:val="202833"/>
                <w:sz w:val="17"/>
              </w:rPr>
              <w:t>100 produced; 100 delivered; 0 failures</w:t>
            </w:r>
          </w:p>
        </w:tc>
        <w:tc>
          <w:tcPr>
            <w:tcW w:type="dxa" w:w="4464"/>
            <w:vAlign w:val="center"/>
          </w:tcPr>
          <w:p>
            <w:pPr>
              <w:spacing w:after="0" w:before="0"/>
            </w:pPr>
            <w:r/>
            <w:r>
              <w:rPr>
                <w:rFonts w:ascii="Arial" w:hAnsi="Arial"/>
                <w:b w:val="0"/>
                <w:i w:val="0"/>
                <w:color w:val="202833"/>
                <w:sz w:val="17"/>
              </w:rPr>
              <w:t>Sample input reached Kafka successfully.</w:t>
            </w:r>
          </w:p>
        </w:tc>
      </w:tr>
      <w:tr>
        <w:trPr>
          <w:cantSplit/>
        </w:trPr>
        <w:tc>
          <w:tcPr>
            <w:tcW w:type="dxa" w:w="2016"/>
            <w:vAlign w:val="center"/>
            <w:shd w:fill="F3F5F7"/>
          </w:tcPr>
          <w:p>
            <w:pPr>
              <w:spacing w:after="0" w:before="0"/>
            </w:pPr>
            <w:r/>
            <w:r>
              <w:rPr>
                <w:rFonts w:ascii="Arial" w:hAnsi="Arial"/>
                <w:b w:val="0"/>
                <w:i w:val="0"/>
                <w:color w:val="202833"/>
                <w:sz w:val="17"/>
              </w:rPr>
              <w:t>Processor run</w:t>
            </w:r>
          </w:p>
        </w:tc>
        <w:tc>
          <w:tcPr>
            <w:tcW w:type="dxa" w:w="3672"/>
            <w:vAlign w:val="center"/>
            <w:shd w:fill="F3F5F7"/>
          </w:tcPr>
          <w:p>
            <w:pPr>
              <w:spacing w:after="0" w:before="0"/>
            </w:pPr>
            <w:r/>
            <w:r>
              <w:rPr>
                <w:rFonts w:ascii="Arial" w:hAnsi="Arial"/>
                <w:b w:val="0"/>
                <w:i w:val="0"/>
                <w:color w:val="202833"/>
                <w:sz w:val="17"/>
              </w:rPr>
              <w:t>85 aggregate updates; 15 filtered; 0 processing errors</w:t>
            </w:r>
          </w:p>
        </w:tc>
        <w:tc>
          <w:tcPr>
            <w:tcW w:type="dxa" w:w="4464"/>
            <w:vAlign w:val="center"/>
            <w:shd w:fill="F3F5F7"/>
          </w:tcPr>
          <w:p>
            <w:pPr>
              <w:spacing w:after="0" w:before="0"/>
            </w:pPr>
            <w:r/>
            <w:r>
              <w:rPr>
                <w:rFonts w:ascii="Arial" w:hAnsi="Arial"/>
                <w:b w:val="0"/>
                <w:i w:val="0"/>
                <w:color w:val="202833"/>
                <w:sz w:val="17"/>
              </w:rPr>
              <w:t>Filter and output path handled all 100 records.</w:t>
            </w:r>
          </w:p>
        </w:tc>
      </w:tr>
      <w:tr>
        <w:trPr>
          <w:cantSplit/>
        </w:trPr>
        <w:tc>
          <w:tcPr>
            <w:tcW w:type="dxa" w:w="2016"/>
            <w:vAlign w:val="center"/>
          </w:tcPr>
          <w:p>
            <w:pPr>
              <w:spacing w:after="0" w:before="0"/>
            </w:pPr>
            <w:r/>
            <w:r>
              <w:rPr>
                <w:rFonts w:ascii="Arial" w:hAnsi="Arial"/>
                <w:b w:val="0"/>
                <w:i w:val="0"/>
                <w:color w:val="202833"/>
                <w:sz w:val="17"/>
              </w:rPr>
              <w:t>Consumer group</w:t>
            </w:r>
          </w:p>
        </w:tc>
        <w:tc>
          <w:tcPr>
            <w:tcW w:type="dxa" w:w="3672"/>
            <w:vAlign w:val="center"/>
          </w:tcPr>
          <w:p>
            <w:pPr>
              <w:spacing w:after="0" w:before="0"/>
            </w:pPr>
            <w:r/>
            <w:r>
              <w:rPr>
                <w:rFonts w:ascii="Arial" w:hAnsi="Arial"/>
                <w:b w:val="0"/>
                <w:i w:val="0"/>
                <w:color w:val="202833"/>
                <w:sz w:val="17"/>
              </w:rPr>
              <w:t>One active member assigned 20 partitions; lag 0</w:t>
            </w:r>
          </w:p>
        </w:tc>
        <w:tc>
          <w:tcPr>
            <w:tcW w:type="dxa" w:w="4464"/>
            <w:vAlign w:val="center"/>
          </w:tcPr>
          <w:p>
            <w:pPr>
              <w:spacing w:after="0" w:before="0"/>
            </w:pPr>
            <w:r/>
            <w:r>
              <w:rPr>
                <w:rFonts w:ascii="Arial" w:hAnsi="Arial"/>
                <w:b w:val="0"/>
                <w:i w:val="0"/>
                <w:color w:val="202833"/>
                <w:sz w:val="17"/>
              </w:rPr>
              <w:t>Processor caught up with the input topic.</w:t>
            </w:r>
          </w:p>
        </w:tc>
      </w:tr>
      <w:tr>
        <w:trPr>
          <w:cantSplit/>
        </w:trPr>
        <w:tc>
          <w:tcPr>
            <w:tcW w:type="dxa" w:w="2016"/>
            <w:vAlign w:val="center"/>
            <w:shd w:fill="F3F5F7"/>
          </w:tcPr>
          <w:p>
            <w:pPr>
              <w:spacing w:after="0" w:before="0"/>
            </w:pPr>
            <w:r/>
            <w:r>
              <w:rPr>
                <w:rFonts w:ascii="Arial" w:hAnsi="Arial"/>
                <w:b w:val="0"/>
                <w:i w:val="0"/>
                <w:color w:val="202833"/>
                <w:sz w:val="17"/>
              </w:rPr>
              <w:t>Recovery restart</w:t>
            </w:r>
          </w:p>
        </w:tc>
        <w:tc>
          <w:tcPr>
            <w:tcW w:type="dxa" w:w="3672"/>
            <w:vAlign w:val="center"/>
            <w:shd w:fill="F3F5F7"/>
          </w:tcPr>
          <w:p>
            <w:pPr>
              <w:spacing w:after="0" w:before="0"/>
            </w:pPr>
            <w:r/>
            <w:r>
              <w:rPr>
                <w:rFonts w:ascii="Arial" w:hAnsi="Arial"/>
                <w:b w:val="0"/>
                <w:i w:val="0"/>
                <w:color w:val="202833"/>
                <w:sz w:val="17"/>
              </w:rPr>
              <w:t>94 changelog snapshots replayed</w:t>
            </w:r>
          </w:p>
        </w:tc>
        <w:tc>
          <w:tcPr>
            <w:tcW w:type="dxa" w:w="4464"/>
            <w:vAlign w:val="center"/>
            <w:shd w:fill="F3F5F7"/>
          </w:tcPr>
          <w:p>
            <w:pPr>
              <w:spacing w:after="0" w:before="0"/>
            </w:pPr>
            <w:r/>
            <w:r>
              <w:rPr>
                <w:rFonts w:ascii="Arial" w:hAnsi="Arial"/>
                <w:b w:val="0"/>
                <w:i w:val="0"/>
                <w:color w:val="202833"/>
                <w:sz w:val="17"/>
              </w:rPr>
              <w:t>RocksDB restored from broker state after process restart.</w:t>
            </w:r>
          </w:p>
        </w:tc>
      </w:tr>
      <w:tr>
        <w:trPr>
          <w:cantSplit/>
        </w:trPr>
        <w:tc>
          <w:tcPr>
            <w:tcW w:type="dxa" w:w="2016"/>
            <w:vAlign w:val="center"/>
          </w:tcPr>
          <w:p>
            <w:pPr>
              <w:spacing w:after="0" w:before="0"/>
            </w:pPr>
            <w:r/>
            <w:r>
              <w:rPr>
                <w:rFonts w:ascii="Arial" w:hAnsi="Arial"/>
                <w:b w:val="0"/>
                <w:i w:val="0"/>
                <w:color w:val="202833"/>
                <w:sz w:val="17"/>
              </w:rPr>
              <w:t>Unit tests</w:t>
            </w:r>
          </w:p>
        </w:tc>
        <w:tc>
          <w:tcPr>
            <w:tcW w:type="dxa" w:w="3672"/>
            <w:vAlign w:val="center"/>
          </w:tcPr>
          <w:p>
            <w:pPr>
              <w:spacing w:after="0" w:before="0"/>
            </w:pPr>
            <w:r/>
            <w:r>
              <w:rPr>
                <w:rFonts w:ascii="Arial" w:hAnsi="Arial"/>
                <w:b w:val="0"/>
                <w:i w:val="0"/>
                <w:color w:val="202833"/>
                <w:sz w:val="17"/>
              </w:rPr>
              <w:t>9 passed</w:t>
            </w:r>
          </w:p>
        </w:tc>
        <w:tc>
          <w:tcPr>
            <w:tcW w:type="dxa" w:w="4464"/>
            <w:vAlign w:val="center"/>
          </w:tcPr>
          <w:p>
            <w:pPr>
              <w:spacing w:after="0" w:before="0"/>
            </w:pPr>
            <w:r/>
            <w:r>
              <w:rPr>
                <w:rFonts w:ascii="Arial" w:hAnsi="Arial"/>
                <w:b w:val="0"/>
                <w:i w:val="0"/>
                <w:color w:val="202833"/>
                <w:sz w:val="17"/>
              </w:rPr>
              <w:t>Producer contract, event parsing, five-minute boundary, aggregate average, RocksDB persistence, and changelog restore.</w:t>
            </w:r>
          </w:p>
        </w:tc>
      </w:tr>
      <w:tr>
        <w:trPr>
          <w:cantSplit/>
        </w:trPr>
        <w:tc>
          <w:tcPr>
            <w:tcW w:type="dxa" w:w="2016"/>
            <w:vAlign w:val="center"/>
            <w:shd w:fill="F3F5F7"/>
          </w:tcPr>
          <w:p>
            <w:pPr>
              <w:spacing w:after="0" w:before="0"/>
            </w:pPr>
            <w:r/>
            <w:r>
              <w:rPr>
                <w:rFonts w:ascii="Arial" w:hAnsi="Arial"/>
                <w:b w:val="0"/>
                <w:i w:val="0"/>
                <w:color w:val="202833"/>
                <w:sz w:val="17"/>
              </w:rPr>
              <w:t>Frontend build</w:t>
            </w:r>
          </w:p>
        </w:tc>
        <w:tc>
          <w:tcPr>
            <w:tcW w:type="dxa" w:w="3672"/>
            <w:vAlign w:val="center"/>
            <w:shd w:fill="F3F5F7"/>
          </w:tcPr>
          <w:p>
            <w:pPr>
              <w:spacing w:after="0" w:before="0"/>
            </w:pPr>
            <w:r/>
            <w:r>
              <w:rPr>
                <w:rFonts w:ascii="Arial" w:hAnsi="Arial"/>
                <w:b w:val="0"/>
                <w:i w:val="0"/>
                <w:color w:val="202833"/>
                <w:sz w:val="17"/>
              </w:rPr>
              <w:t>Optimized React production build compiled successfully</w:t>
            </w:r>
          </w:p>
        </w:tc>
        <w:tc>
          <w:tcPr>
            <w:tcW w:type="dxa" w:w="4464"/>
            <w:vAlign w:val="center"/>
            <w:shd w:fill="F3F5F7"/>
          </w:tcPr>
          <w:p>
            <w:pPr>
              <w:spacing w:after="0" w:before="0"/>
            </w:pPr>
            <w:r/>
            <w:r>
              <w:rPr>
                <w:rFonts w:ascii="Arial" w:hAnsi="Arial"/>
                <w:b w:val="0"/>
                <w:i w:val="0"/>
                <w:color w:val="202833"/>
                <w:sz w:val="17"/>
              </w:rPr>
              <w:t>All frontend imports and JSX compiled.</w:t>
            </w:r>
          </w:p>
        </w:tc>
      </w:tr>
    </w:tbl>
    <w:p>
      <w:pPr>
        <w:spacing w:after="20"/>
      </w:pPr>
    </w:p>
    <w:p>
      <w:pPr>
        <w:pStyle w:val="Heading2"/>
        <w:keepNext/>
        <w:spacing w:before="120" w:after="80"/>
      </w:pPr>
      <w:r>
        <w:rPr>
          <w:rFonts w:ascii="Arial" w:hAnsi="Arial"/>
          <w:b/>
          <w:i w:val="0"/>
          <w:color w:val="2E75B6"/>
          <w:sz w:val="23"/>
        </w:rPr>
        <w:t>Local startup</w:t>
      </w:r>
    </w:p>
    <w:p>
      <w:pPr>
        <w:spacing w:after="100" w:line="259" w:lineRule="auto"/>
      </w:pPr>
      <w:r>
        <w:rPr>
          <w:rFonts w:ascii="Arial" w:hAnsi="Arial"/>
          <w:b w:val="0"/>
          <w:i w:val="0"/>
          <w:color w:val="202833"/>
          <w:sz w:val="19"/>
        </w:rPr>
        <w:t>Run the following services in separate terminals from the repository root (except the UI command):</w:t>
      </w:r>
    </w:p>
    <w:p>
      <w:pPr>
        <w:spacing w:after="0" w:line="240" w:lineRule="auto"/>
        <w:ind w:left="216"/>
      </w:pPr>
      <w:r>
        <w:rPr>
          <w:rFonts w:ascii="Arial" w:hAnsi="Arial"/>
          <w:b w:val="0"/>
          <w:i w:val="0"/>
          <w:color w:val="17365D"/>
          <w:sz w:val="16"/>
        </w:rPr>
        <w:t>.venv\Scripts\python.exe -m pip install -r requirements.txt</w:t>
      </w:r>
    </w:p>
    <w:p>
      <w:pPr>
        <w:spacing w:after="0" w:line="240" w:lineRule="auto"/>
        <w:ind w:left="216"/>
      </w:pPr>
      <w:r>
        <w:rPr>
          <w:rFonts w:ascii="Arial" w:hAnsi="Arial"/>
          <w:b w:val="0"/>
          <w:i w:val="0"/>
          <w:color w:val="17365D"/>
          <w:sz w:val="16"/>
        </w:rPr>
        <w:t>docker compose -f kafka/docker-compose.yml up -d</w:t>
      </w:r>
    </w:p>
    <w:p>
      <w:pPr>
        <w:spacing w:after="0" w:line="240" w:lineRule="auto"/>
        <w:ind w:left="216"/>
      </w:pPr>
      <w:r>
        <w:rPr>
          <w:rFonts w:ascii="Arial" w:hAnsi="Arial"/>
          <w:b w:val="0"/>
          <w:i w:val="0"/>
          <w:color w:val="17365D"/>
          <w:sz w:val="16"/>
        </w:rPr>
        <w:t>.venv\Scripts\python.exe kafka\topic_setup.py</w:t>
      </w:r>
    </w:p>
    <w:p>
      <w:pPr>
        <w:spacing w:after="0" w:line="240" w:lineRule="auto"/>
        <w:ind w:left="216"/>
      </w:pPr>
      <w:r>
        <w:rPr>
          <w:rFonts w:ascii="Arial" w:hAnsi="Arial"/>
          <w:b w:val="0"/>
          <w:i w:val="0"/>
          <w:color w:val="17365D"/>
          <w:sz w:val="16"/>
        </w:rPr>
        <w:t>.venv\Scripts\python.exe -m faust.processor</w:t>
      </w:r>
    </w:p>
    <w:p>
      <w:pPr>
        <w:spacing w:after="0" w:line="240" w:lineRule="auto"/>
        <w:ind w:left="216"/>
      </w:pPr>
      <w:r>
        <w:rPr>
          <w:rFonts w:ascii="Arial" w:hAnsi="Arial"/>
          <w:b w:val="0"/>
          <w:i w:val="0"/>
          <w:color w:val="17365D"/>
          <w:sz w:val="16"/>
        </w:rPr>
        <w:t>.venv\Scripts\python.exe -m uvicorn backend.api:app --reload --port 8000</w:t>
      </w:r>
    </w:p>
    <w:p>
      <w:pPr>
        <w:spacing w:after="0" w:line="240" w:lineRule="auto"/>
        <w:ind w:left="216"/>
      </w:pPr>
      <w:r>
        <w:rPr>
          <w:rFonts w:ascii="Arial" w:hAnsi="Arial"/>
          <w:b w:val="0"/>
          <w:i w:val="0"/>
          <w:color w:val="17365D"/>
          <w:sz w:val="16"/>
        </w:rPr>
        <w:t>cd ui &amp;&amp; npm install &amp;&amp; npm start</w:t>
      </w:r>
    </w:p>
    <w:p>
      <w:pPr>
        <w:spacing w:after="100" w:line="259" w:lineRule="auto"/>
      </w:pPr>
      <w:r>
        <w:rPr>
          <w:rFonts w:ascii="Arial" w:hAnsi="Arial"/>
          <w:b w:val="0"/>
          <w:i w:val="0"/>
          <w:color w:val="202833"/>
          <w:sz w:val="19"/>
        </w:rPr>
        <w:t>Produce sample input in an additional terminal with `.venv\Scripts\python.exe kafka\producer.py --duration 60 --rate 1000`. The UI is available at `http://localhost:3000`; the API is at `http://localhost:8000`; processor metrics are at `http://localhost:8000/metrics`.</w:t>
      </w:r>
    </w:p>
    <w:p>
      <w:pPr>
        <w:pStyle w:val="Heading2"/>
        <w:keepNext/>
        <w:spacing w:before="120" w:after="80"/>
      </w:pPr>
      <w:r>
        <w:rPr>
          <w:rFonts w:ascii="Arial" w:hAnsi="Arial"/>
          <w:b/>
          <w:i w:val="0"/>
          <w:color w:val="2E75B6"/>
          <w:sz w:val="23"/>
        </w:rPr>
        <w:t>Test and audit commands</w:t>
      </w:r>
    </w:p>
    <w:p>
      <w:pPr>
        <w:spacing w:after="0" w:line="240" w:lineRule="auto"/>
        <w:ind w:left="216"/>
      </w:pPr>
      <w:r>
        <w:rPr>
          <w:rFonts w:ascii="Arial" w:hAnsi="Arial"/>
          <w:b w:val="0"/>
          <w:i w:val="0"/>
          <w:color w:val="17365D"/>
          <w:sz w:val="16"/>
        </w:rPr>
        <w:t>.venv\Scripts\python.exe -m pytest -q -p no:cacheprovider --basetemp .venv\test-tmp tests\test_kafka_producer.py tests\test_processor.py tests\test_state_store.py</w:t>
      </w:r>
    </w:p>
    <w:p>
      <w:pPr>
        <w:spacing w:after="0" w:line="240" w:lineRule="auto"/>
        <w:ind w:left="216"/>
      </w:pPr>
      <w:r>
        <w:rPr>
          <w:rFonts w:ascii="Arial" w:hAnsi="Arial"/>
          <w:b w:val="0"/>
          <w:i w:val="0"/>
          <w:color w:val="17365D"/>
          <w:sz w:val="16"/>
        </w:rPr>
        <w:t>.venv\Scripts\python.exe kafka\throughput_audit.py --topic truck-telemetry --events 100000</w:t>
      </w:r>
    </w:p>
    <w:p>
      <w:pPr>
        <w:spacing w:after="0" w:line="240" w:lineRule="auto"/>
        <w:ind w:left="216"/>
      </w:pPr>
      <w:r>
        <w:rPr>
          <w:rFonts w:ascii="Arial" w:hAnsi="Arial"/>
          <w:b w:val="0"/>
          <w:i w:val="0"/>
          <w:color w:val="17365D"/>
          <w:sz w:val="16"/>
        </w:rPr>
        <w:t>cd ui &amp;&amp; npm run build</w:t>
      </w:r>
    </w:p>
    <w:p>
      <w:r>
        <w:br w:type="page"/>
      </w:r>
    </w:p>
    <w:p>
      <w:pPr>
        <w:pStyle w:val="Heading1"/>
        <w:keepNext/>
        <w:spacing w:before="180" w:after="80"/>
      </w:pPr>
      <w:r>
        <w:rPr>
          <w:rFonts w:ascii="Arial" w:hAnsi="Arial"/>
          <w:b/>
          <w:i w:val="0"/>
          <w:color w:val="17365D"/>
          <w:sz w:val="30"/>
        </w:rPr>
        <w:t>5  Scope, limitations, and next steps</w:t>
      </w:r>
    </w:p>
    <w:p>
      <w:pPr>
        <w:pStyle w:val="Heading2"/>
        <w:keepNext/>
        <w:spacing w:before="120" w:after="80"/>
      </w:pPr>
      <w:r>
        <w:rPr>
          <w:rFonts w:ascii="Arial" w:hAnsi="Arial"/>
          <w:b/>
          <w:i w:val="0"/>
          <w:color w:val="2E75B6"/>
          <w:sz w:val="23"/>
        </w:rPr>
        <w:t>Completed scope</w:t>
      </w:r>
    </w:p>
    <w:p>
      <w:pPr>
        <w:spacing w:after="100" w:line="259" w:lineRule="auto"/>
      </w:pPr>
      <w:r>
        <w:rPr>
          <w:rFonts w:ascii="Arial" w:hAnsi="Arial"/>
          <w:b w:val="0"/>
          <w:i w:val="0"/>
          <w:color w:val="202833"/>
          <w:sz w:val="19"/>
        </w:rPr>
        <w:t>The local demonstration scope is implemented: Kafka setup and producer, schema checks, transactional filter-and-window processing, RocksDB state, a compacted changelog, API monitoring endpoints, Prometheus-format processor metrics, and a real-data dashboard. The project can be started locally using the commands in this report and the repository README.</w:t>
      </w:r>
    </w:p>
    <w:p>
      <w:pPr>
        <w:pStyle w:val="Heading2"/>
        <w:keepNext/>
        <w:spacing w:before="120" w:after="80"/>
      </w:pPr>
      <w:r>
        <w:rPr>
          <w:rFonts w:ascii="Arial" w:hAnsi="Arial"/>
          <w:b/>
          <w:i w:val="0"/>
          <w:color w:val="2E75B6"/>
          <w:sz w:val="23"/>
        </w:rPr>
        <w:t>Known limitations</w:t>
      </w:r>
    </w:p>
    <w:p>
      <w:pPr>
        <w:pStyle w:val="ListBullet"/>
        <w:spacing w:after="60" w:line="252" w:lineRule="auto"/>
        <w:ind w:left="317" w:hanging="202"/>
      </w:pPr>
      <w:r>
        <w:rPr>
          <w:rFonts w:ascii="Arial" w:hAnsi="Arial"/>
          <w:b w:val="0"/>
          <w:i w:val="0"/>
          <w:color w:val="202833"/>
          <w:sz w:val="18"/>
        </w:rPr>
        <w:t>Fault recovery was checked by restarting the processor and replaying 94 changelog snapshots. A deliberate kill during an in-flight Kafka transaction and automated assertion of no duplicates/loss were not run.</w:t>
      </w:r>
    </w:p>
    <w:p>
      <w:pPr>
        <w:pStyle w:val="ListBullet"/>
        <w:spacing w:after="60" w:line="252" w:lineRule="auto"/>
        <w:ind w:left="317" w:hanging="202"/>
      </w:pPr>
      <w:r>
        <w:rPr>
          <w:rFonts w:ascii="Arial" w:hAnsi="Arial"/>
          <w:b w:val="0"/>
          <w:i w:val="0"/>
          <w:color w:val="202833"/>
          <w:sz w:val="18"/>
        </w:rPr>
        <w:t>The local setup uses one Kafka broker and one processor member. Multi-instance reassignment, concurrent local state restoration, broker loss, and production durability have not been validated.</w:t>
      </w:r>
    </w:p>
    <w:p>
      <w:pPr>
        <w:pStyle w:val="ListBullet"/>
        <w:spacing w:after="60" w:line="252" w:lineRule="auto"/>
        <w:ind w:left="317" w:hanging="202"/>
      </w:pPr>
      <w:r>
        <w:rPr>
          <w:rFonts w:ascii="Arial" w:hAnsi="Arial"/>
          <w:b w:val="0"/>
          <w:i w:val="0"/>
          <w:color w:val="202833"/>
          <w:sz w:val="18"/>
        </w:rPr>
        <w:t>CPU and memory values are not collected. Processor throughput is reported as a short sampling-window rate; initial rate is blank until a second sample arrives.</w:t>
      </w:r>
    </w:p>
    <w:p>
      <w:pPr>
        <w:pStyle w:val="ListBullet"/>
        <w:spacing w:after="60" w:line="252" w:lineRule="auto"/>
        <w:ind w:left="317" w:hanging="202"/>
      </w:pPr>
      <w:r>
        <w:rPr>
          <w:rFonts w:ascii="Arial" w:hAnsi="Arial"/>
          <w:b w:val="0"/>
          <w:i w:val="0"/>
          <w:color w:val="202833"/>
          <w:sz w:val="18"/>
        </w:rPr>
        <w:t>Malformed telemetry is logged, counted, and skipped by committing its source offset. There is no dead-letter topic or replay workflow for invalid payloads.</w:t>
      </w:r>
    </w:p>
    <w:p>
      <w:pPr>
        <w:pStyle w:val="ListBullet"/>
        <w:spacing w:after="60" w:line="252" w:lineRule="auto"/>
        <w:ind w:left="317" w:hanging="202"/>
      </w:pPr>
      <w:r>
        <w:rPr>
          <w:rFonts w:ascii="Arial" w:hAnsi="Arial"/>
          <w:b w:val="0"/>
          <w:i w:val="0"/>
          <w:color w:val="202833"/>
          <w:sz w:val="18"/>
        </w:rPr>
        <w:t>The producer creates sample telemetry. A real fleet source must publish the documented event schema to Kafka. Security, authentication, TLS, multi-broker replication, retention, and deployment automation are not configured.</w:t>
      </w:r>
    </w:p>
    <w:p>
      <w:pPr>
        <w:pStyle w:val="Heading2"/>
        <w:keepNext/>
        <w:spacing w:before="120" w:after="80"/>
      </w:pPr>
      <w:r>
        <w:rPr>
          <w:rFonts w:ascii="Arial" w:hAnsi="Arial"/>
          <w:b/>
          <w:i w:val="0"/>
          <w:color w:val="2E75B6"/>
          <w:sz w:val="23"/>
        </w:rPr>
        <w:t>Recommended next work</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vAlign w:val="center"/>
            <w:shd w:fill="17365D"/>
          </w:tcPr>
          <w:p>
            <w:pPr>
              <w:spacing w:after="0" w:before="0"/>
            </w:pPr>
            <w:r/>
            <w:r>
              <w:rPr>
                <w:rFonts w:ascii="Arial" w:hAnsi="Arial"/>
                <w:b/>
                <w:i w:val="0"/>
                <w:color w:val="FFFFFF"/>
                <w:sz w:val="18"/>
              </w:rPr>
              <w:t>Priority</w:t>
            </w:r>
          </w:p>
        </w:tc>
        <w:tc>
          <w:tcPr>
            <w:tcW w:type="dxa" w:w="4896"/>
            <w:vAlign w:val="center"/>
            <w:shd w:fill="17365D"/>
          </w:tcPr>
          <w:p>
            <w:pPr>
              <w:spacing w:after="0" w:before="0"/>
            </w:pPr>
            <w:r/>
            <w:r>
              <w:rPr>
                <w:rFonts w:ascii="Arial" w:hAnsi="Arial"/>
                <w:b/>
                <w:i w:val="0"/>
                <w:color w:val="FFFFFF"/>
                <w:sz w:val="18"/>
              </w:rPr>
              <w:t>Work item</w:t>
            </w:r>
          </w:p>
        </w:tc>
        <w:tc>
          <w:tcPr>
            <w:tcW w:type="dxa" w:w="4320"/>
            <w:vAlign w:val="center"/>
            <w:shd w:fill="17365D"/>
          </w:tcPr>
          <w:p>
            <w:pPr>
              <w:spacing w:after="0" w:before="0"/>
            </w:pPr>
            <w:r/>
            <w:r>
              <w:rPr>
                <w:rFonts w:ascii="Arial" w:hAnsi="Arial"/>
                <w:b/>
                <w:i w:val="0"/>
                <w:color w:val="FFFFFF"/>
                <w:sz w:val="18"/>
              </w:rPr>
              <w:t>Acceptance evidence</w:t>
            </w:r>
          </w:p>
        </w:tc>
      </w:tr>
      <w:tr>
        <w:trPr>
          <w:cantSplit/>
        </w:trPr>
        <w:tc>
          <w:tcPr>
            <w:tcW w:type="dxa" w:w="936"/>
            <w:vAlign w:val="center"/>
          </w:tcPr>
          <w:p>
            <w:pPr>
              <w:spacing w:after="0" w:before="0"/>
            </w:pPr>
            <w:r/>
            <w:r>
              <w:rPr>
                <w:rFonts w:ascii="Arial" w:hAnsi="Arial"/>
                <w:b w:val="0"/>
                <w:i w:val="0"/>
                <w:color w:val="202833"/>
                <w:sz w:val="17"/>
              </w:rPr>
              <w:t>1</w:t>
            </w:r>
          </w:p>
        </w:tc>
        <w:tc>
          <w:tcPr>
            <w:tcW w:type="dxa" w:w="4896"/>
            <w:vAlign w:val="center"/>
          </w:tcPr>
          <w:p>
            <w:pPr>
              <w:spacing w:after="0" w:before="0"/>
            </w:pPr>
            <w:r/>
            <w:r>
              <w:rPr>
                <w:rFonts w:ascii="Arial" w:hAnsi="Arial"/>
                <w:b w:val="0"/>
                <w:i w:val="0"/>
                <w:color w:val="202833"/>
                <w:sz w:val="17"/>
              </w:rPr>
              <w:t>Add a dead-letter topic and inspect/replay controls for malformed records.</w:t>
            </w:r>
          </w:p>
        </w:tc>
        <w:tc>
          <w:tcPr>
            <w:tcW w:type="dxa" w:w="4320"/>
            <w:vAlign w:val="center"/>
          </w:tcPr>
          <w:p>
            <w:pPr>
              <w:spacing w:after="0" w:before="0"/>
            </w:pPr>
            <w:r/>
            <w:r>
              <w:rPr>
                <w:rFonts w:ascii="Arial" w:hAnsi="Arial"/>
                <w:b w:val="0"/>
                <w:i w:val="0"/>
                <w:color w:val="202833"/>
                <w:sz w:val="17"/>
              </w:rPr>
              <w:t>Invalid event appears once in DLQ; valid input processing continues.</w:t>
            </w:r>
          </w:p>
        </w:tc>
      </w:tr>
      <w:tr>
        <w:trPr>
          <w:cantSplit/>
        </w:trPr>
        <w:tc>
          <w:tcPr>
            <w:tcW w:type="dxa" w:w="936"/>
            <w:vAlign w:val="center"/>
            <w:shd w:fill="F3F5F7"/>
          </w:tcPr>
          <w:p>
            <w:pPr>
              <w:spacing w:after="0" w:before="0"/>
            </w:pPr>
            <w:r/>
            <w:r>
              <w:rPr>
                <w:rFonts w:ascii="Arial" w:hAnsi="Arial"/>
                <w:b w:val="0"/>
                <w:i w:val="0"/>
                <w:color w:val="202833"/>
                <w:sz w:val="17"/>
              </w:rPr>
              <w:t>2</w:t>
            </w:r>
          </w:p>
        </w:tc>
        <w:tc>
          <w:tcPr>
            <w:tcW w:type="dxa" w:w="4896"/>
            <w:vAlign w:val="center"/>
            <w:shd w:fill="F3F5F7"/>
          </w:tcPr>
          <w:p>
            <w:pPr>
              <w:spacing w:after="0" w:before="0"/>
            </w:pPr>
            <w:r/>
            <w:r>
              <w:rPr>
                <w:rFonts w:ascii="Arial" w:hAnsi="Arial"/>
                <w:b w:val="0"/>
                <w:i w:val="0"/>
                <w:color w:val="202833"/>
                <w:sz w:val="17"/>
              </w:rPr>
              <w:t>Automate crash-in-transaction and consumer-rebalance tests with an isolated Kafka test stack.</w:t>
            </w:r>
          </w:p>
        </w:tc>
        <w:tc>
          <w:tcPr>
            <w:tcW w:type="dxa" w:w="4320"/>
            <w:vAlign w:val="center"/>
            <w:shd w:fill="F3F5F7"/>
          </w:tcPr>
          <w:p>
            <w:pPr>
              <w:spacing w:after="0" w:before="0"/>
            </w:pPr>
            <w:r/>
            <w:r>
              <w:rPr>
                <w:rFonts w:ascii="Arial" w:hAnsi="Arial"/>
                <w:b w:val="0"/>
                <w:i w:val="0"/>
                <w:color w:val="202833"/>
                <w:sz w:val="17"/>
              </w:rPr>
              <w:t>Input/output/changelog counts reconcile after repeated forced restarts.</w:t>
            </w:r>
          </w:p>
        </w:tc>
      </w:tr>
      <w:tr>
        <w:trPr>
          <w:cantSplit/>
        </w:trPr>
        <w:tc>
          <w:tcPr>
            <w:tcW w:type="dxa" w:w="936"/>
            <w:vAlign w:val="center"/>
          </w:tcPr>
          <w:p>
            <w:pPr>
              <w:spacing w:after="0" w:before="0"/>
            </w:pPr>
            <w:r/>
            <w:r>
              <w:rPr>
                <w:rFonts w:ascii="Arial" w:hAnsi="Arial"/>
                <w:b w:val="0"/>
                <w:i w:val="0"/>
                <w:color w:val="202833"/>
                <w:sz w:val="17"/>
              </w:rPr>
              <w:t>3</w:t>
            </w:r>
          </w:p>
        </w:tc>
        <w:tc>
          <w:tcPr>
            <w:tcW w:type="dxa" w:w="4896"/>
            <w:vAlign w:val="center"/>
          </w:tcPr>
          <w:p>
            <w:pPr>
              <w:spacing w:after="0" w:before="0"/>
            </w:pPr>
            <w:r/>
            <w:r>
              <w:rPr>
                <w:rFonts w:ascii="Arial" w:hAnsi="Arial"/>
                <w:b w:val="0"/>
                <w:i w:val="0"/>
                <w:color w:val="202833"/>
                <w:sz w:val="17"/>
              </w:rPr>
              <w:t>Validate state restore per assigned partition with multiple processor instances.</w:t>
            </w:r>
          </w:p>
        </w:tc>
        <w:tc>
          <w:tcPr>
            <w:tcW w:type="dxa" w:w="4320"/>
            <w:vAlign w:val="center"/>
          </w:tcPr>
          <w:p>
            <w:pPr>
              <w:spacing w:after="0" w:before="0"/>
            </w:pPr>
            <w:r/>
            <w:r>
              <w:rPr>
                <w:rFonts w:ascii="Arial" w:hAnsi="Arial"/>
                <w:b w:val="0"/>
                <w:i w:val="0"/>
                <w:color w:val="202833"/>
                <w:sz w:val="17"/>
              </w:rPr>
              <w:t>Scale-up/scale-down tests preserve per-truck window totals without duplicates.</w:t>
            </w:r>
          </w:p>
        </w:tc>
      </w:tr>
      <w:tr>
        <w:trPr>
          <w:cantSplit/>
        </w:trPr>
        <w:tc>
          <w:tcPr>
            <w:tcW w:type="dxa" w:w="936"/>
            <w:vAlign w:val="center"/>
            <w:shd w:fill="F3F5F7"/>
          </w:tcPr>
          <w:p>
            <w:pPr>
              <w:spacing w:after="0" w:before="0"/>
            </w:pPr>
            <w:r/>
            <w:r>
              <w:rPr>
                <w:rFonts w:ascii="Arial" w:hAnsi="Arial"/>
                <w:b w:val="0"/>
                <w:i w:val="0"/>
                <w:color w:val="202833"/>
                <w:sz w:val="17"/>
              </w:rPr>
              <w:t>4</w:t>
            </w:r>
          </w:p>
        </w:tc>
        <w:tc>
          <w:tcPr>
            <w:tcW w:type="dxa" w:w="4896"/>
            <w:vAlign w:val="center"/>
            <w:shd w:fill="F3F5F7"/>
          </w:tcPr>
          <w:p>
            <w:pPr>
              <w:spacing w:after="0" w:before="0"/>
            </w:pPr>
            <w:r/>
            <w:r>
              <w:rPr>
                <w:rFonts w:ascii="Arial" w:hAnsi="Arial"/>
                <w:b w:val="0"/>
                <w:i w:val="0"/>
                <w:color w:val="202833"/>
                <w:sz w:val="17"/>
              </w:rPr>
              <w:t>Add host resource collection and stale-metric detection.</w:t>
            </w:r>
          </w:p>
        </w:tc>
        <w:tc>
          <w:tcPr>
            <w:tcW w:type="dxa" w:w="4320"/>
            <w:vAlign w:val="center"/>
            <w:shd w:fill="F3F5F7"/>
          </w:tcPr>
          <w:p>
            <w:pPr>
              <w:spacing w:after="0" w:before="0"/>
            </w:pPr>
            <w:r/>
            <w:r>
              <w:rPr>
                <w:rFonts w:ascii="Arial" w:hAnsi="Arial"/>
                <w:b w:val="0"/>
                <w:i w:val="0"/>
                <w:color w:val="202833"/>
                <w:sz w:val="17"/>
              </w:rPr>
              <w:t>CPU/memory and metric freshness displayed from real collectors.</w:t>
            </w:r>
          </w:p>
        </w:tc>
      </w:tr>
      <w:tr>
        <w:trPr>
          <w:cantSplit/>
        </w:trPr>
        <w:tc>
          <w:tcPr>
            <w:tcW w:type="dxa" w:w="936"/>
            <w:vAlign w:val="center"/>
          </w:tcPr>
          <w:p>
            <w:pPr>
              <w:spacing w:after="0" w:before="0"/>
            </w:pPr>
            <w:r/>
            <w:r>
              <w:rPr>
                <w:rFonts w:ascii="Arial" w:hAnsi="Arial"/>
                <w:b w:val="0"/>
                <w:i w:val="0"/>
                <w:color w:val="202833"/>
                <w:sz w:val="17"/>
              </w:rPr>
              <w:t>5</w:t>
            </w:r>
          </w:p>
        </w:tc>
        <w:tc>
          <w:tcPr>
            <w:tcW w:type="dxa" w:w="4896"/>
            <w:vAlign w:val="center"/>
          </w:tcPr>
          <w:p>
            <w:pPr>
              <w:spacing w:after="0" w:before="0"/>
            </w:pPr>
            <w:r/>
            <w:r>
              <w:rPr>
                <w:rFonts w:ascii="Arial" w:hAnsi="Arial"/>
                <w:b w:val="0"/>
                <w:i w:val="0"/>
                <w:color w:val="202833"/>
                <w:sz w:val="17"/>
              </w:rPr>
              <w:t>Prepare deployment settings for replicated Kafka, credentials, TLS, health checks, and persistent state volumes.</w:t>
            </w:r>
          </w:p>
        </w:tc>
        <w:tc>
          <w:tcPr>
            <w:tcW w:type="dxa" w:w="4320"/>
            <w:vAlign w:val="center"/>
          </w:tcPr>
          <w:p>
            <w:pPr>
              <w:spacing w:after="0" w:before="0"/>
            </w:pPr>
            <w:r/>
            <w:r>
              <w:rPr>
                <w:rFonts w:ascii="Arial" w:hAnsi="Arial"/>
                <w:b w:val="0"/>
                <w:i w:val="0"/>
                <w:color w:val="202833"/>
                <w:sz w:val="17"/>
              </w:rPr>
              <w:t>Documented deployment rehearsal and recovery procedure.</w:t>
            </w:r>
          </w:p>
        </w:tc>
      </w:tr>
    </w:tbl>
    <w:p>
      <w:pPr>
        <w:spacing w:after="20"/>
      </w:pPr>
    </w:p>
    <w:p>
      <w:pPr>
        <w:pStyle w:val="Heading2"/>
        <w:keepNext/>
        <w:spacing w:before="120" w:after="80"/>
      </w:pPr>
      <w:r>
        <w:rPr>
          <w:rFonts w:ascii="Arial" w:hAnsi="Arial"/>
          <w:b/>
          <w:i w:val="0"/>
          <w:color w:val="2E75B6"/>
          <w:sz w:val="23"/>
        </w:rPr>
        <w:t>References</w:t>
      </w:r>
    </w:p>
    <w:p>
      <w:pPr>
        <w:spacing w:after="100" w:line="259" w:lineRule="auto"/>
      </w:pPr>
      <w:r>
        <w:rPr>
          <w:rFonts w:ascii="Arial" w:hAnsi="Arial"/>
          <w:b w:val="0"/>
          <w:i w:val="0"/>
          <w:color w:val="202833"/>
          <w:sz w:val="19"/>
        </w:rPr>
        <w:t>Project status source: supplied Weeks 1–2 completion report. Implementation evidence: repository code, local Kafka/API run, automated tests, and React production build described above.</w:t>
      </w:r>
    </w:p>
    <w:p>
      <w:pPr>
        <w:spacing w:after="100" w:line="259" w:lineRule="auto"/>
      </w:pPr>
      <w:r>
        <w:rPr>
          <w:rFonts w:ascii="Arial" w:hAnsi="Arial"/>
          <w:b w:val="0"/>
          <w:i w:val="0"/>
          <w:color w:val="202833"/>
          <w:sz w:val="19"/>
        </w:rPr>
        <w:t>Confluent Kafka Python documentation, transaction offsets and producer APIs: https://docs.confluent.io/platform/current/clients/confluent-kafka-python/html/index.html</w:t>
      </w:r>
    </w:p>
    <w:p>
      <w:pPr>
        <w:spacing w:after="100" w:line="259" w:lineRule="auto"/>
      </w:pPr>
      <w:r>
        <w:rPr>
          <w:rFonts w:ascii="Arial" w:hAnsi="Arial"/>
          <w:b w:val="0"/>
          <w:i w:val="0"/>
          <w:color w:val="202833"/>
          <w:sz w:val="19"/>
        </w:rPr>
        <w:t>RocksDict project documentation, Python RocksDB binding and persistent dictionary usage: https://github.com/rocksdict/RocksDict</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96675"/>
        <w:sz w:val="16"/>
      </w:rPr>
      <w:t>Project report  •  01 October 2026</w:t>
    </w:r>
    <w:r>
      <w:rPr>
        <w:rFonts w:ascii="Arial" w:hAnsi="Arial"/>
        <w:b w:val="0"/>
        <w:i w:val="0"/>
        <w:color w:val="59667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17365D"/>
        <w:sz w:val="16"/>
      </w:rPr>
      <w:t>STREAM FORGE   /   PROJECT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 Forge Project Completion Report</dc:title>
  <dc:subject>Weeks 1–4 implementation and validation</dc:subject>
  <dc:creator>Stream Forge Project Team</dc:creator>
  <cp:keywords>Stream processing, Kafka, RocksDB, Prometheus, FastAPI, React</cp:keywords>
  <dc:description>generated by python-docx</dc:description>
  <cp:lastModifiedBy/>
  <cp:revision>1</cp:revision>
  <dcterms:created xsi:type="dcterms:W3CDTF">2013-12-23T23:15:00Z</dcterms:created>
  <dcterms:modified xsi:type="dcterms:W3CDTF">2013-12-23T23:15:00Z</dcterms:modified>
  <cp:category/>
</cp:coreProperties>
</file>