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C1272D"/>
          <w:sz w:val="40"/>
          <w:szCs w:val="40"/>
        </w:rPr>
        <w:t xml:space="preserve">ZOMATO RESTAURANT DATA ANALYSIS</w:t>
      </w:r>
    </w:p>
    <w:p>
      <w:pPr>
        <w:spacing w:after="240"/>
        <w:jc w:val="center"/>
      </w:pPr>
      <w:r>
        <w:rPr>
          <w:b/>
          <w:bCs/>
          <w:color w:val="222222"/>
          <w:sz w:val="28"/>
          <w:szCs w:val="28"/>
        </w:rPr>
        <w:t xml:space="preserve">Case Study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pct" w:w="50%"/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Author: Sidhant</w:t>
            </w:r>
          </w:p>
        </w:tc>
        <w:tc>
          <w:tcPr>
            <w:tcW w:type="pct" w:w="50%"/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Framework: Google Data Analytics Lifecycle</w:t>
            </w:r>
          </w:p>
        </w:tc>
      </w:tr>
      <w:tr>
        <w:tc>
          <w:tcPr>
            <w:tcW w:type="pct" w:w="50%"/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Data Source: Kaggle (CC0 – Public Domain)</w:t>
            </w:r>
          </w:p>
        </w:tc>
        <w:tc>
          <w:tcPr>
            <w:tcW w:type="pct" w:w="50%"/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Tools: Excel (Power Query), Tableau Public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1272D" w:sz="6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1. Ask — Business Problem &amp; Objectives</w:t>
      </w:r>
    </w:p>
    <w:p>
      <w:pPr>
        <w:spacing w:after="120"/>
      </w:pPr>
      <w:r>
        <w:rPr>
          <w:b/>
          <w:bCs/>
          <w:color w:val="222222"/>
          <w:sz w:val="22"/>
          <w:szCs w:val="22"/>
        </w:rPr>
        <w:t xml:space="preserve">Business Problem: </w:t>
      </w:r>
      <w:r>
        <w:rPr>
          <w:color w:val="222222"/>
          <w:sz w:val="22"/>
          <w:szCs w:val="22"/>
        </w:rPr>
        <w:t xml:space="preserve">How do restaurant pricing tiers, service types, and quality benchmarks influence customer ratings and satisfaction, and what key economic thresholds must new market entrants navigate to succeed?</w:t>
      </w:r>
    </w:p>
    <w:p>
      <w:pPr>
        <w:spacing w:after="120"/>
      </w:pPr>
      <w:r>
        <w:rPr>
          <w:b/>
          <w:bCs/>
          <w:color w:val="222222"/>
          <w:sz w:val="22"/>
          <w:szCs w:val="22"/>
        </w:rPr>
        <w:t xml:space="preserve">Objective: </w:t>
      </w:r>
      <w:r>
        <w:rPr>
          <w:color w:val="222222"/>
          <w:sz w:val="22"/>
          <w:szCs w:val="22"/>
        </w:rPr>
        <w:t xml:space="preserve">Deliver data-backed strategic insights for stakeholders and investors evaluating market entry and positioning in the food and beverage sector.</w:t>
      </w:r>
    </w:p>
    <w:p>
      <w:pPr>
        <w:pStyle w:val="Heading1"/>
        <w:pBdr>
          <w:bottom w:val="single" w:color="C1272D" w:sz="6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2. Prepare — Data Source &amp; Integrity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Source: Downloaded from Kaggle, licensed CC0 (Public Domain).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Dataset scope: restaurant metadata including names, ratings, votes, cuisines, establishment/service formats, and approximate cost for two people.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Integrity audit: verified structural completeness and flagged text-embedded cost fields and missing metric rows before cleaning.</w:t>
      </w:r>
    </w:p>
    <w:p>
      <w:pPr>
        <w:pStyle w:val="Heading1"/>
        <w:pBdr>
          <w:bottom w:val="single" w:color="C1272D" w:sz="6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3. Process — Data Cleaning &amp; Transformation</w:t>
      </w:r>
    </w:p>
    <w:p>
      <w:pPr>
        <w:spacing w:after="120"/>
      </w:pPr>
      <w:r>
        <w:rPr>
          <w:b/>
          <w:bCs/>
          <w:color w:val="222222"/>
          <w:sz w:val="22"/>
          <w:szCs w:val="22"/>
        </w:rPr>
        <w:t xml:space="preserve">Tool: </w:t>
      </w:r>
      <w:r>
        <w:rPr>
          <w:color w:val="222222"/>
          <w:sz w:val="22"/>
          <w:szCs w:val="22"/>
        </w:rPr>
        <w:t xml:space="preserve">Microsoft Excel (Power Query)</w:t>
      </w:r>
    </w:p>
    <w:p>
      <w:pPr>
        <w:spacing w:after="160"/>
      </w:pPr>
      <w:r>
        <w:rPr>
          <w:b/>
          <w:bCs/>
          <w:color w:val="222222"/>
          <w:sz w:val="22"/>
          <w:szCs w:val="22"/>
        </w:rPr>
        <w:t xml:space="preserve">Actions taken: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Column optimization: removed redundant/inactive columns (url, phone, menu_items, reviews_list, table_booked, address) to streamline the schema.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Missing value treatment: filtered out rows missing critical metrics to prevent analytical skew.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Type standardization: converted approx_cost(for two people) and ratings into clean numeric data types, producing a high-integrity working dataset of ~19,000 clean records.</w:t>
      </w:r>
    </w:p>
    <w:p>
      <w:pPr>
        <w:pStyle w:val="Heading1"/>
        <w:pBdr>
          <w:bottom w:val="single" w:color="C1272D" w:sz="6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4. Analyze — Metrics &amp; Statistical Methodology</w:t>
      </w:r>
    </w:p>
    <w:p>
      <w:pPr>
        <w:spacing w:after="160"/>
      </w:pPr>
      <w:r>
        <w:rPr>
          <w:color w:val="222222"/>
          <w:sz w:val="22"/>
          <w:szCs w:val="22"/>
        </w:rPr>
        <w:t xml:space="preserve">Key Performance Indicators (KPIs): Ratings (quality benchmark), Votes (popularity proxy), and Median Cost (consumer spending).</w:t>
      </w:r>
    </w:p>
    <w:p>
      <w:pPr>
        <w:spacing w:after="160"/>
      </w:pPr>
      <w:r>
        <w:rPr>
          <w:color w:val="222222"/>
          <w:sz w:val="22"/>
          <w:szCs w:val="22"/>
        </w:rPr>
        <w:t xml:space="preserve">Statistical rigor: the median — rather than averages or sums — was used for pricing calculations. This neutralized extreme fine-dining outliers (reaching up to ₹6,000) and accurately reflected typical consumer spending baselines (starting at a minimum median of ~₹40).</w:t>
      </w:r>
    </w:p>
    <w:p>
      <w:pPr>
        <w:pStyle w:val="Heading1"/>
        <w:pBdr>
          <w:bottom w:val="single" w:color="C1272D" w:sz="6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5. Share — Dashboard Visualization &amp; Findings</w:t>
      </w:r>
    </w:p>
    <w:p>
      <w:pPr>
        <w:spacing w:after="160"/>
      </w:pPr>
      <w:r>
        <w:rPr>
          <w:color w:val="222222"/>
          <w:sz w:val="22"/>
          <w:szCs w:val="22"/>
        </w:rPr>
        <w:t xml:space="preserve">The final insights and pricing tiers were compiled into an interactive Tableau Public dashboard, combining comparative visual sheets mapping minimum/maximum median costs, a 3.0 baseline rating vs. top-tier performance, and establishment types (rest_type).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[Insert Tableau dashboard screenshots here: Picture1.jpg, Picture2.jpg]</w:t>
      </w:r>
    </w:p>
    <w:p>
      <w:pPr>
        <w:pStyle w:val="Heading1"/>
        <w:pBdr>
          <w:bottom w:val="single" w:color="C1272D" w:sz="6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6. Act — Conclusions &amp; Strategic Recommendations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Quality over price: customer ratings depend primarily on food quality and operational format (e.g., Fine Dining vs. Quick Bites) rather than price point or branding alone.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Pricing spectrum: market pricing for two people spans a wide commercial range — from a baseline minimum median of ~₹40 up to ₹6,000 at the luxury tier.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Strategic recommendation: new market entrants should balance competitive mid-tier pricing with rigorous food quality execution and appropriate service models to maximize customer acquisition and ratings.</w:t>
      </w:r>
    </w:p>
    <w:p>
      <w:pPr>
        <w:pStyle w:val="Heading1"/>
        <w:pBdr>
          <w:bottom w:val="single" w:color="C1272D" w:sz="6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Tools Used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Data Cleaning: Excel (Power Query)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Visualization: Tableau Public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Version Control: GitHub</w:t>
      </w:r>
    </w:p>
    <w:p>
      <w:pPr>
        <w:pStyle w:val="Heading1"/>
        <w:pBdr>
          <w:bottom w:val="single" w:color="C1272D" w:sz="6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Project Deliverables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README.md — complete case study write-up, phases, business problem, metrics, and dashboard images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zomato_visulaization.twb — Tableau workbook file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zomato2_v2.xlsx — cleaned dataset (~19,000 records)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Picture1.jpg &amp; Picture2.jpg — dashboard screenshots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LICENSE — repository license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2026-08-24T05:22:21.673Z</dcterms:created>
  <dcterms:modified xsi:type="dcterms:W3CDTF">2026-08-24T05:22:21.686Z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