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jc w:val="center"/>
      </w:pPr>
      <w:r>
        <w:rPr>
          <w:rFonts w:ascii="Times New Roman" w:cs="Times New Roman" w:eastAsia="Times New Roman" w:hAnsi="Times New Roman"/>
          <w:b/>
          <w:bCs/>
          <w:i w:val="false"/>
          <w:iCs w:val="false"/>
          <w:color w:val="000000"/>
          <w:sz w:val="26"/>
          <w:szCs w:val="26"/>
        </w:rPr>
        <w:t xml:space="preserve">B. TECH PROJECT</w:t>
      </w:r>
    </w:p>
    <w:p>
      <w:pPr>
        <w:spacing w:after="420" w:before="0" w:line="360"/>
        <w:jc w:val="center"/>
      </w:pPr>
      <w:r>
        <w:rPr>
          <w:rFonts w:ascii="Times New Roman" w:cs="Times New Roman" w:eastAsia="Times New Roman" w:hAnsi="Times New Roman"/>
          <w:b/>
          <w:bCs/>
          <w:i w:val="false"/>
          <w:iCs w:val="false"/>
          <w:color w:val="000000"/>
          <w:sz w:val="24"/>
          <w:szCs w:val="24"/>
        </w:rPr>
        <w:t xml:space="preserve">PROJECT REPORT</w:t>
      </w:r>
    </w:p>
    <w:p>
      <w:pPr>
        <w:spacing w:after="420" w:before="0" w:line="360"/>
        <w:jc w:val="center"/>
      </w:pPr>
      <w:r>
        <w:rPr>
          <w:rFonts w:ascii="Times New Roman" w:cs="Times New Roman" w:eastAsia="Times New Roman" w:hAnsi="Times New Roman"/>
          <w:b/>
          <w:bCs/>
          <w:i w:val="false"/>
          <w:iCs w:val="false"/>
          <w:color w:val="8B0000"/>
          <w:sz w:val="30"/>
          <w:szCs w:val="30"/>
        </w:rPr>
        <w:t xml:space="preserve">Heterogeneous Graph Neural Networks for Early-Stage Routing Congestion Prediction in Chip Layout Design</w:t>
      </w:r>
    </w:p>
    <w:p>
      <w:pPr>
        <w:spacing w:after="40" w:before="0" w:line="360"/>
        <w:jc w:val="center"/>
      </w:pPr>
      <w:r>
        <w:rPr>
          <w:rFonts w:ascii="Times New Roman" w:cs="Times New Roman" w:eastAsia="Times New Roman" w:hAnsi="Times New Roman"/>
          <w:b w:val="false"/>
          <w:bCs w:val="false"/>
          <w:i w:val="false"/>
          <w:iCs w:val="false"/>
          <w:color w:val="000000"/>
          <w:sz w:val="24"/>
          <w:szCs w:val="24"/>
        </w:rPr>
        <w:t xml:space="preserve">BACHELOR OF TECHNOLOGY</w:t>
      </w:r>
    </w:p>
    <w:p>
      <w:pPr>
        <w:spacing w:after="40" w:before="0" w:line="360"/>
        <w:jc w:val="center"/>
      </w:pPr>
      <w:r>
        <w:rPr>
          <w:rFonts w:ascii="Times New Roman" w:cs="Times New Roman" w:eastAsia="Times New Roman" w:hAnsi="Times New Roman"/>
          <w:b w:val="false"/>
          <w:bCs w:val="false"/>
          <w:i w:val="false"/>
          <w:iCs w:val="false"/>
          <w:color w:val="000000"/>
          <w:sz w:val="24"/>
          <w:szCs w:val="24"/>
        </w:rPr>
        <w:t xml:space="preserve">IN</w:t>
      </w:r>
    </w:p>
    <w:p>
      <w:pPr>
        <w:spacing w:after="420" w:before="0" w:line="360"/>
        <w:jc w:val="center"/>
      </w:pPr>
      <w:r>
        <w:rPr>
          <w:rFonts w:ascii="Times New Roman" w:cs="Times New Roman" w:eastAsia="Times New Roman" w:hAnsi="Times New Roman"/>
          <w:b w:val="false"/>
          <w:bCs w:val="false"/>
          <w:i w:val="false"/>
          <w:iCs w:val="false"/>
          <w:color w:val="000000"/>
          <w:sz w:val="24"/>
          <w:szCs w:val="24"/>
        </w:rPr>
        <w:t xml:space="preserve">ARTIFICIAL INTELLIGENCE &amp; MACHINE LEARNING</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60" w:before="0" w:line="360"/>
        <w:jc w:val="center"/>
      </w:pPr>
      <w:r>
        <w:rPr>
          <w:rFonts w:ascii="Times New Roman" w:cs="Times New Roman" w:eastAsia="Times New Roman" w:hAnsi="Times New Roman"/>
          <w:b w:val="false"/>
          <w:bCs w:val="false"/>
          <w:i w:val="false"/>
          <w:iCs w:val="false"/>
          <w:color w:val="8B0000"/>
          <w:sz w:val="24"/>
          <w:szCs w:val="24"/>
        </w:rPr>
        <w:t xml:space="preserve">Manan  -  23070126070</w:t>
      </w:r>
    </w:p>
    <w:p>
      <w:pPr>
        <w:spacing w:after="60" w:before="0" w:line="360"/>
        <w:jc w:val="center"/>
      </w:pPr>
      <w:r>
        <w:rPr>
          <w:rFonts w:ascii="Times New Roman" w:cs="Times New Roman" w:eastAsia="Times New Roman" w:hAnsi="Times New Roman"/>
          <w:b w:val="false"/>
          <w:bCs w:val="false"/>
          <w:i w:val="false"/>
          <w:iCs w:val="false"/>
          <w:color w:val="8B0000"/>
          <w:sz w:val="24"/>
          <w:szCs w:val="24"/>
        </w:rPr>
        <w:t xml:space="preserve">Pratyush Sinha  -  23070126093</w:t>
      </w:r>
    </w:p>
    <w:p>
      <w:pPr>
        <w:spacing w:after="420" w:before="0" w:line="360"/>
        <w:jc w:val="center"/>
      </w:pPr>
      <w:r>
        <w:rPr>
          <w:rFonts w:ascii="Times New Roman" w:cs="Times New Roman" w:eastAsia="Times New Roman" w:hAnsi="Times New Roman"/>
          <w:b w:val="false"/>
          <w:bCs w:val="false"/>
          <w:i w:val="false"/>
          <w:iCs w:val="false"/>
          <w:color w:val="8B0000"/>
          <w:sz w:val="24"/>
          <w:szCs w:val="24"/>
        </w:rPr>
        <w:t xml:space="preserve">Sidhant Nair  -  23070126127</w:t>
      </w:r>
    </w:p>
    <w:p>
      <w:pPr>
        <w:spacing w:after="120" w:before="0" w:line="360"/>
        <w:jc w:val="center"/>
      </w:pPr>
      <w:r>
        <w:rPr>
          <w:rFonts w:ascii="Times New Roman" w:cs="Times New Roman" w:eastAsia="Times New Roman" w:hAnsi="Times New Roman"/>
          <w:b w:val="false"/>
          <w:bCs w:val="false"/>
          <w:i w:val="false"/>
          <w:iCs w:val="false"/>
          <w:color w:val="000000"/>
          <w:sz w:val="24"/>
          <w:szCs w:val="24"/>
        </w:rPr>
        <w:t xml:space="preserve">UNDER THE GUIDANCE OF</w:t>
      </w:r>
    </w:p>
    <w:p>
      <w:pPr>
        <w:spacing w:after="40" w:before="0" w:line="360"/>
        <w:jc w:val="center"/>
      </w:pPr>
      <w:r>
        <w:rPr>
          <w:rFonts w:ascii="Times New Roman" w:cs="Times New Roman" w:eastAsia="Times New Roman" w:hAnsi="Times New Roman"/>
          <w:b w:val="false"/>
          <w:bCs w:val="false"/>
          <w:i w:val="false"/>
          <w:iCs w:val="false"/>
          <w:color w:val="8B0000"/>
          <w:sz w:val="24"/>
          <w:szCs w:val="24"/>
        </w:rPr>
        <w:t xml:space="preserve">Dr. Shrikrishna Kolhar</w:t>
      </w:r>
    </w:p>
    <w:p>
      <w:pPr>
        <w:spacing w:after="420" w:before="0" w:line="360"/>
        <w:jc w:val="center"/>
      </w:pPr>
      <w:r>
        <w:rPr>
          <w:rFonts w:ascii="Times New Roman" w:cs="Times New Roman" w:eastAsia="Times New Roman" w:hAnsi="Times New Roman"/>
          <w:b w:val="false"/>
          <w:bCs w:val="false"/>
          <w:i w:val="false"/>
          <w:iCs w:val="false"/>
          <w:color w:val="8B0000"/>
          <w:sz w:val="24"/>
          <w:szCs w:val="24"/>
        </w:rPr>
        <w:t xml:space="preserve">Assistant Professor</w:t>
      </w:r>
    </w:p>
    <w:p>
      <w:pPr>
        <w:spacing w:after="60" w:before="0" w:line="360"/>
        <w:jc w:val="center"/>
      </w:pPr>
      <w:r>
        <w:rPr>
          <w:rFonts w:ascii="Times New Roman" w:cs="Times New Roman" w:eastAsia="Times New Roman" w:hAnsi="Times New Roman"/>
          <w:b/>
          <w:bCs/>
          <w:i w:val="false"/>
          <w:iCs w:val="false"/>
          <w:color w:val="C00000"/>
          <w:sz w:val="28"/>
          <w:szCs w:val="28"/>
        </w:rPr>
        <w:t xml:space="preserve">SYMBIOSIS INSTITUTE OF TECHNOLOGY, PUNE</w:t>
      </w:r>
    </w:p>
    <w:p>
      <w:pPr>
        <w:spacing w:after="40" w:before="0" w:line="360"/>
        <w:jc w:val="center"/>
      </w:pPr>
      <w:r>
        <w:rPr>
          <w:rFonts w:ascii="Times New Roman" w:cs="Times New Roman" w:eastAsia="Times New Roman" w:hAnsi="Times New Roman"/>
          <w:b w:val="false"/>
          <w:bCs w:val="false"/>
          <w:i w:val="false"/>
          <w:iCs w:val="false"/>
          <w:color w:val="000000"/>
          <w:sz w:val="22"/>
          <w:szCs w:val="22"/>
        </w:rPr>
        <w:t xml:space="preserve">Pune – 412115, Maharashtra State, India</w:t>
      </w:r>
    </w:p>
    <w:p>
      <w:pPr>
        <w:spacing w:after="300" w:before="0" w:line="360"/>
        <w:jc w:val="center"/>
      </w:pPr>
      <w:r>
        <w:rPr>
          <w:rFonts w:ascii="Times New Roman" w:cs="Times New Roman" w:eastAsia="Times New Roman" w:hAnsi="Times New Roman"/>
          <w:b w:val="false"/>
          <w:bCs w:val="false"/>
          <w:i w:val="false"/>
          <w:iCs w:val="false"/>
          <w:color w:val="0563C1"/>
          <w:sz w:val="22"/>
          <w:szCs w:val="22"/>
        </w:rPr>
        <w:t xml:space="preserve">https://www.sitpune.edu.in/</w:t>
      </w:r>
    </w:p>
    <w:p>
      <w:pPr>
        <w:spacing w:after="60" w:before="0" w:line="360"/>
        <w:jc w:val="center"/>
      </w:pPr>
      <w:r>
        <w:rPr>
          <w:rFonts w:ascii="Times New Roman" w:cs="Times New Roman" w:eastAsia="Times New Roman" w:hAnsi="Times New Roman"/>
          <w:b/>
          <w:bCs/>
          <w:i w:val="false"/>
          <w:iCs w:val="false"/>
          <w:color w:val="000000"/>
          <w:sz w:val="23"/>
          <w:szCs w:val="23"/>
        </w:rPr>
        <w:t xml:space="preserve">DEPARTMENT OF ARTIFICIAL INTELLIGENCE &amp; MACHINE LEARNING</w:t>
      </w:r>
    </w:p>
    <w:p>
      <w:pPr>
        <w:spacing w:after="0" w:before="0" w:line="360"/>
        <w:jc w:val="center"/>
      </w:pPr>
      <w:r>
        <w:rPr>
          <w:rFonts w:ascii="Times New Roman" w:cs="Times New Roman" w:eastAsia="Times New Roman" w:hAnsi="Times New Roman"/>
          <w:b/>
          <w:bCs/>
          <w:i w:val="false"/>
          <w:iCs w:val="false"/>
          <w:color w:val="000000"/>
          <w:sz w:val="23"/>
          <w:szCs w:val="23"/>
        </w:rPr>
        <w:t xml:space="preserve">AY 2026-27</w:t>
      </w:r>
    </w:p>
    <w:p>
      <w:r>
        <w:br w:type="page"/>
      </w:r>
    </w:p>
    <w:p>
      <w:pPr>
        <w:spacing w:after="60" w:before="0" w:line="360"/>
        <w:jc w:val="center"/>
      </w:pPr>
      <w:r>
        <w:rPr>
          <w:rFonts w:ascii="Times New Roman" w:cs="Times New Roman" w:eastAsia="Times New Roman" w:hAnsi="Times New Roman"/>
          <w:b/>
          <w:bCs/>
          <w:i w:val="false"/>
          <w:iCs w:val="false"/>
          <w:color w:val="C00000"/>
          <w:sz w:val="28"/>
          <w:szCs w:val="28"/>
        </w:rPr>
        <w:t xml:space="preserve">SYMBIOSIS INSTITUTE OF TECHNOLOGY, PUNE</w:t>
      </w:r>
    </w:p>
    <w:p>
      <w:pPr>
        <w:spacing w:after="40" w:before="0" w:line="360"/>
        <w:jc w:val="center"/>
      </w:pPr>
      <w:r>
        <w:rPr>
          <w:rFonts w:ascii="Times New Roman" w:cs="Times New Roman" w:eastAsia="Times New Roman" w:hAnsi="Times New Roman"/>
          <w:b w:val="false"/>
          <w:bCs w:val="false"/>
          <w:i w:val="false"/>
          <w:iCs w:val="false"/>
          <w:color w:val="000000"/>
          <w:sz w:val="22"/>
          <w:szCs w:val="22"/>
        </w:rPr>
        <w:t xml:space="preserve">Pune – 412115, Maharashtra State, India</w:t>
      </w:r>
    </w:p>
    <w:p>
      <w:pPr>
        <w:spacing w:after="300" w:before="0" w:line="360"/>
        <w:jc w:val="center"/>
      </w:pPr>
      <w:r>
        <w:rPr>
          <w:rFonts w:ascii="Times New Roman" w:cs="Times New Roman" w:eastAsia="Times New Roman" w:hAnsi="Times New Roman"/>
          <w:b w:val="false"/>
          <w:bCs w:val="false"/>
          <w:i w:val="false"/>
          <w:iCs w:val="false"/>
          <w:color w:val="0563C1"/>
          <w:sz w:val="22"/>
          <w:szCs w:val="22"/>
        </w:rPr>
        <w:t xml:space="preserve">https://www.sitpune.edu.in/</w:t>
      </w:r>
    </w:p>
    <w:p>
      <w:pPr>
        <w:spacing w:after="520" w:before="0" w:line="360"/>
        <w:jc w:val="center"/>
      </w:pPr>
      <w:r>
        <w:rPr>
          <w:rFonts w:ascii="Times New Roman" w:cs="Times New Roman" w:eastAsia="Times New Roman" w:hAnsi="Times New Roman"/>
          <w:b/>
          <w:bCs/>
          <w:i w:val="false"/>
          <w:iCs w:val="false"/>
          <w:color w:val="000000"/>
          <w:sz w:val="23"/>
          <w:szCs w:val="23"/>
        </w:rPr>
        <w:t xml:space="preserve">DEPARTMENT OF ARTIFICIAL INTELLIGENCE &amp; MACHINE LEARNING</w:t>
      </w:r>
    </w:p>
    <w:p>
      <w:pPr>
        <w:spacing w:after="520" w:before="0" w:line="360"/>
        <w:jc w:val="center"/>
      </w:pPr>
      <w:r>
        <w:rPr>
          <w:rFonts w:ascii="Times New Roman" w:cs="Times New Roman" w:eastAsia="Times New Roman" w:hAnsi="Times New Roman"/>
          <w:b/>
          <w:bCs/>
          <w:i w:val="false"/>
          <w:iCs w:val="false"/>
          <w:color w:val="000000"/>
          <w:sz w:val="28"/>
          <w:szCs w:val="28"/>
        </w:rPr>
        <w:t xml:space="preserve">CERTIFICATE</w:t>
      </w:r>
    </w:p>
    <w:p>
      <w:pPr>
        <w:spacing w:after="1400" w:before="0" w:line="48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work entitled </w:t>
      </w:r>
      <w:r>
        <w:rPr>
          <w:rFonts w:ascii="Times New Roman" w:cs="Times New Roman" w:eastAsia="Times New Roman" w:hAnsi="Times New Roman"/>
          <w:b/>
          <w:bCs/>
          <w:i w:val="false"/>
          <w:iCs w:val="false"/>
          <w:color w:val="000000"/>
          <w:sz w:val="24"/>
          <w:szCs w:val="24"/>
        </w:rPr>
        <w:t xml:space="preserve">“Heterogeneous Graph Neural Networks for Early-Stage Routing Congestion Prediction in Chip Layout Design”</w:t>
      </w:r>
      <w:r>
        <w:rPr>
          <w:rFonts w:ascii="Times New Roman" w:cs="Times New Roman" w:eastAsia="Times New Roman" w:hAnsi="Times New Roman"/>
          <w:b w:val="false"/>
          <w:bCs w:val="false"/>
          <w:i w:val="false"/>
          <w:iCs w:val="false"/>
          <w:color w:val="000000"/>
          <w:sz w:val="24"/>
          <w:szCs w:val="24"/>
        </w:rPr>
        <w:t xml:space="preserve"> is carried out by </w:t>
      </w:r>
      <w:r>
        <w:rPr>
          <w:rFonts w:ascii="Times New Roman" w:cs="Times New Roman" w:eastAsia="Times New Roman" w:hAnsi="Times New Roman"/>
          <w:b/>
          <w:bCs/>
          <w:i w:val="false"/>
          <w:iCs w:val="false"/>
          <w:color w:val="000000"/>
          <w:sz w:val="24"/>
          <w:szCs w:val="24"/>
        </w:rPr>
        <w:t xml:space="preserve">“Manan, Pratyush Sinha and Sidhant Nair”</w:t>
      </w:r>
      <w:r>
        <w:rPr>
          <w:rFonts w:ascii="Times New Roman" w:cs="Times New Roman" w:eastAsia="Times New Roman" w:hAnsi="Times New Roman"/>
          <w:b w:val="false"/>
          <w:bCs w:val="false"/>
          <w:i w:val="false"/>
          <w:iCs w:val="false"/>
          <w:color w:val="000000"/>
          <w:sz w:val="24"/>
          <w:szCs w:val="24"/>
        </w:rPr>
        <w:t xml:space="preserve"> under the B. Tech. Project course under </w:t>
      </w:r>
      <w:r>
        <w:rPr>
          <w:rFonts w:ascii="Times New Roman" w:cs="Times New Roman" w:eastAsia="Times New Roman" w:hAnsi="Times New Roman"/>
          <w:b/>
          <w:bCs/>
          <w:i w:val="false"/>
          <w:iCs w:val="false"/>
          <w:color w:val="000000"/>
          <w:sz w:val="24"/>
          <w:szCs w:val="24"/>
        </w:rPr>
        <w:t xml:space="preserve">Bachelor of Technology</w:t>
      </w:r>
      <w:r>
        <w:rPr>
          <w:rFonts w:ascii="Times New Roman" w:cs="Times New Roman" w:eastAsia="Times New Roman" w:hAnsi="Times New Roman"/>
          <w:b w:val="false"/>
          <w:bCs w:val="false"/>
          <w:i w:val="false"/>
          <w:iCs w:val="false"/>
          <w:color w:val="000000"/>
          <w:sz w:val="24"/>
          <w:szCs w:val="24"/>
        </w:rPr>
        <w:t xml:space="preserve"> in </w:t>
      </w:r>
      <w:r>
        <w:rPr>
          <w:rFonts w:ascii="Times New Roman" w:cs="Times New Roman" w:eastAsia="Times New Roman" w:hAnsi="Times New Roman"/>
          <w:b/>
          <w:bCs/>
          <w:i w:val="false"/>
          <w:iCs w:val="false"/>
          <w:color w:val="000000"/>
          <w:sz w:val="24"/>
          <w:szCs w:val="24"/>
        </w:rPr>
        <w:t xml:space="preserve">Artificial Intelligence &amp; Machine Learning</w:t>
      </w:r>
      <w:r>
        <w:rPr>
          <w:rFonts w:ascii="Times New Roman" w:cs="Times New Roman" w:eastAsia="Times New Roman" w:hAnsi="Times New Roman"/>
          <w:b w:val="false"/>
          <w:bCs w:val="false"/>
          <w:i w:val="false"/>
          <w:iCs w:val="false"/>
          <w:color w:val="000000"/>
          <w:sz w:val="24"/>
          <w:szCs w:val="24"/>
        </w:rPr>
        <w:t xml:space="preserve">, Symbiosis International (Deemed University), Pune during the academic year 2026-2027.</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spacing w:after="40" w:before="0" w:line="360"/>
              <w:jc w:val="left"/>
            </w:pPr>
            <w:r>
              <w:rPr>
                <w:rFonts w:ascii="Times New Roman" w:cs="Times New Roman" w:eastAsia="Times New Roman" w:hAnsi="Times New Roman"/>
                <w:b w:val="false"/>
                <w:bCs w:val="false"/>
                <w:i w:val="false"/>
                <w:iCs w:val="false"/>
                <w:color w:val="000000"/>
                <w:sz w:val="24"/>
                <w:szCs w:val="24"/>
              </w:rPr>
              <w:t xml:space="preserve">Dr. Shrikrishna Kolhar</w:t>
            </w:r>
          </w:p>
          <w:p>
            <w:pPr>
              <w:spacing w:after="40" w:before="0" w:line="360"/>
              <w:jc w:val="left"/>
            </w:pPr>
            <w:r>
              <w:rPr>
                <w:rFonts w:ascii="Times New Roman" w:cs="Times New Roman" w:eastAsia="Times New Roman" w:hAnsi="Times New Roman"/>
                <w:b w:val="false"/>
                <w:bCs w:val="false"/>
                <w:i w:val="false"/>
                <w:iCs w:val="false"/>
                <w:color w:val="000000"/>
                <w:sz w:val="24"/>
                <w:szCs w:val="24"/>
              </w:rPr>
              <w:t xml:space="preserve">Assistant Professor,</w:t>
            </w:r>
          </w:p>
          <w:p>
            <w:pPr>
              <w:spacing w:after="0" w:before="0" w:line="360"/>
              <w:jc w:val="left"/>
            </w:pPr>
            <w:r>
              <w:rPr>
                <w:rFonts w:ascii="Times New Roman" w:cs="Times New Roman" w:eastAsia="Times New Roman" w:hAnsi="Times New Roman"/>
                <w:b w:val="false"/>
                <w:bCs w:val="false"/>
                <w:i w:val="false"/>
                <w:iCs w:val="false"/>
                <w:color w:val="000000"/>
                <w:sz w:val="24"/>
                <w:szCs w:val="24"/>
              </w:rPr>
              <w:t xml:space="preserve">Department of AI&amp;ML</w:t>
            </w:r>
          </w:p>
        </w:tc>
        <w:tc>
          <w:tcPr>
            <w:tcW w:type="dxa" w:w="4680"/>
            <w:tcBorders>
              <w:top w:val="none"/>
              <w:left w:val="none"/>
              <w:bottom w:val="none"/>
              <w:right w:val="none"/>
            </w:tcBorders>
          </w:tcPr>
          <w:p>
            <w:pPr>
              <w:spacing w:after="40" w:before="0" w:line="360"/>
              <w:jc w:val="left"/>
            </w:pPr>
            <w:r>
              <w:rPr>
                <w:rFonts w:ascii="Times New Roman" w:cs="Times New Roman" w:eastAsia="Times New Roman" w:hAnsi="Times New Roman"/>
                <w:b w:val="false"/>
                <w:bCs w:val="false"/>
                <w:i w:val="false"/>
                <w:iCs w:val="false"/>
                <w:color w:val="000000"/>
                <w:sz w:val="24"/>
                <w:szCs w:val="24"/>
              </w:rPr>
              <w:t xml:space="preserve">Dr. Shruti Patil</w:t>
            </w:r>
          </w:p>
          <w:p>
            <w:pPr>
              <w:spacing w:after="40" w:before="0" w:line="360"/>
              <w:jc w:val="left"/>
            </w:pPr>
            <w:r>
              <w:rPr>
                <w:rFonts w:ascii="Times New Roman" w:cs="Times New Roman" w:eastAsia="Times New Roman" w:hAnsi="Times New Roman"/>
                <w:b w:val="false"/>
                <w:bCs w:val="false"/>
                <w:i w:val="false"/>
                <w:iCs w:val="false"/>
                <w:color w:val="000000"/>
                <w:sz w:val="24"/>
                <w:szCs w:val="24"/>
              </w:rPr>
              <w:t xml:space="preserve">Head,</w:t>
            </w:r>
          </w:p>
          <w:p>
            <w:pPr>
              <w:spacing w:after="0" w:before="0" w:line="360"/>
              <w:jc w:val="left"/>
            </w:pPr>
            <w:r>
              <w:rPr>
                <w:rFonts w:ascii="Times New Roman" w:cs="Times New Roman" w:eastAsia="Times New Roman" w:hAnsi="Times New Roman"/>
                <w:b w:val="false"/>
                <w:bCs w:val="false"/>
                <w:i w:val="false"/>
                <w:iCs w:val="false"/>
                <w:color w:val="000000"/>
                <w:sz w:val="24"/>
                <w:szCs w:val="24"/>
              </w:rPr>
              <w:t xml:space="preserve">Department of AI&amp;ML</w:t>
            </w:r>
          </w:p>
        </w:tc>
      </w:tr>
    </w:tbl>
    <w:p>
      <w:r>
        <w:br w:type="page"/>
      </w:r>
    </w:p>
    <w:p>
      <w:pPr>
        <w:spacing w:after="520" w:before="0" w:line="360"/>
        <w:jc w:val="center"/>
      </w:pPr>
      <w:r>
        <w:rPr>
          <w:rFonts w:ascii="Times New Roman" w:cs="Times New Roman" w:eastAsia="Times New Roman" w:hAnsi="Times New Roman"/>
          <w:b/>
          <w:bCs/>
          <w:i w:val="false"/>
          <w:iCs w:val="false"/>
          <w:color w:val="000000"/>
          <w:sz w:val="28"/>
          <w:szCs w:val="28"/>
        </w:rPr>
        <w:t xml:space="preserve">DECLARATION</w:t>
      </w:r>
    </w:p>
    <w:p>
      <w:pPr>
        <w:spacing w:after="600" w:before="0" w:line="420"/>
        <w:jc w:val="both"/>
      </w:pPr>
      <w:r>
        <w:rPr>
          <w:rFonts w:ascii="Times New Roman" w:cs="Times New Roman" w:eastAsia="Times New Roman" w:hAnsi="Times New Roman"/>
          <w:b w:val="false"/>
          <w:bCs w:val="false"/>
          <w:i w:val="false"/>
          <w:iCs w:val="false"/>
          <w:color w:val="000000"/>
          <w:sz w:val="24"/>
          <w:szCs w:val="24"/>
        </w:rPr>
        <w:t xml:space="preserve">We hereby declare that the project titled </w:t>
      </w:r>
      <w:r>
        <w:rPr>
          <w:rFonts w:ascii="Times New Roman" w:cs="Times New Roman" w:eastAsia="Times New Roman" w:hAnsi="Times New Roman"/>
          <w:b/>
          <w:bCs/>
          <w:i w:val="false"/>
          <w:iCs w:val="false"/>
          <w:color w:val="000000"/>
          <w:sz w:val="24"/>
          <w:szCs w:val="24"/>
        </w:rPr>
        <w:t xml:space="preserve">“Heterogeneous Graph Neural Networks for Early-Stage Routing Congestion Prediction in Chip Layout Design”</w:t>
      </w:r>
      <w:r>
        <w:rPr>
          <w:rFonts w:ascii="Times New Roman" w:cs="Times New Roman" w:eastAsia="Times New Roman" w:hAnsi="Times New Roman"/>
          <w:b w:val="false"/>
          <w:bCs w:val="false"/>
          <w:i w:val="false"/>
          <w:iCs w:val="false"/>
          <w:color w:val="000000"/>
          <w:sz w:val="24"/>
          <w:szCs w:val="24"/>
        </w:rPr>
        <w:t xml:space="preserve"> submitted to Symbiosis Institute of Technology, constituent of Symbiosis International (Deemed University) Pune for the award of the degree of Bachelor of Technology in Artificial Intelligence &amp; Machine Learning is a result of original research carried out by us. We understand that our report may be made electronically available to the public. It is further declared that the project report or any part thereof has not been previously submitted to any University or Institute for the award of any degree or diploma.</w:t>
      </w:r>
    </w:p>
    <w:p>
      <w:pPr>
        <w:spacing w:after="100" w:before="0" w:line="360"/>
        <w:jc w:val="left"/>
      </w:pPr>
      <w:r>
        <w:rPr>
          <w:rFonts w:ascii="Times New Roman" w:cs="Times New Roman" w:eastAsia="Times New Roman" w:hAnsi="Times New Roman"/>
          <w:b w:val="false"/>
          <w:bCs w:val="false"/>
          <w:i w:val="false"/>
          <w:iCs w:val="false"/>
          <w:color w:val="000000"/>
          <w:sz w:val="24"/>
          <w:szCs w:val="24"/>
        </w:rPr>
        <w:t xml:space="preserve">Degree: Bachelor of Technology in AI&amp;ML</w:t>
      </w:r>
    </w:p>
    <w:p>
      <w:pPr>
        <w:spacing w:after="100" w:before="0" w:line="360"/>
        <w:jc w:val="left"/>
      </w:pPr>
      <w:r>
        <w:rPr>
          <w:rFonts w:ascii="Times New Roman" w:cs="Times New Roman" w:eastAsia="Times New Roman" w:hAnsi="Times New Roman"/>
          <w:b w:val="false"/>
          <w:bCs w:val="false"/>
          <w:i w:val="false"/>
          <w:iCs w:val="false"/>
          <w:color w:val="000000"/>
          <w:sz w:val="24"/>
          <w:szCs w:val="24"/>
        </w:rPr>
        <w:t xml:space="preserve">Department: Artificial Intelligence &amp; Machine Learning</w:t>
      </w:r>
    </w:p>
    <w:p>
      <w:pPr>
        <w:spacing w:after="900" w:before="0" w:line="360"/>
        <w:jc w:val="left"/>
      </w:pPr>
      <w:r>
        <w:rPr>
          <w:rFonts w:ascii="Times New Roman" w:cs="Times New Roman" w:eastAsia="Times New Roman" w:hAnsi="Times New Roman"/>
          <w:b w:val="false"/>
          <w:bCs w:val="false"/>
          <w:i w:val="false"/>
          <w:iCs w:val="false"/>
          <w:color w:val="000000"/>
          <w:sz w:val="24"/>
          <w:szCs w:val="24"/>
        </w:rPr>
        <w:t xml:space="preserve">Title of the project: Heterogeneous Graph Neural Networks for Early-Stage Routing Congestion Prediction in Chip Layout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spacing w:after="60" w:before="0" w:line="360"/>
              <w:jc w:val="center"/>
            </w:pPr>
            <w:r>
              <w:rPr>
                <w:rFonts w:ascii="Times New Roman" w:cs="Times New Roman" w:eastAsia="Times New Roman" w:hAnsi="Times New Roman"/>
                <w:b w:val="false"/>
                <w:bCs w:val="false"/>
                <w:i w:val="false"/>
                <w:iCs w:val="false"/>
                <w:color w:val="000000"/>
                <w:sz w:val="24"/>
                <w:szCs w:val="24"/>
              </w:rPr>
              <w:t xml:space="preserve">Manan</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PRN: 23070126070</w:t>
            </w:r>
          </w:p>
        </w:tc>
        <w:tc>
          <w:tcPr>
            <w:tcW w:type="dxa" w:w="3120"/>
            <w:tcBorders>
              <w:top w:val="none"/>
              <w:left w:val="none"/>
              <w:bottom w:val="none"/>
              <w:right w:val="none"/>
            </w:tcBorders>
          </w:tcPr>
          <w:p>
            <w:pPr>
              <w:spacing w:after="60" w:before="0" w:line="360"/>
              <w:jc w:val="center"/>
            </w:pPr>
            <w:r>
              <w:rPr>
                <w:rFonts w:ascii="Times New Roman" w:cs="Times New Roman" w:eastAsia="Times New Roman" w:hAnsi="Times New Roman"/>
                <w:b w:val="false"/>
                <w:bCs w:val="false"/>
                <w:i w:val="false"/>
                <w:iCs w:val="false"/>
                <w:color w:val="000000"/>
                <w:sz w:val="24"/>
                <w:szCs w:val="24"/>
              </w:rPr>
              <w:t xml:space="preserve">Pratyush Sinha</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PRN: 23070126093</w:t>
            </w:r>
          </w:p>
        </w:tc>
        <w:tc>
          <w:tcPr>
            <w:tcW w:type="dxa" w:w="3120"/>
            <w:tcBorders>
              <w:top w:val="none"/>
              <w:left w:val="none"/>
              <w:bottom w:val="none"/>
              <w:right w:val="none"/>
            </w:tcBorders>
          </w:tcPr>
          <w:p>
            <w:pPr>
              <w:spacing w:after="60" w:before="0" w:line="360"/>
              <w:jc w:val="center"/>
            </w:pPr>
            <w:r>
              <w:rPr>
                <w:rFonts w:ascii="Times New Roman" w:cs="Times New Roman" w:eastAsia="Times New Roman" w:hAnsi="Times New Roman"/>
                <w:b w:val="false"/>
                <w:bCs w:val="false"/>
                <w:i w:val="false"/>
                <w:iCs w:val="false"/>
                <w:color w:val="000000"/>
                <w:sz w:val="24"/>
                <w:szCs w:val="24"/>
              </w:rPr>
              <w:t xml:space="preserve">Sidhant Nair</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PRN: 23070126127</w:t>
            </w:r>
          </w:p>
        </w:tc>
      </w:tr>
    </w:tbl>
    <w:p>
      <w:pPr>
        <w:spacing w:after="120" w:before="300" w:line="360"/>
        <w:jc w:val="left"/>
      </w:pPr>
      <w:r>
        <w:rPr>
          <w:rFonts w:ascii="Times New Roman" w:cs="Times New Roman" w:eastAsia="Times New Roman" w:hAnsi="Times New Roman"/>
          <w:b w:val="false"/>
          <w:bCs w:val="false"/>
          <w:i w:val="false"/>
          <w:iCs w:val="false"/>
          <w:color w:val="000000"/>
          <w:sz w:val="24"/>
          <w:szCs w:val="24"/>
        </w:rPr>
        <w:t xml:space="preserve">Date: ____________</w:t>
      </w:r>
    </w:p>
    <w:p>
      <w:r>
        <w:br w:type="page"/>
      </w:r>
    </w:p>
    <w:p>
      <w:pPr>
        <w:spacing w:after="400" w:before="0" w:line="360"/>
        <w:jc w:val="center"/>
      </w:pPr>
      <w:r>
        <w:rPr>
          <w:rFonts w:ascii="Times New Roman" w:cs="Times New Roman" w:eastAsia="Times New Roman" w:hAnsi="Times New Roman"/>
          <w:b/>
          <w:bCs/>
          <w:i w:val="false"/>
          <w:iCs w:val="false"/>
          <w:color w:val="000000"/>
          <w:sz w:val="28"/>
          <w:szCs w:val="28"/>
        </w:rPr>
        <w:t xml:space="preserve">ACKNOWLEDGEMENT</w:t>
      </w:r>
    </w:p>
    <w:p>
      <w:pPr>
        <w:spacing w:after="200" w:before="0" w:line="400"/>
        <w:jc w:val="both"/>
      </w:pPr>
      <w:r>
        <w:rPr>
          <w:rFonts w:ascii="Times New Roman" w:cs="Times New Roman" w:eastAsia="Times New Roman" w:hAnsi="Times New Roman"/>
          <w:b w:val="false"/>
          <w:bCs w:val="false"/>
          <w:i w:val="false"/>
          <w:iCs w:val="false"/>
          <w:color w:val="000000"/>
          <w:sz w:val="24"/>
          <w:szCs w:val="24"/>
        </w:rPr>
        <w:t xml:space="preserve">We want to express our sincere gratitude to everyone who supported us throughout this project. First and foremost, we would like to thank our project guide, Dr. Shrikrishna Kolhar, for his valuable guidance, encouragement, and feedback. His insistence that every claim in this work be traceable to a measurement shaped the way the project was built, and several of the findings reported here exist because of that discipline.</w:t>
      </w:r>
    </w:p>
    <w:p>
      <w:pPr>
        <w:spacing w:after="200" w:before="0" w:line="400"/>
        <w:jc w:val="both"/>
      </w:pPr>
      <w:r>
        <w:rPr>
          <w:rFonts w:ascii="Times New Roman" w:cs="Times New Roman" w:eastAsia="Times New Roman" w:hAnsi="Times New Roman"/>
          <w:b w:val="false"/>
          <w:bCs w:val="false"/>
          <w:i w:val="false"/>
          <w:iCs w:val="false"/>
          <w:color w:val="000000"/>
          <w:sz w:val="24"/>
          <w:szCs w:val="24"/>
        </w:rPr>
        <w:t xml:space="preserve">We would also like to thank the head of the department, Dr. Shruti Patil, for providing us with the necessary facilities and resources for conducting this project. We are grateful for the constant support and advice extended to us.</w:t>
      </w:r>
    </w:p>
    <w:p>
      <w:pPr>
        <w:spacing w:after="200" w:before="0" w:line="400"/>
        <w:jc w:val="both"/>
      </w:pPr>
      <w:r>
        <w:rPr>
          <w:rFonts w:ascii="Times New Roman" w:cs="Times New Roman" w:eastAsia="Times New Roman" w:hAnsi="Times New Roman"/>
          <w:b w:val="false"/>
          <w:bCs w:val="false"/>
          <w:i w:val="false"/>
          <w:iCs w:val="false"/>
          <w:color w:val="000000"/>
          <w:sz w:val="24"/>
          <w:szCs w:val="24"/>
        </w:rPr>
        <w:t xml:space="preserve">We acknowledge the contribution of each member of this project team. The work was divided across model and training, evaluation and benchmarking, and interface and visualisation, and each component depended on the others being correct.</w:t>
      </w:r>
    </w:p>
    <w:p>
      <w:pPr>
        <w:spacing w:after="200" w:before="0" w:line="400"/>
        <w:jc w:val="both"/>
      </w:pPr>
      <w:r>
        <w:rPr>
          <w:rFonts w:ascii="Times New Roman" w:cs="Times New Roman" w:eastAsia="Times New Roman" w:hAnsi="Times New Roman"/>
          <w:b w:val="false"/>
          <w:bCs w:val="false"/>
          <w:i w:val="false"/>
          <w:iCs w:val="false"/>
          <w:color w:val="000000"/>
          <w:sz w:val="24"/>
          <w:szCs w:val="24"/>
        </w:rPr>
        <w:t xml:space="preserve">This project builds directly on open-source infrastructure maintained by the wider electronic design automation community. In particular, the OpenROAD project and OpenROAD-flow-scripts made it possible for a student team with no commercial EDA licences to generate genuine post-route ground truth, and the PyTorch Geometric library made heterogeneous graph learning tractable on commodity hardware. We are grateful to the maintainers of both.</w:t>
      </w:r>
    </w:p>
    <w:p>
      <w:pPr>
        <w:spacing w:after="200" w:before="0" w:line="400"/>
        <w:jc w:val="both"/>
      </w:pPr>
      <w:r>
        <w:rPr>
          <w:rFonts w:ascii="Times New Roman" w:cs="Times New Roman" w:eastAsia="Times New Roman" w:hAnsi="Times New Roman"/>
          <w:b w:val="false"/>
          <w:bCs w:val="false"/>
          <w:i w:val="false"/>
          <w:iCs w:val="false"/>
          <w:color w:val="000000"/>
          <w:sz w:val="24"/>
          <w:szCs w:val="24"/>
        </w:rPr>
        <w:t xml:space="preserve">We would also like to thank our families and friends for their love, care, and support throughout this journey.</w:t>
      </w:r>
    </w:p>
    <w:p>
      <w:pPr>
        <w:spacing w:after="200" w:before="0" w:line="400"/>
        <w:jc w:val="both"/>
      </w:pPr>
      <w:r>
        <w:rPr>
          <w:rFonts w:ascii="Times New Roman" w:cs="Times New Roman" w:eastAsia="Times New Roman" w:hAnsi="Times New Roman"/>
          <w:b w:val="false"/>
          <w:bCs w:val="false"/>
          <w:i w:val="false"/>
          <w:iCs w:val="false"/>
          <w:color w:val="000000"/>
          <w:sz w:val="24"/>
          <w:szCs w:val="24"/>
        </w:rPr>
        <w:t xml:space="preserve">Lastly, we thank Symbiosis Institute of Technology, Pune for allowing us to work on this project and enhance our skills and knowledge.</w:t>
      </w:r>
    </w:p>
    <w:p>
      <w:r>
        <w:br w:type="page"/>
      </w:r>
    </w:p>
    <w:p>
      <w:pPr>
        <w:spacing w:after="300" w:before="0" w:line="360"/>
        <w:jc w:val="left"/>
      </w:pPr>
      <w:r>
        <w:rPr>
          <w:rFonts w:ascii="Times New Roman" w:cs="Times New Roman" w:eastAsia="Times New Roman" w:hAnsi="Times New Roman"/>
          <w:b/>
          <w:bCs/>
          <w:i w:val="false"/>
          <w:iCs w:val="false"/>
          <w:color w:val="000000"/>
          <w:sz w:val="28"/>
          <w:szCs w:val="28"/>
        </w:rPr>
        <w:t xml:space="preserve">ABSTRACT</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Physical design convergence in modern integrated circuits is limited by the cost of obtaining accurate downstream feedback. After the cells of a design have been placed, the wires connecting them must be routed through a finite number of metal tracks; routing congestion occurs in regions where wiring demand exceeds the tracks available. Congestion causes timing degradation, increased power, and in severe cases a layout that cannot be manufactured. The difficulty is not that congestion is hard to measure, but that it is measured too late: it is confirmed only after global or detailed routing, one of the most expensive stages of the flow, by which point the corrective action required is a change to the placement that preceded it. Each such iteration on a large industrial design is measured in hours to days.</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This project develops a machine learning system that predicts routing congestion directly from a placed but unrouted design, without invoking a routing engine. The central design decision is representational. Prior work has largely treated the problem either as an image-prediction task over a rasterised layout, which discards the netlist topology, or as a graph-learning task over the netlist, which discards the physical geometry of the placement. More recent methods combine the two views but encode them with separate networks and fuse them only at the output, which limits how finely connectivity and geometry can interact. We instead represent the entire placed design as a single heterogeneous graph in which standard cells, electrical nets and spatial grid regions are all first-class nodes, connected by six relation types covering pin connectivity, spatial containment, geometric proximity and grid adjacency. Logical intent and physical realisation therefore interact throughout message passing rather than at the end of it.</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The model, CongestionGNN, applies type-specific linear encoders into a shared latent space, three layers of relation-specific message passing built from GraphSAGE operators wrapped in a heterogeneous convolution, and a multilayer perceptron head on the grid nodes that predicts horizontal and vertical congestion ratio per region. It is trained with a composite objective: a Huber regression term for magnitude, combined with a pairwise hinge ranking term that optimises the ordering of regions directly. The ranking term reflects how the output is actually consumed, since a physical design engineer addresses the worst regions first and therefore cares more about correct ordering than about absolute values.</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The work was carried out as a sequence of thirteen phases, each closed by a quantitative gate. The complete pipeline was first validated end to end on a small open design, gcd in the nangate45 technology, comprising 606 placed cells. Ground-truth congestion extracted from the OpenROAD database matched the tool's own heatmap to a maximum absolute difference of 5e-6; the constructed grid aligned with the router's grid with zero mismatches across 614 instances; a 45-sample dataset was generated with no duplicate congestion maps; and a single-sample overfit gate reached Spearman correlations of 0.9702 and 0.9812 on the horizontal and vertical channels respectively, confirming that the features and labels are structurally sound.</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Scaling that validated pipeline to benchmark-sized designs proved to be the substantive engineering problem, and measurement rather than assumption was used to characterise it. A synthetic graph generator was built to produce designs from 35 thousand to 1.5 million cells that reproduce the heavy-tailed net degree distribution of real circuits, in which most nets connect two to four pins while a small number connect tens of thousands. Memory profiling across these scales revealed that the original graph construction routine was quadratic in cell count and would have exhausted a 12 GB budget at approximately 20 thousand cells, below the smallest design in the target benchmark, a defect the 606-cell validation design was far too small to expose. Replaced with an exact tiled implementation, graph construction now requires 2.13 GiB at 1.5 million cells. A full-graph training step was separately measured to reach the same 12 GB budget at approximately 1.1 million cells, within the benchmark's own design range, establishing that partitioned training is a requirement rather than an optimisation.</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Accordingly, a spatial partitioning scheme was developed in which the grid is divided into contiguous rectangles balanced by cell count, each augmented with a three-hop halo matched to the model's three message-passing layers, with high-fanout nets capped at 512 pins. Without degree capping the halo reproduces the full-graph output bit-for-bit across all 656,100 grid outputs at 1.5 million cells; with capping, the maximum deviation is 3.9e-7 against an output standard deviation of 0.082. The largest partition of a 1.5 million-cell design requires 1.385 GiB, against 16.1 GiB extrapolated for the unpartitioned step. Analytical baselines, including an implementation of RUDY derived from the original 2007 formulation and verified against a brute-force evaluation to within 1e-13, and configuration-driven training infrastructure with design-level splitting, checkpointing and deterministic execution complete the system.</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The final experiment uses twelve real OpenROAD samples across four nangate45 designs, split by design. Held-out aes Spearman is 0.7570 horizontally and 0.7308 vertically, averaged over its three variants. Density-only, capacity-only and RUDY use the identical test split. Earlier synthetic training results validate infrastructure only. CircuitNet, ISPD2015, CNN comparison, ablation and cross-technology transfer were not performed.</w:t>
      </w:r>
    </w:p>
    <w:p>
      <w:pPr>
        <w:spacing w:after="120" w:before="240" w:line="360"/>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Heterogeneous Graph Neural Network, Routing Congestion Prediction, VLSI Physical Design, Electronic Design Automation, Graph Representation Learning, OpenROAD, Spatial Partitioning, Rank Correlation</w:t>
      </w:r>
    </w:p>
    <w:p>
      <w:r>
        <w:br w:type="page"/>
      </w:r>
    </w:p>
    <w:p>
      <w:pPr>
        <w:spacing w:after="240" w:before="0" w:line="360"/>
        <w:jc w:val="left"/>
      </w:pPr>
      <w:r>
        <w:rPr>
          <w:rFonts w:ascii="Times New Roman" w:cs="Times New Roman" w:eastAsia="Times New Roman" w:hAnsi="Times New Roman"/>
          <w:b/>
          <w:bCs/>
          <w:i w:val="false"/>
          <w:iCs w:val="false"/>
          <w:color w:val="000000"/>
          <w:sz w:val="28"/>
          <w:szCs w:val="28"/>
        </w:rPr>
        <w:t xml:space="preserve">TABLE OF CONTENTS</w:t>
      </w:r>
    </w:p>
    <w:p>
      <w:pPr>
        <w:tabs>
          <w:tab w:val="right" w:pos="9200" w:leader="dot"/>
        </w:tabs>
        <w:spacing w:after="60" w:line="280"/>
      </w:pPr>
      <w:r>
        <w:rPr>
          <w:rFonts w:ascii="Times New Roman" w:cs="Times New Roman" w:eastAsia="Times New Roman" w:hAnsi="Times New Roman"/>
          <w:b w:val="false"/>
          <w:bCs w:val="false"/>
          <w:sz w:val="22"/>
          <w:szCs w:val="22"/>
        </w:rPr>
        <w:t xml:space="preserve">Certificate</w:t>
      </w:r>
      <w:r>
        <w:rPr>
          <w:rFonts w:ascii="Times New Roman" w:cs="Times New Roman" w:eastAsia="Times New Roman" w:hAnsi="Times New Roman"/>
          <w:b w:val="false"/>
          <w:bCs w:val="false"/>
          <w:sz w:val="22"/>
          <w:szCs w:val="22"/>
        </w:rPr>
        <w:t xml:space="preserve">	ii</w:t>
      </w:r>
    </w:p>
    <w:p>
      <w:pPr>
        <w:tabs>
          <w:tab w:val="right" w:pos="9200" w:leader="dot"/>
        </w:tabs>
        <w:spacing w:after="60" w:line="280"/>
      </w:pPr>
      <w:r>
        <w:rPr>
          <w:rFonts w:ascii="Times New Roman" w:cs="Times New Roman" w:eastAsia="Times New Roman" w:hAnsi="Times New Roman"/>
          <w:b w:val="false"/>
          <w:bCs w:val="false"/>
          <w:sz w:val="22"/>
          <w:szCs w:val="22"/>
        </w:rPr>
        <w:t xml:space="preserve">Declaration</w:t>
      </w:r>
      <w:r>
        <w:rPr>
          <w:rFonts w:ascii="Times New Roman" w:cs="Times New Roman" w:eastAsia="Times New Roman" w:hAnsi="Times New Roman"/>
          <w:b w:val="false"/>
          <w:bCs w:val="false"/>
          <w:sz w:val="22"/>
          <w:szCs w:val="22"/>
        </w:rPr>
        <w:t xml:space="preserve">	iii</w:t>
      </w:r>
    </w:p>
    <w:p>
      <w:pPr>
        <w:tabs>
          <w:tab w:val="right" w:pos="9200" w:leader="dot"/>
        </w:tabs>
        <w:spacing w:after="60" w:line="280"/>
      </w:pPr>
      <w:r>
        <w:rPr>
          <w:rFonts w:ascii="Times New Roman" w:cs="Times New Roman" w:eastAsia="Times New Roman" w:hAnsi="Times New Roman"/>
          <w:b w:val="false"/>
          <w:bCs w:val="false"/>
          <w:sz w:val="22"/>
          <w:szCs w:val="22"/>
        </w:rPr>
        <w:t xml:space="preserve">Acknowledgement</w:t>
      </w:r>
      <w:r>
        <w:rPr>
          <w:rFonts w:ascii="Times New Roman" w:cs="Times New Roman" w:eastAsia="Times New Roman" w:hAnsi="Times New Roman"/>
          <w:b w:val="false"/>
          <w:bCs w:val="false"/>
          <w:sz w:val="22"/>
          <w:szCs w:val="22"/>
        </w:rPr>
        <w:t xml:space="preserve">	iv</w:t>
      </w:r>
    </w:p>
    <w:p>
      <w:pPr>
        <w:tabs>
          <w:tab w:val="right" w:pos="9200" w:leader="dot"/>
        </w:tabs>
        <w:spacing w:after="60" w:line="280"/>
      </w:pPr>
      <w:r>
        <w:rPr>
          <w:rFonts w:ascii="Times New Roman" w:cs="Times New Roman" w:eastAsia="Times New Roman" w:hAnsi="Times New Roman"/>
          <w:b w:val="false"/>
          <w:bCs w:val="false"/>
          <w:sz w:val="22"/>
          <w:szCs w:val="22"/>
        </w:rPr>
        <w:t xml:space="preserve">Abstract</w:t>
      </w:r>
      <w:r>
        <w:rPr>
          <w:rFonts w:ascii="Times New Roman" w:cs="Times New Roman" w:eastAsia="Times New Roman" w:hAnsi="Times New Roman"/>
          <w:b w:val="false"/>
          <w:bCs w:val="false"/>
          <w:sz w:val="22"/>
          <w:szCs w:val="22"/>
        </w:rPr>
        <w:t xml:space="preserve">	v</w:t>
      </w:r>
    </w:p>
    <w:p>
      <w:pPr>
        <w:tabs>
          <w:tab w:val="right" w:pos="9200" w:leader="dot"/>
        </w:tabs>
        <w:spacing w:after="60" w:line="280"/>
      </w:pPr>
      <w:r>
        <w:rPr>
          <w:rFonts w:ascii="Times New Roman" w:cs="Times New Roman" w:eastAsia="Times New Roman" w:hAnsi="Times New Roman"/>
          <w:b w:val="false"/>
          <w:bCs w:val="false"/>
          <w:sz w:val="22"/>
          <w:szCs w:val="22"/>
        </w:rPr>
        <w:t xml:space="preserve">Table of Contents</w:t>
      </w:r>
      <w:r>
        <w:rPr>
          <w:rFonts w:ascii="Times New Roman" w:cs="Times New Roman" w:eastAsia="Times New Roman" w:hAnsi="Times New Roman"/>
          <w:b w:val="false"/>
          <w:bCs w:val="false"/>
          <w:sz w:val="22"/>
          <w:szCs w:val="22"/>
        </w:rPr>
        <w:t xml:space="preserve">	vii</w:t>
      </w:r>
    </w:p>
    <w:p>
      <w:pPr>
        <w:tabs>
          <w:tab w:val="right" w:pos="9200" w:leader="dot"/>
        </w:tabs>
        <w:spacing w:after="60" w:line="280"/>
      </w:pPr>
      <w:r>
        <w:rPr>
          <w:rFonts w:ascii="Times New Roman" w:cs="Times New Roman" w:eastAsia="Times New Roman" w:hAnsi="Times New Roman"/>
          <w:b w:val="false"/>
          <w:bCs w:val="false"/>
          <w:sz w:val="22"/>
          <w:szCs w:val="22"/>
        </w:rPr>
        <w:t xml:space="preserve">List of Tables</w:t>
      </w:r>
      <w:r>
        <w:rPr>
          <w:rFonts w:ascii="Times New Roman" w:cs="Times New Roman" w:eastAsia="Times New Roman" w:hAnsi="Times New Roman"/>
          <w:b w:val="false"/>
          <w:bCs w:val="false"/>
          <w:sz w:val="22"/>
          <w:szCs w:val="22"/>
        </w:rPr>
        <w:t xml:space="preserve">	viii</w:t>
      </w:r>
    </w:p>
    <w:p>
      <w:pPr>
        <w:tabs>
          <w:tab w:val="right" w:pos="9200" w:leader="dot"/>
        </w:tabs>
        <w:spacing w:after="60" w:line="280"/>
      </w:pPr>
      <w:r>
        <w:rPr>
          <w:rFonts w:ascii="Times New Roman" w:cs="Times New Roman" w:eastAsia="Times New Roman" w:hAnsi="Times New Roman"/>
          <w:b w:val="false"/>
          <w:bCs w:val="false"/>
          <w:sz w:val="22"/>
          <w:szCs w:val="22"/>
        </w:rPr>
        <w:t xml:space="preserve">List of Figures</w:t>
      </w:r>
      <w:r>
        <w:rPr>
          <w:rFonts w:ascii="Times New Roman" w:cs="Times New Roman" w:eastAsia="Times New Roman" w:hAnsi="Times New Roman"/>
          <w:b w:val="false"/>
          <w:bCs w:val="false"/>
          <w:sz w:val="22"/>
          <w:szCs w:val="22"/>
        </w:rPr>
        <w:t xml:space="preserve">	ix</w:t>
      </w:r>
    </w:p>
    <w:p>
      <w:pPr>
        <w:tabs>
          <w:tab w:val="right" w:pos="9200" w:leader="dot"/>
        </w:tabs>
        <w:spacing w:after="60" w:line="280"/>
      </w:pPr>
      <w:r>
        <w:rPr>
          <w:rFonts w:ascii="Times New Roman" w:cs="Times New Roman" w:eastAsia="Times New Roman" w:hAnsi="Times New Roman"/>
          <w:b w:val="false"/>
          <w:bCs w:val="false"/>
          <w:sz w:val="22"/>
          <w:szCs w:val="22"/>
        </w:rPr>
        <w:t xml:space="preserve">List of Abbreviations</w:t>
      </w:r>
      <w:r>
        <w:rPr>
          <w:rFonts w:ascii="Times New Roman" w:cs="Times New Roman" w:eastAsia="Times New Roman" w:hAnsi="Times New Roman"/>
          <w:b w:val="false"/>
          <w:bCs w:val="false"/>
          <w:sz w:val="22"/>
          <w:szCs w:val="22"/>
        </w:rPr>
        <w:t xml:space="preserve">	x</w:t>
      </w:r>
    </w:p>
    <w:p>
      <w:pPr>
        <w:tabs>
          <w:tab w:val="right" w:pos="9200" w:leader="dot"/>
        </w:tabs>
        <w:spacing w:after="60" w:line="28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b/>
          <w:bCs/>
          <w:sz w:val="22"/>
          <w:szCs w:val="22"/>
        </w:rPr>
        <w:t xml:space="preserve">	1</w:t>
      </w:r>
    </w:p>
    <w:p>
      <w:pPr>
        <w:tabs>
          <w:tab w:val="right" w:pos="9200" w:leader="dot"/>
        </w:tabs>
        <w:spacing w:after="60" w:line="280"/>
      </w:pPr>
      <w:r>
        <w:rPr>
          <w:rFonts w:ascii="Times New Roman" w:cs="Times New Roman" w:eastAsia="Times New Roman" w:hAnsi="Times New Roman"/>
          <w:b w:val="false"/>
          <w:bCs w:val="false"/>
          <w:sz w:val="22"/>
          <w:szCs w:val="22"/>
        </w:rPr>
        <w:t xml:space="preserve">1.1  Introduction</w:t>
      </w:r>
      <w:r>
        <w:rPr>
          <w:rFonts w:ascii="Times New Roman" w:cs="Times New Roman" w:eastAsia="Times New Roman" w:hAnsi="Times New Roman"/>
          <w:b w:val="false"/>
          <w:bCs w:val="false"/>
          <w:sz w:val="22"/>
          <w:szCs w:val="22"/>
        </w:rPr>
        <w:t xml:space="preserve">	1</w:t>
      </w:r>
    </w:p>
    <w:p>
      <w:pPr>
        <w:tabs>
          <w:tab w:val="right" w:pos="9200" w:leader="dot"/>
        </w:tabs>
        <w:spacing w:after="60" w:line="280"/>
      </w:pPr>
      <w:r>
        <w:rPr>
          <w:rFonts w:ascii="Times New Roman" w:cs="Times New Roman" w:eastAsia="Times New Roman" w:hAnsi="Times New Roman"/>
          <w:b w:val="false"/>
          <w:bCs w:val="false"/>
          <w:sz w:val="22"/>
          <w:szCs w:val="22"/>
        </w:rPr>
        <w:t xml:space="preserve">1.2  Problem Statement</w:t>
      </w:r>
      <w:r>
        <w:rPr>
          <w:rFonts w:ascii="Times New Roman" w:cs="Times New Roman" w:eastAsia="Times New Roman" w:hAnsi="Times New Roman"/>
          <w:b w:val="false"/>
          <w:bCs w:val="false"/>
          <w:sz w:val="22"/>
          <w:szCs w:val="22"/>
        </w:rPr>
        <w:t xml:space="preserve">	2</w:t>
      </w:r>
    </w:p>
    <w:p>
      <w:pPr>
        <w:tabs>
          <w:tab w:val="right" w:pos="9200" w:leader="dot"/>
        </w:tabs>
        <w:spacing w:after="60" w:line="280"/>
      </w:pPr>
      <w:r>
        <w:rPr>
          <w:rFonts w:ascii="Times New Roman" w:cs="Times New Roman" w:eastAsia="Times New Roman" w:hAnsi="Times New Roman"/>
          <w:b w:val="false"/>
          <w:bCs w:val="false"/>
          <w:sz w:val="22"/>
          <w:szCs w:val="22"/>
        </w:rPr>
        <w:t xml:space="preserve">1.3  Scope of Research</w:t>
      </w:r>
      <w:r>
        <w:rPr>
          <w:rFonts w:ascii="Times New Roman" w:cs="Times New Roman" w:eastAsia="Times New Roman" w:hAnsi="Times New Roman"/>
          <w:b w:val="false"/>
          <w:bCs w:val="false"/>
          <w:sz w:val="22"/>
          <w:szCs w:val="22"/>
        </w:rPr>
        <w:t xml:space="preserve">	3</w:t>
      </w:r>
    </w:p>
    <w:p>
      <w:pPr>
        <w:tabs>
          <w:tab w:val="right" w:pos="9200" w:leader="dot"/>
        </w:tabs>
        <w:spacing w:after="60" w:line="280"/>
      </w:pPr>
      <w:r>
        <w:rPr>
          <w:rFonts w:ascii="Times New Roman" w:cs="Times New Roman" w:eastAsia="Times New Roman" w:hAnsi="Times New Roman"/>
          <w:b w:val="false"/>
          <w:bCs w:val="false"/>
          <w:sz w:val="22"/>
          <w:szCs w:val="22"/>
        </w:rPr>
        <w:t xml:space="preserve">1.4  Research Hypothesis</w:t>
      </w:r>
      <w:r>
        <w:rPr>
          <w:rFonts w:ascii="Times New Roman" w:cs="Times New Roman" w:eastAsia="Times New Roman" w:hAnsi="Times New Roman"/>
          <w:b w:val="false"/>
          <w:bCs w:val="false"/>
          <w:sz w:val="22"/>
          <w:szCs w:val="22"/>
        </w:rPr>
        <w:t xml:space="preserve">	3</w:t>
      </w:r>
    </w:p>
    <w:p>
      <w:pPr>
        <w:tabs>
          <w:tab w:val="right" w:pos="9200" w:leader="dot"/>
        </w:tabs>
        <w:spacing w:after="60" w:line="280"/>
      </w:pPr>
      <w:r>
        <w:rPr>
          <w:rFonts w:ascii="Times New Roman" w:cs="Times New Roman" w:eastAsia="Times New Roman" w:hAnsi="Times New Roman"/>
          <w:b w:val="false"/>
          <w:bCs w:val="false"/>
          <w:sz w:val="22"/>
          <w:szCs w:val="22"/>
        </w:rPr>
        <w:t xml:space="preserve">1.5  Objectives</w:t>
      </w:r>
      <w:r>
        <w:rPr>
          <w:rFonts w:ascii="Times New Roman" w:cs="Times New Roman" w:eastAsia="Times New Roman" w:hAnsi="Times New Roman"/>
          <w:b w:val="false"/>
          <w:bCs w:val="false"/>
          <w:sz w:val="22"/>
          <w:szCs w:val="22"/>
        </w:rPr>
        <w:t xml:space="preserve">	4</w:t>
      </w:r>
    </w:p>
    <w:p>
      <w:pPr>
        <w:tabs>
          <w:tab w:val="right" w:pos="9200" w:leader="dot"/>
        </w:tabs>
        <w:spacing w:after="60" w:line="280"/>
      </w:pPr>
      <w:r>
        <w:rPr>
          <w:rFonts w:ascii="Times New Roman" w:cs="Times New Roman" w:eastAsia="Times New Roman" w:hAnsi="Times New Roman"/>
          <w:b w:val="false"/>
          <w:bCs w:val="false"/>
          <w:sz w:val="22"/>
          <w:szCs w:val="22"/>
        </w:rPr>
        <w:t xml:space="preserve">1.6  Organization of the Report</w:t>
      </w:r>
      <w:r>
        <w:rPr>
          <w:rFonts w:ascii="Times New Roman" w:cs="Times New Roman" w:eastAsia="Times New Roman" w:hAnsi="Times New Roman"/>
          <w:b w:val="false"/>
          <w:bCs w:val="false"/>
          <w:sz w:val="22"/>
          <w:szCs w:val="22"/>
        </w:rPr>
        <w:t xml:space="preserve">	5</w:t>
      </w:r>
    </w:p>
    <w:p>
      <w:pPr>
        <w:tabs>
          <w:tab w:val="right" w:pos="9200" w:leader="dot"/>
        </w:tabs>
        <w:spacing w:after="60" w:line="28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b/>
          <w:bCs/>
          <w:sz w:val="22"/>
          <w:szCs w:val="22"/>
        </w:rPr>
        <w:t xml:space="preserve">	6</w:t>
      </w:r>
    </w:p>
    <w:p>
      <w:pPr>
        <w:tabs>
          <w:tab w:val="right" w:pos="9200" w:leader="dot"/>
        </w:tabs>
        <w:spacing w:after="60" w:line="280"/>
      </w:pPr>
      <w:r>
        <w:rPr>
          <w:rFonts w:ascii="Times New Roman" w:cs="Times New Roman" w:eastAsia="Times New Roman" w:hAnsi="Times New Roman"/>
          <w:b w:val="false"/>
          <w:bCs w:val="false"/>
          <w:sz w:val="22"/>
          <w:szCs w:val="22"/>
        </w:rPr>
        <w:t xml:space="preserve">2.1  Background</w:t>
      </w:r>
      <w:r>
        <w:rPr>
          <w:rFonts w:ascii="Times New Roman" w:cs="Times New Roman" w:eastAsia="Times New Roman" w:hAnsi="Times New Roman"/>
          <w:b w:val="false"/>
          <w:bCs w:val="false"/>
          <w:sz w:val="22"/>
          <w:szCs w:val="22"/>
        </w:rPr>
        <w:t xml:space="preserve">	6</w:t>
      </w:r>
    </w:p>
    <w:p>
      <w:pPr>
        <w:tabs>
          <w:tab w:val="right" w:pos="9200" w:leader="dot"/>
        </w:tabs>
        <w:spacing w:after="60" w:line="280"/>
      </w:pPr>
      <w:r>
        <w:rPr>
          <w:rFonts w:ascii="Times New Roman" w:cs="Times New Roman" w:eastAsia="Times New Roman" w:hAnsi="Times New Roman"/>
          <w:b w:val="false"/>
          <w:bCs w:val="false"/>
          <w:sz w:val="22"/>
          <w:szCs w:val="22"/>
        </w:rPr>
        <w:t xml:space="preserve">2.2  Literature Review</w:t>
      </w:r>
      <w:r>
        <w:rPr>
          <w:rFonts w:ascii="Times New Roman" w:cs="Times New Roman" w:eastAsia="Times New Roman" w:hAnsi="Times New Roman"/>
          <w:b w:val="false"/>
          <w:bCs w:val="false"/>
          <w:sz w:val="22"/>
          <w:szCs w:val="22"/>
        </w:rPr>
        <w:t xml:space="preserve">	7</w:t>
      </w:r>
    </w:p>
    <w:p>
      <w:pPr>
        <w:tabs>
          <w:tab w:val="right" w:pos="9200" w:leader="dot"/>
        </w:tabs>
        <w:spacing w:after="60" w:line="280"/>
      </w:pPr>
      <w:r>
        <w:rPr>
          <w:rFonts w:ascii="Times New Roman" w:cs="Times New Roman" w:eastAsia="Times New Roman" w:hAnsi="Times New Roman"/>
          <w:b w:val="false"/>
          <w:bCs w:val="false"/>
          <w:sz w:val="22"/>
          <w:szCs w:val="22"/>
        </w:rPr>
        <w:t xml:space="preserve">2.3  Summary of Literature Review and Research Gap</w:t>
      </w:r>
      <w:r>
        <w:rPr>
          <w:rFonts w:ascii="Times New Roman" w:cs="Times New Roman" w:eastAsia="Times New Roman" w:hAnsi="Times New Roman"/>
          <w:b w:val="false"/>
          <w:bCs w:val="false"/>
          <w:sz w:val="22"/>
          <w:szCs w:val="22"/>
        </w:rPr>
        <w:t xml:space="preserve">	8</w:t>
      </w:r>
    </w:p>
    <w:p>
      <w:pPr>
        <w:tabs>
          <w:tab w:val="right" w:pos="9200" w:leader="dot"/>
        </w:tabs>
        <w:spacing w:after="60" w:line="280"/>
      </w:pPr>
      <w:r>
        <w:rPr>
          <w:rFonts w:ascii="Times New Roman" w:cs="Times New Roman" w:eastAsia="Times New Roman" w:hAnsi="Times New Roman"/>
          <w:b/>
          <w:bCs/>
          <w:sz w:val="22"/>
          <w:szCs w:val="22"/>
        </w:rPr>
        <w:t xml:space="preserve">CHAPTER 3: SOFTWARE REQUIREMENTS SPECIFICATION</w:t>
      </w:r>
      <w:r>
        <w:rPr>
          <w:rFonts w:ascii="Times New Roman" w:cs="Times New Roman" w:eastAsia="Times New Roman" w:hAnsi="Times New Roman"/>
          <w:b/>
          <w:bCs/>
          <w:sz w:val="22"/>
          <w:szCs w:val="22"/>
        </w:rPr>
        <w:t xml:space="preserve">	10</w:t>
      </w:r>
    </w:p>
    <w:p>
      <w:pPr>
        <w:tabs>
          <w:tab w:val="right" w:pos="9200" w:leader="dot"/>
        </w:tabs>
        <w:spacing w:after="60" w:line="280"/>
      </w:pPr>
      <w:r>
        <w:rPr>
          <w:rFonts w:ascii="Times New Roman" w:cs="Times New Roman" w:eastAsia="Times New Roman" w:hAnsi="Times New Roman"/>
          <w:b w:val="false"/>
          <w:bCs w:val="false"/>
          <w:sz w:val="22"/>
          <w:szCs w:val="22"/>
        </w:rPr>
        <w:t xml:space="preserve">3.1  Software Tool Platform / Tools / Framework Used</w:t>
      </w:r>
      <w:r>
        <w:rPr>
          <w:rFonts w:ascii="Times New Roman" w:cs="Times New Roman" w:eastAsia="Times New Roman" w:hAnsi="Times New Roman"/>
          <w:b w:val="false"/>
          <w:bCs w:val="false"/>
          <w:sz w:val="22"/>
          <w:szCs w:val="22"/>
        </w:rPr>
        <w:t xml:space="preserve">	10</w:t>
      </w:r>
    </w:p>
    <w:p>
      <w:pPr>
        <w:tabs>
          <w:tab w:val="right" w:pos="9200" w:leader="dot"/>
        </w:tabs>
        <w:spacing w:after="60" w:line="280"/>
      </w:pPr>
      <w:r>
        <w:rPr>
          <w:rFonts w:ascii="Times New Roman" w:cs="Times New Roman" w:eastAsia="Times New Roman" w:hAnsi="Times New Roman"/>
          <w:b w:val="false"/>
          <w:bCs w:val="false"/>
          <w:sz w:val="22"/>
          <w:szCs w:val="22"/>
        </w:rPr>
        <w:t xml:space="preserve">3.2  Hardware Tools</w:t>
      </w:r>
      <w:r>
        <w:rPr>
          <w:rFonts w:ascii="Times New Roman" w:cs="Times New Roman" w:eastAsia="Times New Roman" w:hAnsi="Times New Roman"/>
          <w:b w:val="false"/>
          <w:bCs w:val="false"/>
          <w:sz w:val="22"/>
          <w:szCs w:val="22"/>
        </w:rPr>
        <w:t xml:space="preserve">	10</w:t>
      </w:r>
    </w:p>
    <w:p>
      <w:pPr>
        <w:tabs>
          <w:tab w:val="right" w:pos="9200" w:leader="dot"/>
        </w:tabs>
        <w:spacing w:after="60" w:line="280"/>
      </w:pPr>
      <w:r>
        <w:rPr>
          <w:rFonts w:ascii="Times New Roman" w:cs="Times New Roman" w:eastAsia="Times New Roman" w:hAnsi="Times New Roman"/>
          <w:b w:val="false"/>
          <w:bCs w:val="false"/>
          <w:sz w:val="22"/>
          <w:szCs w:val="22"/>
        </w:rPr>
        <w:t xml:space="preserve">3.3  Work Breakdown Structure</w:t>
      </w:r>
      <w:r>
        <w:rPr>
          <w:rFonts w:ascii="Times New Roman" w:cs="Times New Roman" w:eastAsia="Times New Roman" w:hAnsi="Times New Roman"/>
          <w:b w:val="false"/>
          <w:bCs w:val="false"/>
          <w:sz w:val="22"/>
          <w:szCs w:val="22"/>
        </w:rPr>
        <w:t xml:space="preserve">	11</w:t>
      </w:r>
    </w:p>
    <w:p>
      <w:pPr>
        <w:tabs>
          <w:tab w:val="right" w:pos="9200" w:leader="dot"/>
        </w:tabs>
        <w:spacing w:after="60" w:line="280"/>
      </w:pPr>
      <w:r>
        <w:rPr>
          <w:rFonts w:ascii="Times New Roman" w:cs="Times New Roman" w:eastAsia="Times New Roman" w:hAnsi="Times New Roman"/>
          <w:b w:val="false"/>
          <w:bCs w:val="false"/>
          <w:sz w:val="22"/>
          <w:szCs w:val="22"/>
        </w:rPr>
        <w:t xml:space="preserve">3.4  Functional Requirements</w:t>
      </w:r>
      <w:r>
        <w:rPr>
          <w:rFonts w:ascii="Times New Roman" w:cs="Times New Roman" w:eastAsia="Times New Roman" w:hAnsi="Times New Roman"/>
          <w:b w:val="false"/>
          <w:bCs w:val="false"/>
          <w:sz w:val="22"/>
          <w:szCs w:val="22"/>
        </w:rPr>
        <w:t xml:space="preserve">	12</w:t>
      </w:r>
    </w:p>
    <w:p>
      <w:pPr>
        <w:tabs>
          <w:tab w:val="right" w:pos="9200" w:leader="dot"/>
        </w:tabs>
        <w:spacing w:after="60" w:line="280"/>
      </w:pPr>
      <w:r>
        <w:rPr>
          <w:rFonts w:ascii="Times New Roman" w:cs="Times New Roman" w:eastAsia="Times New Roman" w:hAnsi="Times New Roman"/>
          <w:b w:val="false"/>
          <w:bCs w:val="false"/>
          <w:sz w:val="22"/>
          <w:szCs w:val="22"/>
        </w:rPr>
        <w:t xml:space="preserve">3.5  Non-Functional Requirements</w:t>
      </w:r>
      <w:r>
        <w:rPr>
          <w:rFonts w:ascii="Times New Roman" w:cs="Times New Roman" w:eastAsia="Times New Roman" w:hAnsi="Times New Roman"/>
          <w:b w:val="false"/>
          <w:bCs w:val="false"/>
          <w:sz w:val="22"/>
          <w:szCs w:val="22"/>
        </w:rPr>
        <w:t xml:space="preserve">	12</w:t>
      </w:r>
    </w:p>
    <w:p>
      <w:pPr>
        <w:tabs>
          <w:tab w:val="right" w:pos="9200" w:leader="dot"/>
        </w:tabs>
        <w:spacing w:after="60" w:line="280"/>
      </w:pPr>
      <w:r>
        <w:rPr>
          <w:rFonts w:ascii="Times New Roman" w:cs="Times New Roman" w:eastAsia="Times New Roman" w:hAnsi="Times New Roman"/>
          <w:b/>
          <w:bCs/>
          <w:sz w:val="22"/>
          <w:szCs w:val="22"/>
        </w:rPr>
        <w:t xml:space="preserve">CHAPTER 4: METHODOLOGY</w:t>
      </w:r>
      <w:r>
        <w:rPr>
          <w:rFonts w:ascii="Times New Roman" w:cs="Times New Roman" w:eastAsia="Times New Roman" w:hAnsi="Times New Roman"/>
          <w:b/>
          <w:bCs/>
          <w:sz w:val="22"/>
          <w:szCs w:val="22"/>
        </w:rPr>
        <w:t xml:space="preserve">	14</w:t>
      </w:r>
    </w:p>
    <w:p>
      <w:pPr>
        <w:tabs>
          <w:tab w:val="right" w:pos="9200" w:leader="dot"/>
        </w:tabs>
        <w:spacing w:after="60" w:line="280"/>
      </w:pPr>
      <w:r>
        <w:rPr>
          <w:rFonts w:ascii="Times New Roman" w:cs="Times New Roman" w:eastAsia="Times New Roman" w:hAnsi="Times New Roman"/>
          <w:b w:val="false"/>
          <w:bCs w:val="false"/>
          <w:sz w:val="22"/>
          <w:szCs w:val="22"/>
        </w:rPr>
        <w:t xml:space="preserve">4.1  Data Collection and Dataset Description</w:t>
      </w:r>
      <w:r>
        <w:rPr>
          <w:rFonts w:ascii="Times New Roman" w:cs="Times New Roman" w:eastAsia="Times New Roman" w:hAnsi="Times New Roman"/>
          <w:b w:val="false"/>
          <w:bCs w:val="false"/>
          <w:sz w:val="22"/>
          <w:szCs w:val="22"/>
        </w:rPr>
        <w:t xml:space="preserve">	14</w:t>
      </w:r>
    </w:p>
    <w:p>
      <w:pPr>
        <w:tabs>
          <w:tab w:val="right" w:pos="9200" w:leader="dot"/>
        </w:tabs>
        <w:spacing w:after="60" w:line="280"/>
      </w:pPr>
      <w:r>
        <w:rPr>
          <w:rFonts w:ascii="Times New Roman" w:cs="Times New Roman" w:eastAsia="Times New Roman" w:hAnsi="Times New Roman"/>
          <w:b w:val="false"/>
          <w:bCs w:val="false"/>
          <w:sz w:val="22"/>
          <w:szCs w:val="22"/>
        </w:rPr>
        <w:t xml:space="preserve">4.2  Ground-Truth Extraction and Graph Construction</w:t>
      </w:r>
      <w:r>
        <w:rPr>
          <w:rFonts w:ascii="Times New Roman" w:cs="Times New Roman" w:eastAsia="Times New Roman" w:hAnsi="Times New Roman"/>
          <w:b w:val="false"/>
          <w:bCs w:val="false"/>
          <w:sz w:val="22"/>
          <w:szCs w:val="22"/>
        </w:rPr>
        <w:t xml:space="preserve">	14</w:t>
      </w:r>
    </w:p>
    <w:p>
      <w:pPr>
        <w:tabs>
          <w:tab w:val="right" w:pos="9200" w:leader="dot"/>
        </w:tabs>
        <w:spacing w:after="60" w:line="280"/>
      </w:pPr>
      <w:r>
        <w:rPr>
          <w:rFonts w:ascii="Times New Roman" w:cs="Times New Roman" w:eastAsia="Times New Roman" w:hAnsi="Times New Roman"/>
          <w:b w:val="false"/>
          <w:bCs w:val="false"/>
          <w:sz w:val="22"/>
          <w:szCs w:val="22"/>
        </w:rPr>
        <w:t xml:space="preserve">4.3  Model Architecture and Base Network</w:t>
      </w:r>
      <w:r>
        <w:rPr>
          <w:rFonts w:ascii="Times New Roman" w:cs="Times New Roman" w:eastAsia="Times New Roman" w:hAnsi="Times New Roman"/>
          <w:b w:val="false"/>
          <w:bCs w:val="false"/>
          <w:sz w:val="22"/>
          <w:szCs w:val="22"/>
        </w:rPr>
        <w:t xml:space="preserve">	16</w:t>
      </w:r>
    </w:p>
    <w:p>
      <w:pPr>
        <w:tabs>
          <w:tab w:val="right" w:pos="9200" w:leader="dot"/>
        </w:tabs>
        <w:spacing w:after="60" w:line="280"/>
      </w:pPr>
      <w:r>
        <w:rPr>
          <w:rFonts w:ascii="Times New Roman" w:cs="Times New Roman" w:eastAsia="Times New Roman" w:hAnsi="Times New Roman"/>
          <w:b w:val="false"/>
          <w:bCs w:val="false"/>
          <w:sz w:val="22"/>
          <w:szCs w:val="22"/>
        </w:rPr>
        <w:t xml:space="preserve">4.4  Training Strategy and Hyperparameters</w:t>
      </w:r>
      <w:r>
        <w:rPr>
          <w:rFonts w:ascii="Times New Roman" w:cs="Times New Roman" w:eastAsia="Times New Roman" w:hAnsi="Times New Roman"/>
          <w:b w:val="false"/>
          <w:bCs w:val="false"/>
          <w:sz w:val="22"/>
          <w:szCs w:val="22"/>
        </w:rPr>
        <w:t xml:space="preserve">	17</w:t>
      </w:r>
    </w:p>
    <w:p>
      <w:pPr>
        <w:tabs>
          <w:tab w:val="right" w:pos="9200" w:leader="dot"/>
        </w:tabs>
        <w:spacing w:after="60" w:line="280"/>
      </w:pPr>
      <w:r>
        <w:rPr>
          <w:rFonts w:ascii="Times New Roman" w:cs="Times New Roman" w:eastAsia="Times New Roman" w:hAnsi="Times New Roman"/>
          <w:b w:val="false"/>
          <w:bCs w:val="false"/>
          <w:sz w:val="22"/>
          <w:szCs w:val="22"/>
        </w:rPr>
        <w:t xml:space="preserve">4.5  Validation and Evaluation Protocols</w:t>
      </w:r>
      <w:r>
        <w:rPr>
          <w:rFonts w:ascii="Times New Roman" w:cs="Times New Roman" w:eastAsia="Times New Roman" w:hAnsi="Times New Roman"/>
          <w:b w:val="false"/>
          <w:bCs w:val="false"/>
          <w:sz w:val="22"/>
          <w:szCs w:val="22"/>
        </w:rPr>
        <w:t xml:space="preserve">	18</w:t>
      </w:r>
    </w:p>
    <w:p>
      <w:pPr>
        <w:tabs>
          <w:tab w:val="right" w:pos="9200" w:leader="dot"/>
        </w:tabs>
        <w:spacing w:after="60" w:line="280"/>
      </w:pPr>
      <w:r>
        <w:rPr>
          <w:rFonts w:ascii="Times New Roman" w:cs="Times New Roman" w:eastAsia="Times New Roman" w:hAnsi="Times New Roman"/>
          <w:b w:val="false"/>
          <w:bCs w:val="false"/>
          <w:sz w:val="22"/>
          <w:szCs w:val="22"/>
        </w:rPr>
        <w:t xml:space="preserve">4.6  Inference and Prediction Pipeline</w:t>
      </w:r>
      <w:r>
        <w:rPr>
          <w:rFonts w:ascii="Times New Roman" w:cs="Times New Roman" w:eastAsia="Times New Roman" w:hAnsi="Times New Roman"/>
          <w:b w:val="false"/>
          <w:bCs w:val="false"/>
          <w:sz w:val="22"/>
          <w:szCs w:val="22"/>
        </w:rPr>
        <w:t xml:space="preserve">	19</w:t>
      </w:r>
    </w:p>
    <w:p>
      <w:pPr>
        <w:tabs>
          <w:tab w:val="right" w:pos="9200" w:leader="dot"/>
        </w:tabs>
        <w:spacing w:after="60" w:line="280"/>
      </w:pPr>
      <w:r>
        <w:rPr>
          <w:rFonts w:ascii="Times New Roman" w:cs="Times New Roman" w:eastAsia="Times New Roman" w:hAnsi="Times New Roman"/>
          <w:b w:val="false"/>
          <w:bCs w:val="false"/>
          <w:sz w:val="22"/>
          <w:szCs w:val="22"/>
        </w:rPr>
        <w:t xml:space="preserve">4.7  Scaling to Benchmark Designs</w:t>
      </w:r>
      <w:r>
        <w:rPr>
          <w:rFonts w:ascii="Times New Roman" w:cs="Times New Roman" w:eastAsia="Times New Roman" w:hAnsi="Times New Roman"/>
          <w:b w:val="false"/>
          <w:bCs w:val="false"/>
          <w:sz w:val="22"/>
          <w:szCs w:val="22"/>
        </w:rPr>
        <w:t xml:space="preserve">	20</w:t>
      </w:r>
    </w:p>
    <w:p>
      <w:pPr>
        <w:tabs>
          <w:tab w:val="right" w:pos="9200" w:leader="dot"/>
        </w:tabs>
        <w:spacing w:after="60" w:line="280"/>
      </w:pPr>
      <w:r>
        <w:rPr>
          <w:rFonts w:ascii="Times New Roman" w:cs="Times New Roman" w:eastAsia="Times New Roman" w:hAnsi="Times New Roman"/>
          <w:b/>
          <w:bCs/>
          <w:sz w:val="22"/>
          <w:szCs w:val="22"/>
        </w:rPr>
        <w:t xml:space="preserve">CHAPTER 5: RESULTS AND DISCUSSION</w:t>
      </w:r>
      <w:r>
        <w:rPr>
          <w:rFonts w:ascii="Times New Roman" w:cs="Times New Roman" w:eastAsia="Times New Roman" w:hAnsi="Times New Roman"/>
          <w:b/>
          <w:bCs/>
          <w:sz w:val="22"/>
          <w:szCs w:val="22"/>
        </w:rPr>
        <w:t xml:space="preserve">	22</w:t>
      </w:r>
    </w:p>
    <w:p>
      <w:pPr>
        <w:tabs>
          <w:tab w:val="right" w:pos="9200" w:leader="dot"/>
        </w:tabs>
        <w:spacing w:after="60" w:line="280"/>
      </w:pPr>
      <w:r>
        <w:rPr>
          <w:rFonts w:ascii="Times New Roman" w:cs="Times New Roman" w:eastAsia="Times New Roman" w:hAnsi="Times New Roman"/>
          <w:b w:val="false"/>
          <w:bCs w:val="false"/>
          <w:sz w:val="22"/>
          <w:szCs w:val="22"/>
        </w:rPr>
        <w:t xml:space="preserve">5.1  Summary of Results and Discussion</w:t>
      </w:r>
      <w:r>
        <w:rPr>
          <w:rFonts w:ascii="Times New Roman" w:cs="Times New Roman" w:eastAsia="Times New Roman" w:hAnsi="Times New Roman"/>
          <w:b w:val="false"/>
          <w:bCs w:val="false"/>
          <w:sz w:val="22"/>
          <w:szCs w:val="22"/>
        </w:rPr>
        <w:t xml:space="preserve">	22</w:t>
      </w:r>
    </w:p>
    <w:p>
      <w:pPr>
        <w:tabs>
          <w:tab w:val="right" w:pos="9200" w:leader="dot"/>
        </w:tabs>
        <w:spacing w:after="60" w:line="280"/>
      </w:pPr>
      <w:r>
        <w:rPr>
          <w:rFonts w:ascii="Times New Roman" w:cs="Times New Roman" w:eastAsia="Times New Roman" w:hAnsi="Times New Roman"/>
          <w:b/>
          <w:bCs/>
          <w:sz w:val="22"/>
          <w:szCs w:val="22"/>
        </w:rPr>
        <w:t xml:space="preserve">CHAPTER 6: CONCLUSION AND FUTURE SCOPE</w:t>
      </w:r>
      <w:r>
        <w:rPr>
          <w:rFonts w:ascii="Times New Roman" w:cs="Times New Roman" w:eastAsia="Times New Roman" w:hAnsi="Times New Roman"/>
          <w:b/>
          <w:bCs/>
          <w:sz w:val="22"/>
          <w:szCs w:val="22"/>
        </w:rPr>
        <w:t xml:space="preserve">	30</w:t>
      </w:r>
    </w:p>
    <w:p>
      <w:pPr>
        <w:tabs>
          <w:tab w:val="right" w:pos="9200" w:leader="dot"/>
        </w:tabs>
        <w:spacing w:after="60" w:line="280"/>
      </w:pPr>
      <w:r>
        <w:rPr>
          <w:rFonts w:ascii="Times New Roman" w:cs="Times New Roman" w:eastAsia="Times New Roman" w:hAnsi="Times New Roman"/>
          <w:b w:val="false"/>
          <w:bCs w:val="false"/>
          <w:sz w:val="22"/>
          <w:szCs w:val="22"/>
        </w:rPr>
        <w:t xml:space="preserve">6.1  Conclusion</w:t>
      </w:r>
      <w:r>
        <w:rPr>
          <w:rFonts w:ascii="Times New Roman" w:cs="Times New Roman" w:eastAsia="Times New Roman" w:hAnsi="Times New Roman"/>
          <w:b w:val="false"/>
          <w:bCs w:val="false"/>
          <w:sz w:val="22"/>
          <w:szCs w:val="22"/>
        </w:rPr>
        <w:t xml:space="preserve">	30</w:t>
      </w:r>
    </w:p>
    <w:p>
      <w:pPr>
        <w:tabs>
          <w:tab w:val="right" w:pos="9200" w:leader="dot"/>
        </w:tabs>
        <w:spacing w:after="60" w:line="280"/>
      </w:pPr>
      <w:r>
        <w:rPr>
          <w:rFonts w:ascii="Times New Roman" w:cs="Times New Roman" w:eastAsia="Times New Roman" w:hAnsi="Times New Roman"/>
          <w:b w:val="false"/>
          <w:bCs w:val="false"/>
          <w:sz w:val="22"/>
          <w:szCs w:val="22"/>
        </w:rPr>
        <w:t xml:space="preserve">6.2  Future Scope</w:t>
      </w:r>
      <w:r>
        <w:rPr>
          <w:rFonts w:ascii="Times New Roman" w:cs="Times New Roman" w:eastAsia="Times New Roman" w:hAnsi="Times New Roman"/>
          <w:b w:val="false"/>
          <w:bCs w:val="false"/>
          <w:sz w:val="22"/>
          <w:szCs w:val="22"/>
        </w:rPr>
        <w:t xml:space="preserve">	31</w:t>
      </w:r>
    </w:p>
    <w:p>
      <w:pPr>
        <w:tabs>
          <w:tab w:val="right" w:pos="9200" w:leader="dot"/>
        </w:tabs>
        <w:spacing w:after="60" w:line="280"/>
      </w:pPr>
      <w:r>
        <w:rPr>
          <w:rFonts w:ascii="Times New Roman" w:cs="Times New Roman" w:eastAsia="Times New Roman" w:hAnsi="Times New Roman"/>
          <w:b/>
          <w:bCs/>
          <w:sz w:val="22"/>
          <w:szCs w:val="22"/>
        </w:rPr>
        <w:t xml:space="preserve">REFERENCES (in IEEE format only)</w:t>
      </w:r>
      <w:r>
        <w:rPr>
          <w:rFonts w:ascii="Times New Roman" w:cs="Times New Roman" w:eastAsia="Times New Roman" w:hAnsi="Times New Roman"/>
          <w:b/>
          <w:bCs/>
          <w:sz w:val="22"/>
          <w:szCs w:val="22"/>
        </w:rPr>
        <w:t xml:space="preserve">	33</w:t>
      </w:r>
    </w:p>
    <w:p>
      <w:pPr>
        <w:tabs>
          <w:tab w:val="right" w:pos="9200" w:leader="dot"/>
        </w:tabs>
        <w:spacing w:after="60" w:line="280"/>
      </w:pPr>
      <w:r>
        <w:rPr>
          <w:rFonts w:ascii="Times New Roman" w:cs="Times New Roman" w:eastAsia="Times New Roman" w:hAnsi="Times New Roman"/>
          <w:b/>
          <w:bCs/>
          <w:sz w:val="22"/>
          <w:szCs w:val="22"/>
        </w:rPr>
        <w:t xml:space="preserve">APPENDICES</w:t>
      </w:r>
      <w:r>
        <w:rPr>
          <w:rFonts w:ascii="Times New Roman" w:cs="Times New Roman" w:eastAsia="Times New Roman" w:hAnsi="Times New Roman"/>
          <w:b/>
          <w:bCs/>
          <w:sz w:val="22"/>
          <w:szCs w:val="22"/>
        </w:rPr>
        <w:t xml:space="preserve">	35</w:t>
      </w:r>
    </w:p>
    <w:p>
      <w:r>
        <w:br w:type="page"/>
      </w:r>
    </w:p>
    <w:p>
      <w:pPr>
        <w:spacing w:after="240" w:before="0" w:line="360"/>
        <w:jc w:val="left"/>
      </w:pPr>
      <w:r>
        <w:rPr>
          <w:rFonts w:ascii="Times New Roman" w:cs="Times New Roman" w:eastAsia="Times New Roman" w:hAnsi="Times New Roman"/>
          <w:b/>
          <w:bCs/>
          <w:i w:val="false"/>
          <w:iCs w:val="false"/>
          <w:color w:val="000000"/>
          <w:sz w:val="28"/>
          <w:szCs w:val="28"/>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rPr>
          <w:tblHeader/>
        </w:trPr>
        <w:tc>
          <w:tcPr>
            <w:tcW w:type="dxa" w:w="1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Table No.</w:t>
            </w:r>
          </w:p>
        </w:tc>
        <w:tc>
          <w:tcPr>
            <w:tcW w:type="dxa" w:w="6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Table Caption</w:t>
            </w:r>
          </w:p>
        </w:tc>
        <w:tc>
          <w:tcPr>
            <w:tcW w:type="dxa" w:w="1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Page</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2.1</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Comparative analysis I – foundational methods (2018–2022)</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7</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2.2</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Comparative analysis II – recent methods (2022–2026)</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7</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3.1</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Functional requirements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12</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3.2</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Non-functional requirements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12</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4.1</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Node feature vectors and relation types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14</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4.2</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Training hyperparameters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17</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5.1</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Pipeline validation gate results (Phases 1–8)</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22</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5.2</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Peak memory by component and the 12 GB limit</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24</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5.3</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Partition-based training memory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24</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5.4</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End-to-end training run on synthetic designs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26</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5.5</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Real nangate45 evaluation, per channel</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27</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Table 5.6</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Held-out aes variants, per channel</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27</w:t>
            </w:r>
          </w:p>
        </w:tc>
      </w:tr>
    </w:tbl>
    <w:p>
      <w:r>
        <w:br w:type="page"/>
      </w:r>
    </w:p>
    <w:p>
      <w:pPr>
        <w:spacing w:after="240" w:before="0" w:line="360"/>
        <w:jc w:val="left"/>
      </w:pPr>
      <w:r>
        <w:rPr>
          <w:rFonts w:ascii="Times New Roman" w:cs="Times New Roman" w:eastAsia="Times New Roman" w:hAnsi="Times New Roman"/>
          <w:b/>
          <w:bCs/>
          <w:i w:val="false"/>
          <w:iCs w:val="false"/>
          <w:color w:val="000000"/>
          <w:sz w:val="28"/>
          <w:szCs w:val="28"/>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rPr>
          <w:tblHeader/>
        </w:trPr>
        <w:tc>
          <w:tcPr>
            <w:tcW w:type="dxa" w:w="1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Figure</w:t>
            </w:r>
          </w:p>
        </w:tc>
        <w:tc>
          <w:tcPr>
            <w:tcW w:type="dxa" w:w="6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Figure Caption</w:t>
            </w:r>
          </w:p>
        </w:tc>
        <w:tc>
          <w:tcPr>
            <w:tcW w:type="dxa" w:w="1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Page</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Figure 4.1</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Heterogeneous graph schema: three node types and six relation types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14</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Figure 4.2</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End-to-end system pipeline, with the training-only path separated</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19</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Figure 5.1</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Net degree distribution of the synthetic graphs (log-log axes)</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24</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Figure 5.2</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Peak memory versus design size, with the 12 GB budget marked</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24</w:t>
            </w:r>
          </w:p>
        </w:tc>
      </w:tr>
      <w:tr>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Figure 5.3</w:t>
            </w:r>
          </w:p>
        </w:tc>
        <w:tc>
          <w:tcPr>
            <w:tcW w:type="dxa" w:w="6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Training loss and validation rank correlation per epoch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26</w:t>
            </w:r>
          </w:p>
        </w:tc>
      </w:tr>
    </w:tbl>
    <w:p>
      <w:r>
        <w:br w:type="page"/>
      </w:r>
    </w:p>
    <w:p>
      <w:pPr>
        <w:spacing w:after="240" w:before="0" w:line="360"/>
        <w:jc w:val="left"/>
      </w:pPr>
      <w:r>
        <w:rPr>
          <w:rFonts w:ascii="Times New Roman" w:cs="Times New Roman" w:eastAsia="Times New Roman" w:hAnsi="Times New Roman"/>
          <w:b/>
          <w:bCs/>
          <w:i w:val="false"/>
          <w:iCs w:val="false"/>
          <w:color w:val="000000"/>
          <w:sz w:val="28"/>
          <w:szCs w:val="28"/>
        </w:rPr>
        <w:t xml:space="preserve">LIST OF ABBREVIATIONS</w:t>
      </w:r>
    </w:p>
    <w:p>
      <w:pPr>
        <w:tabs>
          <w:tab w:val="left" w:pos="2200"/>
        </w:tabs>
        <w:spacing w:after="90" w:line="300"/>
      </w:pPr>
      <w:r>
        <w:rPr>
          <w:rFonts w:ascii="Times New Roman" w:cs="Times New Roman" w:eastAsia="Times New Roman" w:hAnsi="Times New Roman"/>
          <w:sz w:val="23"/>
          <w:szCs w:val="23"/>
        </w:rPr>
        <w:t xml:space="preserve">AMP</w:t>
      </w:r>
      <w:r>
        <w:rPr>
          <w:rFonts w:ascii="Times New Roman" w:cs="Times New Roman" w:eastAsia="Times New Roman" w:hAnsi="Times New Roman"/>
          <w:sz w:val="23"/>
          <w:szCs w:val="23"/>
        </w:rPr>
        <w:t xml:space="preserve">	Automatic Mixed Precision</w:t>
      </w:r>
    </w:p>
    <w:p>
      <w:pPr>
        <w:tabs>
          <w:tab w:val="left" w:pos="2200"/>
        </w:tabs>
        <w:spacing w:after="90" w:line="300"/>
      </w:pPr>
      <w:r>
        <w:rPr>
          <w:rFonts w:ascii="Times New Roman" w:cs="Times New Roman" w:eastAsia="Times New Roman" w:hAnsi="Times New Roman"/>
          <w:sz w:val="23"/>
          <w:szCs w:val="23"/>
        </w:rPr>
        <w:t xml:space="preserve">API</w:t>
      </w:r>
      <w:r>
        <w:rPr>
          <w:rFonts w:ascii="Times New Roman" w:cs="Times New Roman" w:eastAsia="Times New Roman" w:hAnsi="Times New Roman"/>
          <w:sz w:val="23"/>
          <w:szCs w:val="23"/>
        </w:rPr>
        <w:t xml:space="preserve">	Application Programming Interface</w:t>
      </w:r>
    </w:p>
    <w:p>
      <w:pPr>
        <w:tabs>
          <w:tab w:val="left" w:pos="2200"/>
        </w:tabs>
        <w:spacing w:after="90" w:line="300"/>
      </w:pPr>
      <w:r>
        <w:rPr>
          <w:rFonts w:ascii="Times New Roman" w:cs="Times New Roman" w:eastAsia="Times New Roman" w:hAnsi="Times New Roman"/>
          <w:sz w:val="23"/>
          <w:szCs w:val="23"/>
        </w:rPr>
        <w:t xml:space="preserve">CNN</w:t>
      </w:r>
      <w:r>
        <w:rPr>
          <w:rFonts w:ascii="Times New Roman" w:cs="Times New Roman" w:eastAsia="Times New Roman" w:hAnsi="Times New Roman"/>
          <w:sz w:val="23"/>
          <w:szCs w:val="23"/>
        </w:rPr>
        <w:t xml:space="preserve">	Convolutional Neural Network</w:t>
      </w:r>
    </w:p>
    <w:p>
      <w:pPr>
        <w:tabs>
          <w:tab w:val="left" w:pos="2200"/>
        </w:tabs>
        <w:spacing w:after="90" w:line="300"/>
      </w:pPr>
      <w:r>
        <w:rPr>
          <w:rFonts w:ascii="Times New Roman" w:cs="Times New Roman" w:eastAsia="Times New Roman" w:hAnsi="Times New Roman"/>
          <w:sz w:val="23"/>
          <w:szCs w:val="23"/>
        </w:rPr>
        <w:t xml:space="preserve">CPU</w:t>
      </w:r>
      <w:r>
        <w:rPr>
          <w:rFonts w:ascii="Times New Roman" w:cs="Times New Roman" w:eastAsia="Times New Roman" w:hAnsi="Times New Roman"/>
          <w:sz w:val="23"/>
          <w:szCs w:val="23"/>
        </w:rPr>
        <w:t xml:space="preserve">	Central Processing Unit</w:t>
      </w:r>
    </w:p>
    <w:p>
      <w:pPr>
        <w:tabs>
          <w:tab w:val="left" w:pos="2200"/>
        </w:tabs>
        <w:spacing w:after="90" w:line="300"/>
      </w:pPr>
      <w:r>
        <w:rPr>
          <w:rFonts w:ascii="Times New Roman" w:cs="Times New Roman" w:eastAsia="Times New Roman" w:hAnsi="Times New Roman"/>
          <w:sz w:val="23"/>
          <w:szCs w:val="23"/>
        </w:rPr>
        <w:t xml:space="preserve">DEF</w:t>
      </w:r>
      <w:r>
        <w:rPr>
          <w:rFonts w:ascii="Times New Roman" w:cs="Times New Roman" w:eastAsia="Times New Roman" w:hAnsi="Times New Roman"/>
          <w:sz w:val="23"/>
          <w:szCs w:val="23"/>
        </w:rPr>
        <w:t xml:space="preserve">	Design Exchange Format</w:t>
      </w:r>
    </w:p>
    <w:p>
      <w:pPr>
        <w:tabs>
          <w:tab w:val="left" w:pos="2200"/>
        </w:tabs>
        <w:spacing w:after="90" w:line="300"/>
      </w:pPr>
      <w:r>
        <w:rPr>
          <w:rFonts w:ascii="Times New Roman" w:cs="Times New Roman" w:eastAsia="Times New Roman" w:hAnsi="Times New Roman"/>
          <w:sz w:val="23"/>
          <w:szCs w:val="23"/>
        </w:rPr>
        <w:t xml:space="preserve">DRC</w:t>
      </w:r>
      <w:r>
        <w:rPr>
          <w:rFonts w:ascii="Times New Roman" w:cs="Times New Roman" w:eastAsia="Times New Roman" w:hAnsi="Times New Roman"/>
          <w:sz w:val="23"/>
          <w:szCs w:val="23"/>
        </w:rPr>
        <w:t xml:space="preserve">	Design Rule Check</w:t>
      </w:r>
    </w:p>
    <w:p>
      <w:pPr>
        <w:tabs>
          <w:tab w:val="left" w:pos="2200"/>
        </w:tabs>
        <w:spacing w:after="90" w:line="300"/>
      </w:pPr>
      <w:r>
        <w:rPr>
          <w:rFonts w:ascii="Times New Roman" w:cs="Times New Roman" w:eastAsia="Times New Roman" w:hAnsi="Times New Roman"/>
          <w:sz w:val="23"/>
          <w:szCs w:val="23"/>
        </w:rPr>
        <w:t xml:space="preserve">EDA</w:t>
      </w:r>
      <w:r>
        <w:rPr>
          <w:rFonts w:ascii="Times New Roman" w:cs="Times New Roman" w:eastAsia="Times New Roman" w:hAnsi="Times New Roman"/>
          <w:sz w:val="23"/>
          <w:szCs w:val="23"/>
        </w:rPr>
        <w:t xml:space="preserve">	Electronic Design Automation</w:t>
      </w:r>
    </w:p>
    <w:p>
      <w:pPr>
        <w:tabs>
          <w:tab w:val="left" w:pos="2200"/>
        </w:tabs>
        <w:spacing w:after="90" w:line="300"/>
      </w:pPr>
      <w:r>
        <w:rPr>
          <w:rFonts w:ascii="Times New Roman" w:cs="Times New Roman" w:eastAsia="Times New Roman" w:hAnsi="Times New Roman"/>
          <w:sz w:val="23"/>
          <w:szCs w:val="23"/>
        </w:rPr>
        <w:t xml:space="preserve">GCell</w:t>
      </w:r>
      <w:r>
        <w:rPr>
          <w:rFonts w:ascii="Times New Roman" w:cs="Times New Roman" w:eastAsia="Times New Roman" w:hAnsi="Times New Roman"/>
          <w:sz w:val="23"/>
          <w:szCs w:val="23"/>
        </w:rPr>
        <w:t xml:space="preserve">	Global Routing Cell (a tile of the routing grid)</w:t>
      </w:r>
    </w:p>
    <w:p>
      <w:pPr>
        <w:tabs>
          <w:tab w:val="left" w:pos="2200"/>
        </w:tabs>
        <w:spacing w:after="90" w:line="300"/>
      </w:pPr>
      <w:r>
        <w:rPr>
          <w:rFonts w:ascii="Times New Roman" w:cs="Times New Roman" w:eastAsia="Times New Roman" w:hAnsi="Times New Roman"/>
          <w:sz w:val="23"/>
          <w:szCs w:val="23"/>
        </w:rPr>
        <w:t xml:space="preserve">GNN</w:t>
      </w:r>
      <w:r>
        <w:rPr>
          <w:rFonts w:ascii="Times New Roman" w:cs="Times New Roman" w:eastAsia="Times New Roman" w:hAnsi="Times New Roman"/>
          <w:sz w:val="23"/>
          <w:szCs w:val="23"/>
        </w:rPr>
        <w:t xml:space="preserve">	Graph Neural Network</w:t>
      </w:r>
    </w:p>
    <w:p>
      <w:pPr>
        <w:tabs>
          <w:tab w:val="left" w:pos="2200"/>
        </w:tabs>
        <w:spacing w:after="90" w:line="300"/>
      </w:pPr>
      <w:r>
        <w:rPr>
          <w:rFonts w:ascii="Times New Roman" w:cs="Times New Roman" w:eastAsia="Times New Roman" w:hAnsi="Times New Roman"/>
          <w:sz w:val="23"/>
          <w:szCs w:val="23"/>
        </w:rPr>
        <w:t xml:space="preserve">GPU</w:t>
      </w:r>
      <w:r>
        <w:rPr>
          <w:rFonts w:ascii="Times New Roman" w:cs="Times New Roman" w:eastAsia="Times New Roman" w:hAnsi="Times New Roman"/>
          <w:sz w:val="23"/>
          <w:szCs w:val="23"/>
        </w:rPr>
        <w:t xml:space="preserve">	Graphics Processing Unit</w:t>
      </w:r>
    </w:p>
    <w:p>
      <w:pPr>
        <w:tabs>
          <w:tab w:val="left" w:pos="2200"/>
        </w:tabs>
        <w:spacing w:after="90" w:line="300"/>
      </w:pPr>
      <w:r>
        <w:rPr>
          <w:rFonts w:ascii="Times New Roman" w:cs="Times New Roman" w:eastAsia="Times New Roman" w:hAnsi="Times New Roman"/>
          <w:sz w:val="23"/>
          <w:szCs w:val="23"/>
        </w:rPr>
        <w:t xml:space="preserve">HGNN</w:t>
      </w:r>
      <w:r>
        <w:rPr>
          <w:rFonts w:ascii="Times New Roman" w:cs="Times New Roman" w:eastAsia="Times New Roman" w:hAnsi="Times New Roman"/>
          <w:sz w:val="23"/>
          <w:szCs w:val="23"/>
        </w:rPr>
        <w:t xml:space="preserve">	Heterogeneous Graph Neural Network</w:t>
      </w:r>
    </w:p>
    <w:p>
      <w:pPr>
        <w:tabs>
          <w:tab w:val="left" w:pos="2200"/>
        </w:tabs>
        <w:spacing w:after="90" w:line="300"/>
      </w:pPr>
      <w:r>
        <w:rPr>
          <w:rFonts w:ascii="Times New Roman" w:cs="Times New Roman" w:eastAsia="Times New Roman" w:hAnsi="Times New Roman"/>
          <w:sz w:val="23"/>
          <w:szCs w:val="23"/>
        </w:rPr>
        <w:t xml:space="preserve">HPWL</w:t>
      </w:r>
      <w:r>
        <w:rPr>
          <w:rFonts w:ascii="Times New Roman" w:cs="Times New Roman" w:eastAsia="Times New Roman" w:hAnsi="Times New Roman"/>
          <w:sz w:val="23"/>
          <w:szCs w:val="23"/>
        </w:rPr>
        <w:t xml:space="preserve">	Half-Perimeter Wirelength</w:t>
      </w:r>
    </w:p>
    <w:p>
      <w:pPr>
        <w:tabs>
          <w:tab w:val="left" w:pos="2200"/>
        </w:tabs>
        <w:spacing w:after="90" w:line="300"/>
      </w:pPr>
      <w:r>
        <w:rPr>
          <w:rFonts w:ascii="Times New Roman" w:cs="Times New Roman" w:eastAsia="Times New Roman" w:hAnsi="Times New Roman"/>
          <w:sz w:val="23"/>
          <w:szCs w:val="23"/>
        </w:rPr>
        <w:t xml:space="preserve">kNN</w:t>
      </w:r>
      <w:r>
        <w:rPr>
          <w:rFonts w:ascii="Times New Roman" w:cs="Times New Roman" w:eastAsia="Times New Roman" w:hAnsi="Times New Roman"/>
          <w:sz w:val="23"/>
          <w:szCs w:val="23"/>
        </w:rPr>
        <w:t xml:space="preserve">	k-Nearest Neighbours</w:t>
      </w:r>
    </w:p>
    <w:p>
      <w:pPr>
        <w:tabs>
          <w:tab w:val="left" w:pos="2200"/>
        </w:tabs>
        <w:spacing w:after="90" w:line="300"/>
      </w:pPr>
      <w:r>
        <w:rPr>
          <w:rFonts w:ascii="Times New Roman" w:cs="Times New Roman" w:eastAsia="Times New Roman" w:hAnsi="Times New Roman"/>
          <w:sz w:val="23"/>
          <w:szCs w:val="23"/>
        </w:rPr>
        <w:t xml:space="preserve">LEF</w:t>
      </w:r>
      <w:r>
        <w:rPr>
          <w:rFonts w:ascii="Times New Roman" w:cs="Times New Roman" w:eastAsia="Times New Roman" w:hAnsi="Times New Roman"/>
          <w:sz w:val="23"/>
          <w:szCs w:val="23"/>
        </w:rPr>
        <w:t xml:space="preserve">	Library Exchange Format</w:t>
      </w:r>
    </w:p>
    <w:p>
      <w:pPr>
        <w:tabs>
          <w:tab w:val="left" w:pos="2200"/>
        </w:tabs>
        <w:spacing w:after="90" w:line="300"/>
      </w:pPr>
      <w:r>
        <w:rPr>
          <w:rFonts w:ascii="Times New Roman" w:cs="Times New Roman" w:eastAsia="Times New Roman" w:hAnsi="Times New Roman"/>
          <w:sz w:val="23"/>
          <w:szCs w:val="23"/>
        </w:rPr>
        <w:t xml:space="preserve">MAE</w:t>
      </w:r>
      <w:r>
        <w:rPr>
          <w:rFonts w:ascii="Times New Roman" w:cs="Times New Roman" w:eastAsia="Times New Roman" w:hAnsi="Times New Roman"/>
          <w:sz w:val="23"/>
          <w:szCs w:val="23"/>
        </w:rPr>
        <w:t xml:space="preserve">	Mean Absolute Error</w:t>
      </w:r>
    </w:p>
    <w:p>
      <w:pPr>
        <w:tabs>
          <w:tab w:val="left" w:pos="2200"/>
        </w:tabs>
        <w:spacing w:after="90" w:line="300"/>
      </w:pPr>
      <w:r>
        <w:rPr>
          <w:rFonts w:ascii="Times New Roman" w:cs="Times New Roman" w:eastAsia="Times New Roman" w:hAnsi="Times New Roman"/>
          <w:sz w:val="23"/>
          <w:szCs w:val="23"/>
        </w:rPr>
        <w:t xml:space="preserve">MLP</w:t>
      </w:r>
      <w:r>
        <w:rPr>
          <w:rFonts w:ascii="Times New Roman" w:cs="Times New Roman" w:eastAsia="Times New Roman" w:hAnsi="Times New Roman"/>
          <w:sz w:val="23"/>
          <w:szCs w:val="23"/>
        </w:rPr>
        <w:t xml:space="preserve">	Multilayer Perceptron</w:t>
      </w:r>
    </w:p>
    <w:p>
      <w:pPr>
        <w:tabs>
          <w:tab w:val="left" w:pos="2200"/>
        </w:tabs>
        <w:spacing w:after="90" w:line="300"/>
      </w:pPr>
      <w:r>
        <w:rPr>
          <w:rFonts w:ascii="Times New Roman" w:cs="Times New Roman" w:eastAsia="Times New Roman" w:hAnsi="Times New Roman"/>
          <w:sz w:val="23"/>
          <w:szCs w:val="23"/>
        </w:rPr>
        <w:t xml:space="preserve">ORFS</w:t>
      </w:r>
      <w:r>
        <w:rPr>
          <w:rFonts w:ascii="Times New Roman" w:cs="Times New Roman" w:eastAsia="Times New Roman" w:hAnsi="Times New Roman"/>
          <w:sz w:val="23"/>
          <w:szCs w:val="23"/>
        </w:rPr>
        <w:t xml:space="preserve">	OpenROAD-Flow-Scripts</w:t>
      </w:r>
    </w:p>
    <w:p>
      <w:pPr>
        <w:tabs>
          <w:tab w:val="left" w:pos="2200"/>
        </w:tabs>
        <w:spacing w:after="90" w:line="300"/>
      </w:pPr>
      <w:r>
        <w:rPr>
          <w:rFonts w:ascii="Times New Roman" w:cs="Times New Roman" w:eastAsia="Times New Roman" w:hAnsi="Times New Roman"/>
          <w:sz w:val="23"/>
          <w:szCs w:val="23"/>
        </w:rPr>
        <w:t xml:space="preserve">PyG</w:t>
      </w:r>
      <w:r>
        <w:rPr>
          <w:rFonts w:ascii="Times New Roman" w:cs="Times New Roman" w:eastAsia="Times New Roman" w:hAnsi="Times New Roman"/>
          <w:sz w:val="23"/>
          <w:szCs w:val="23"/>
        </w:rPr>
        <w:t xml:space="preserve">	PyTorch Geometric</w:t>
      </w:r>
    </w:p>
    <w:p>
      <w:pPr>
        <w:tabs>
          <w:tab w:val="left" w:pos="2200"/>
        </w:tabs>
        <w:spacing w:after="90" w:line="300"/>
      </w:pPr>
      <w:r>
        <w:rPr>
          <w:rFonts w:ascii="Times New Roman" w:cs="Times New Roman" w:eastAsia="Times New Roman" w:hAnsi="Times New Roman"/>
          <w:sz w:val="23"/>
          <w:szCs w:val="23"/>
        </w:rPr>
        <w:t xml:space="preserve">ReLU</w:t>
      </w:r>
      <w:r>
        <w:rPr>
          <w:rFonts w:ascii="Times New Roman" w:cs="Times New Roman" w:eastAsia="Times New Roman" w:hAnsi="Times New Roman"/>
          <w:sz w:val="23"/>
          <w:szCs w:val="23"/>
        </w:rPr>
        <w:t xml:space="preserve">	Rectified Linear Unit</w:t>
      </w:r>
    </w:p>
    <w:p>
      <w:pPr>
        <w:tabs>
          <w:tab w:val="left" w:pos="2200"/>
        </w:tabs>
        <w:spacing w:after="90" w:line="300"/>
      </w:pPr>
      <w:r>
        <w:rPr>
          <w:rFonts w:ascii="Times New Roman" w:cs="Times New Roman" w:eastAsia="Times New Roman" w:hAnsi="Times New Roman"/>
          <w:sz w:val="23"/>
          <w:szCs w:val="23"/>
        </w:rPr>
        <w:t xml:space="preserve">RMSE</w:t>
      </w:r>
      <w:r>
        <w:rPr>
          <w:rFonts w:ascii="Times New Roman" w:cs="Times New Roman" w:eastAsia="Times New Roman" w:hAnsi="Times New Roman"/>
          <w:sz w:val="23"/>
          <w:szCs w:val="23"/>
        </w:rPr>
        <w:t xml:space="preserve">	Root Mean Square Error</w:t>
      </w:r>
    </w:p>
    <w:p>
      <w:pPr>
        <w:tabs>
          <w:tab w:val="left" w:pos="2200"/>
        </w:tabs>
        <w:spacing w:after="90" w:line="300"/>
      </w:pPr>
      <w:r>
        <w:rPr>
          <w:rFonts w:ascii="Times New Roman" w:cs="Times New Roman" w:eastAsia="Times New Roman" w:hAnsi="Times New Roman"/>
          <w:sz w:val="23"/>
          <w:szCs w:val="23"/>
        </w:rPr>
        <w:t xml:space="preserve">RUDY</w:t>
      </w:r>
      <w:r>
        <w:rPr>
          <w:rFonts w:ascii="Times New Roman" w:cs="Times New Roman" w:eastAsia="Times New Roman" w:hAnsi="Times New Roman"/>
          <w:sz w:val="23"/>
          <w:szCs w:val="23"/>
        </w:rPr>
        <w:t xml:space="preserve">	Rectangular Uniform wire DensitY</w:t>
      </w:r>
    </w:p>
    <w:p>
      <w:pPr>
        <w:tabs>
          <w:tab w:val="left" w:pos="2200"/>
        </w:tabs>
        <w:spacing w:after="90" w:line="300"/>
      </w:pPr>
      <w:r>
        <w:rPr>
          <w:rFonts w:ascii="Times New Roman" w:cs="Times New Roman" w:eastAsia="Times New Roman" w:hAnsi="Times New Roman"/>
          <w:sz w:val="23"/>
          <w:szCs w:val="23"/>
        </w:rPr>
        <w:t xml:space="preserve">SoC</w:t>
      </w:r>
      <w:r>
        <w:rPr>
          <w:rFonts w:ascii="Times New Roman" w:cs="Times New Roman" w:eastAsia="Times New Roman" w:hAnsi="Times New Roman"/>
          <w:sz w:val="23"/>
          <w:szCs w:val="23"/>
        </w:rPr>
        <w:t xml:space="preserve">	System on Chip</w:t>
      </w:r>
    </w:p>
    <w:p>
      <w:pPr>
        <w:tabs>
          <w:tab w:val="left" w:pos="2200"/>
        </w:tabs>
        <w:spacing w:after="90" w:line="300"/>
      </w:pPr>
      <w:r>
        <w:rPr>
          <w:rFonts w:ascii="Times New Roman" w:cs="Times New Roman" w:eastAsia="Times New Roman" w:hAnsi="Times New Roman"/>
          <w:sz w:val="23"/>
          <w:szCs w:val="23"/>
        </w:rPr>
        <w:t xml:space="preserve">TOML</w:t>
      </w:r>
      <w:r>
        <w:rPr>
          <w:rFonts w:ascii="Times New Roman" w:cs="Times New Roman" w:eastAsia="Times New Roman" w:hAnsi="Times New Roman"/>
          <w:sz w:val="23"/>
          <w:szCs w:val="23"/>
        </w:rPr>
        <w:t xml:space="preserve">	Tom's Obvious Minimal Language</w:t>
      </w:r>
    </w:p>
    <w:p>
      <w:pPr>
        <w:tabs>
          <w:tab w:val="left" w:pos="2200"/>
        </w:tabs>
        <w:spacing w:after="90" w:line="300"/>
      </w:pPr>
      <w:r>
        <w:rPr>
          <w:rFonts w:ascii="Times New Roman" w:cs="Times New Roman" w:eastAsia="Times New Roman" w:hAnsi="Times New Roman"/>
          <w:sz w:val="23"/>
          <w:szCs w:val="23"/>
        </w:rPr>
        <w:t xml:space="preserve">VLSI</w:t>
      </w:r>
      <w:r>
        <w:rPr>
          <w:rFonts w:ascii="Times New Roman" w:cs="Times New Roman" w:eastAsia="Times New Roman" w:hAnsi="Times New Roman"/>
          <w:sz w:val="23"/>
          <w:szCs w:val="23"/>
        </w:rPr>
        <w:t xml:space="preserve">	Very Large Scale Integration</w:t>
      </w:r>
    </w:p>
    <w:p>
      <w:pPr>
        <w:sectPr>
          <w:footerReference w:type="default" r:id="rId6"/>
          <w:pgSz w:w="11906" w:h="16838" w:orient="portrait"/>
          <w:pgMar w:top="1440" w:right="1440" w:bottom="1440" w:left="1440" w:header="708" w:footer="708" w:gutter="0"/>
          <w:pgNumType w:start="1" w:fmt="lowerRoman"/>
          <w:docGrid w:linePitch="360"/>
        </w:sectPr>
      </w:pPr>
    </w:p>
    <w:p>
      <w:pPr>
        <w:pStyle w:val="Heading1"/>
        <w:spacing w:after="160"/>
      </w:pPr>
      <w:r>
        <w:rPr>
          <w:rFonts w:ascii="Times New Roman" w:cs="Times New Roman" w:eastAsia="Times New Roman" w:hAnsi="Times New Roman"/>
          <w:b/>
          <w:bCs/>
          <w:sz w:val="28"/>
          <w:szCs w:val="28"/>
        </w:rPr>
        <w:t xml:space="preserve">Chapter 1</w:t>
      </w:r>
    </w:p>
    <w:p>
      <w:pPr>
        <w:pStyle w:val="Heading1"/>
        <w:spacing w:after="260"/>
      </w:pPr>
      <w:r>
        <w:rPr>
          <w:rFonts w:ascii="Times New Roman" w:cs="Times New Roman" w:eastAsia="Times New Roman" w:hAnsi="Times New Roman"/>
          <w:b/>
          <w:bCs/>
          <w:sz w:val="32"/>
          <w:szCs w:val="32"/>
        </w:rPr>
        <w:t xml:space="preserve">Introduction</w:t>
      </w:r>
    </w:p>
    <w:p>
      <w:pPr>
        <w:pStyle w:val="Heading2"/>
        <w:spacing w:after="140" w:before="280"/>
      </w:pPr>
      <w:r>
        <w:rPr>
          <w:rFonts w:ascii="Times New Roman" w:cs="Times New Roman" w:eastAsia="Times New Roman" w:hAnsi="Times New Roman"/>
          <w:b/>
          <w:bCs/>
          <w:color w:val="000000"/>
          <w:sz w:val="25"/>
          <w:szCs w:val="25"/>
        </w:rPr>
        <w:t xml:space="preserve">1.1  Introduction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design of a modern integrated circuit is, to a first approximation, an exercise in managing consequences that reveal themselves late. A contemporary system on chip contains tens or hundreds of millions of standard cells, and the process that turns a logical description of those cells into a manufacturable layout proceeds through a sequence of stages, each constraining the next. Logic synthesis produces a netlist. Floorplanning fixes the position of large hard blocks. Placement assigns coordinates to every standard cell. Clock tree synthesis distributes the clock. Routing physically connects the cells with metal wires. Signoff verifies that the result meets timing, power and manufacturability requirements.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Routing is the stage at which the consequences of placement become visible, and it is among the most computationally expensive stages in the entire flow. Chips provide a finite number of routing tracks per region, determined by the metal stack and the manufacturing process. Routing congestion is the condition in which the wiring demand within a region exceeds the tracks available there. Congested regions force the router to detour wires around them, which lengthens nets, degrades timing and increases dynamic power. In severe cases the router cannot complete at all, and the design is simply not manufacturable in its current form.</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essential difficulty is one of timing rather than of measurement. Congestion is not hard to compute once routing has been performed; the router reports it directly. The difficulty is that routing must be performed first, and routing is slow. A single global and detailed routing pass on a large industrial design can take hours, and when congestion is discovered, the corrective action lies upstream. Routing does not cause congestion; placement does. By the time the router reports a congested region, the wiring demand in that region was already determined by where the cells were put and what they connect to. The designer must therefore return to placement, adjust density targets or move macros, and route again. Each cycle is measured in hours to days.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An analogy clarifies the shape of the problem for readers outside the field. Placement decides where buildings go in a city; routing lays the road network that connects them. Congestion is a district through which more traffic must pass than the roads can physically carry. The constraint is that one can only confirm which districts have a traffic problem after the entire road network has been built, and the remedy is to move buildings and rebuild the roads. Unlike a city, however, a chip cannot widen its roads: routing capacity per region is fixed by the manufacturing process, which is precisely why congestion is a hard constraint rather than an inconvenience.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observation motivates a substantial body of research into predicting congestion before routing. If the congested regions of a layout could be identified directly from the placement, the designer would receive feedback at the stage where corrective action is still inexpensive, and the multi-day feedback loop would collapse to one that can be iterated interactively. The problem is well suited to machine learning: the mapping from a placement to its congestion is deterministic but expensive to evaluate, which is exactly the setting in which a learned surrogate for an expensive simulator is appropriate.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representational question is where the difficulty lies. A placed design carries two kinds of information that bear on congestion, and they are of fundamentally different character. The first is physical geometry: where each cell sits, how densely cells are packed, how much routing capacity each region provides. The second is logical connectivity: which cells connect to which, how many pins each net has, how far apart those pins are. Congestion is not a property of either in isolation. A sparsely populated region whose few cells all connect to distant parts of the die can be severely congested, while a densely packed region of locally connected cells may route without difficulty. It is the interaction between geometry and topology that determines the outcome, and a representation that privileges one over the other discards the signal.</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project adopts a heterogeneous graph representation in which that interaction is made explicit. Standard cells, electrical nets and spatial grid regions are represented as three distinct node types within a single graph, connected by six relation types. Because the spatial regions on which congestion is predicted are nodes in the same graph as the connectivity structure, the model reasons about geometry and topology jointly during message passing, rather than computing two separate representations and combining them at the output. The remainder of this report develops that approach, documents its implementation and the engineering required to apply it at benchmark scale, and reports the results obtained.</w:t>
      </w:r>
    </w:p>
    <w:p>
      <w:pPr>
        <w:pStyle w:val="Heading2"/>
        <w:spacing w:after="140" w:before="280"/>
      </w:pPr>
      <w:r>
        <w:rPr>
          <w:rFonts w:ascii="Times New Roman" w:cs="Times New Roman" w:eastAsia="Times New Roman" w:hAnsi="Times New Roman"/>
          <w:b/>
          <w:bCs/>
          <w:color w:val="000000"/>
          <w:sz w:val="25"/>
          <w:szCs w:val="25"/>
        </w:rPr>
        <w:t xml:space="preserve">1.2  Problem Statement</w:t>
      </w:r>
    </w:p>
    <w:p>
      <w:pPr>
        <w:spacing w:after="160" w:before="0" w:line="360"/>
        <w:jc w:val="both"/>
      </w:pPr>
      <w:r>
        <w:rPr>
          <w:rFonts w:ascii="Times New Roman" w:cs="Times New Roman" w:eastAsia="Times New Roman" w:hAnsi="Times New Roman"/>
          <w:b/>
          <w:bCs/>
          <w:i w:val="false"/>
          <w:iCs w:val="false"/>
          <w:color w:val="000000"/>
          <w:sz w:val="24"/>
          <w:szCs w:val="24"/>
        </w:rPr>
        <w:t xml:space="preserve">Early-Stage Routing Congestion Prediction in Chip Layout Design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To design, implement and evaluate a machine learning system that predicts routing congestion hotspots in a chip layout directly from a placed but unrouted design, without invoking a routing engine.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system must reason jointly over the logical connectivity of the netlist and the physical geometry of the placement within a single unified representation, rather than encoding the two separately and combining them at the output. It must accept designs in the industry-standard Library Exchange Format and Design Exchange Format, and must produce both a per-region congestion heatmap and a ranked list of hotspot regions, so that the output can be acted upon by a physical design engineer prioritising fixes rather than merely reporting an aggregate quality score. Inference must complete in seconds, against the hours required by a routing engine on comparable designs, and the system must operate within the memory budget of commodity hardware so that the work is reproducible outside well-funded laboratories.</w:t>
      </w:r>
    </w:p>
    <w:p>
      <w:pPr>
        <w:pStyle w:val="Heading2"/>
        <w:spacing w:after="140" w:before="280"/>
      </w:pPr>
      <w:r>
        <w:rPr>
          <w:rFonts w:ascii="Times New Roman" w:cs="Times New Roman" w:eastAsia="Times New Roman" w:hAnsi="Times New Roman"/>
          <w:b/>
          <w:bCs/>
          <w:color w:val="000000"/>
          <w:sz w:val="25"/>
          <w:szCs w:val="25"/>
        </w:rPr>
        <w:t xml:space="preserve">1.3  Scope of Research</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project addresses the prediction of global routing congestion from a placed, unrouted design in digital standard-cell layouts. The scope is bounded in several respects, each stated explicitly so that the claims made in Chapter 5 are correctly interpreted.</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prediction target is global routing congestion expressed as the dimensionless ratio of wiring demand to routing capacity, reported per grid region and separated into horizontal and vertical channels. The two-channel formulation follows standard practice and reflects the fact that metal layers alternate preferred routing direction; the map is aggregated across the metal stack rather than predicted per layer, since the design action taken in response to a hotspot is two-dimensional in any case. Detailed routing congestion, design rule violations, timing and IR drop are outside scope, although the architecture does not preclude them as additional prediction heads.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final corpus contains dynamic_node, tinyRocket, ibex and aes in nangate45, with three placement variants each. Graphs use placed cells and net connectivity; labels are extracted after global routing. CircuitNet and ISPD2015 remain future evaluation datasets.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project contributes a validated extraction and graph-construction pipeline, measured memory engineering, and a ranking-first evaluation protocol. The heterogeneous architecture follows published work. Cross-technology transfer is not claimed.</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Analog design, transistor-level physics, lithography and mask synthesis, register transfer level design, and clock tree synthesis are all outside scope.</w:t>
      </w:r>
    </w:p>
    <w:p>
      <w:pPr>
        <w:pStyle w:val="Heading2"/>
        <w:spacing w:after="140" w:before="280"/>
      </w:pPr>
      <w:r>
        <w:rPr>
          <w:rFonts w:ascii="Times New Roman" w:cs="Times New Roman" w:eastAsia="Times New Roman" w:hAnsi="Times New Roman"/>
          <w:b/>
          <w:bCs/>
          <w:color w:val="000000"/>
          <w:sz w:val="25"/>
          <w:szCs w:val="25"/>
        </w:rPr>
        <w:t xml:space="preserve">1.4  Research Hypothesis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project proposes that routing congestion in a placed but unrouted design can be predicted with practically useful accuracy by a heterogeneous graph neural network that represents cells, nets and spatial grid regions as nodes within a single graph, and that such a unified representation yields better hotspot ranking than methods that encode connectivity and geometry separately.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It is expected that the model, trained on benchmark designs with post-route ground truth and evaluated under a strict design-level split, will produce rank correlation with true congestion substantially exceeding that of analytical estimators such as RUDY and of a density-only predictor that ignores connectivity entirely. The margin over the density-only predictor is the operative test of the central claim, since a model that cannot outperform cell density is not using the connectivity information its representation was designed to carry.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It is further hypothesised that expressing all node features in technology-relative units rather than absolute physical dimensions will permit a degree of transfer across manufacturing technology nodes, and that recalibrating feature normalisation statistics on unlabelled data from a target technology will recover a meaningful fraction of in-domain performance without requiring post-route labels for that technology.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Finally, it is hypothesised that spatial partitioning with a halo matched to the model's receptive field permits training on designs substantially larger than available memory would otherwise allow, without materially degrading the predictions relative to full-graph computation.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These hypotheses are restricted to digital standard-cell layouts, to global routing congestion, and to the technology nodes present in the benchmark suites used. The system does not consider timing, power or manufacturability beyond congestion itself.</w:t>
      </w:r>
    </w:p>
    <w:p>
      <w:pPr>
        <w:pStyle w:val="Heading2"/>
        <w:spacing w:after="140" w:before="280"/>
      </w:pPr>
      <w:r>
        <w:rPr>
          <w:rFonts w:ascii="Times New Roman" w:cs="Times New Roman" w:eastAsia="Times New Roman" w:hAnsi="Times New Roman"/>
          <w:b/>
          <w:bCs/>
          <w:color w:val="000000"/>
          <w:sz w:val="25"/>
          <w:szCs w:val="25"/>
        </w:rPr>
        <w:t xml:space="preserve">1.5  Objectives</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The project pursues five objectives, ordered by dependency.</w:t>
      </w:r>
    </w:p>
    <w:p>
      <w:pPr>
        <w:spacing w:after="150" w:before="0" w:line="360"/>
        <w:jc w:val="both"/>
      </w:pPr>
      <w:r>
        <w:rPr>
          <w:rFonts w:ascii="Times New Roman" w:cs="Times New Roman" w:eastAsia="Times New Roman" w:hAnsi="Times New Roman"/>
          <w:b/>
          <w:bCs/>
          <w:i w:val="false"/>
          <w:iCs w:val="false"/>
          <w:color w:val="000000"/>
          <w:sz w:val="24"/>
          <w:szCs w:val="24"/>
        </w:rPr>
        <w:t xml:space="preserve">Pipeline and Ground Truth: </w:t>
      </w:r>
      <w:r>
        <w:rPr>
          <w:rFonts w:ascii="Times New Roman" w:cs="Times New Roman" w:eastAsia="Times New Roman" w:hAnsi="Times New Roman"/>
          <w:b w:val="false"/>
          <w:bCs w:val="false"/>
          <w:i w:val="false"/>
          <w:iCs w:val="false"/>
          <w:color w:val="000000"/>
          <w:sz w:val="24"/>
          <w:szCs w:val="24"/>
        </w:rPr>
        <w:t xml:space="preserve">To establish a verified pipeline that extracts post-route congestion from an open-source routing flow and converts a placed design into a heterogeneous graph representation, with every stage closed by a quantitative correctness gate rather than by inspection.</w:t>
      </w:r>
    </w:p>
    <w:p>
      <w:pPr>
        <w:spacing w:after="150" w:before="0" w:line="360"/>
        <w:jc w:val="both"/>
      </w:pPr>
      <w:r>
        <w:rPr>
          <w:rFonts w:ascii="Times New Roman" w:cs="Times New Roman" w:eastAsia="Times New Roman" w:hAnsi="Times New Roman"/>
          <w:b/>
          <w:bCs/>
          <w:i w:val="false"/>
          <w:iCs w:val="false"/>
          <w:color w:val="000000"/>
          <w:sz w:val="24"/>
          <w:szCs w:val="24"/>
        </w:rPr>
        <w:t xml:space="preserve">Model Development: </w:t>
      </w:r>
      <w:r>
        <w:rPr>
          <w:rFonts w:ascii="Times New Roman" w:cs="Times New Roman" w:eastAsia="Times New Roman" w:hAnsi="Times New Roman"/>
          <w:b w:val="false"/>
          <w:bCs w:val="false"/>
          <w:i w:val="false"/>
          <w:iCs w:val="false"/>
          <w:color w:val="000000"/>
          <w:sz w:val="24"/>
          <w:szCs w:val="24"/>
        </w:rPr>
        <w:t xml:space="preserve">To design and implement a heterogeneous graph neural network that predicts per-region horizontal and vertical congestion from that representation, trained with an objective that optimises hotspot ordering directly rather than absolute magnitude alone.</w:t>
      </w:r>
    </w:p>
    <w:p>
      <w:pPr>
        <w:spacing w:after="150" w:before="0" w:line="360"/>
        <w:jc w:val="both"/>
      </w:pPr>
      <w:r>
        <w:rPr>
          <w:rFonts w:ascii="Times New Roman" w:cs="Times New Roman" w:eastAsia="Times New Roman" w:hAnsi="Times New Roman"/>
          <w:b/>
          <w:bCs/>
          <w:i w:val="false"/>
          <w:iCs w:val="false"/>
          <w:color w:val="000000"/>
          <w:sz w:val="24"/>
          <w:szCs w:val="24"/>
        </w:rPr>
        <w:t xml:space="preserve">Scalability: </w:t>
      </w:r>
      <w:r>
        <w:rPr>
          <w:rFonts w:ascii="Times New Roman" w:cs="Times New Roman" w:eastAsia="Times New Roman" w:hAnsi="Times New Roman"/>
          <w:b w:val="false"/>
          <w:bCs w:val="false"/>
          <w:i w:val="false"/>
          <w:iCs w:val="false"/>
          <w:color w:val="000000"/>
          <w:sz w:val="24"/>
          <w:szCs w:val="24"/>
        </w:rPr>
        <w:t xml:space="preserve">To characterise by measurement where the approach fails at benchmark scale, and to develop partitioning and memory-management techniques that bring training on million-cell designs within the budget of commodity hardware.</w:t>
      </w:r>
    </w:p>
    <w:p>
      <w:pPr>
        <w:spacing w:after="150" w:before="0" w:line="360"/>
        <w:jc w:val="both"/>
      </w:pPr>
      <w:r>
        <w:rPr>
          <w:rFonts w:ascii="Times New Roman" w:cs="Times New Roman" w:eastAsia="Times New Roman" w:hAnsi="Times New Roman"/>
          <w:b/>
          <w:bCs/>
          <w:i w:val="false"/>
          <w:iCs w:val="false"/>
          <w:color w:val="000000"/>
          <w:sz w:val="24"/>
          <w:szCs w:val="24"/>
        </w:rPr>
        <w:t xml:space="preserve">Evaluation: Compare the trained model with RUDY, density-only and capacity-only on genuine router labels using a disjoint design-level split and per-channel ranking and hotspot metrics.</w:t>
      </w:r>
      <w:r>
        <w:rPr>
          <w:rFonts w:ascii="Times New Roman" w:cs="Times New Roman" w:eastAsia="Times New Roman" w:hAnsi="Times New Roman"/>
          <w:b w:val="false"/>
          <w:bCs w:val="false"/>
          <w:i w:val="false"/>
          <w:iCs w:val="false"/>
          <w:color w:val="000000"/>
          <w:sz w:val="24"/>
          <w:szCs w:val="24"/>
        </w:rPr>
        <w:t xml:space="preserve"/>
      </w:r>
    </w:p>
    <w:p>
      <w:pPr>
        <w:spacing w:after="150" w:before="0" w:line="360"/>
        <w:jc w:val="both"/>
      </w:pPr>
      <w:r>
        <w:rPr>
          <w:rFonts w:ascii="Times New Roman" w:cs="Times New Roman" w:eastAsia="Times New Roman" w:hAnsi="Times New Roman"/>
          <w:b/>
          <w:bCs/>
          <w:i w:val="false"/>
          <w:iCs w:val="false"/>
          <w:color w:val="000000"/>
          <w:sz w:val="24"/>
          <w:szCs w:val="24"/>
        </w:rPr>
        <w:t xml:space="preserve">Generalisation: Evaluate transfer to a held-out design within nangate45. Cross-technology generalisation remains future work.</w:t>
      </w: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40" w:before="280"/>
      </w:pPr>
      <w:r>
        <w:rPr>
          <w:rFonts w:ascii="Times New Roman" w:cs="Times New Roman" w:eastAsia="Times New Roman" w:hAnsi="Times New Roman"/>
          <w:b/>
          <w:bCs/>
          <w:color w:val="000000"/>
          <w:sz w:val="25"/>
          <w:szCs w:val="25"/>
        </w:rPr>
        <w:t xml:space="preserve">1.6  Organization of the Report</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This report is structured into six chapters providing a logical progression from the problem space through the methodology, implementation and evaluation.</w:t>
      </w:r>
    </w:p>
    <w:p>
      <w:pPr>
        <w:spacing w:after="150" w:before="0" w:line="360"/>
        <w:jc w:val="both"/>
      </w:pPr>
      <w:r>
        <w:rPr>
          <w:rFonts w:ascii="Times New Roman" w:cs="Times New Roman" w:eastAsia="Times New Roman" w:hAnsi="Times New Roman"/>
          <w:b/>
          <w:bCs/>
          <w:i w:val="false"/>
          <w:iCs w:val="false"/>
          <w:color w:val="000000"/>
          <w:sz w:val="24"/>
          <w:szCs w:val="24"/>
        </w:rPr>
        <w:t xml:space="preserve">Chapter 1: Introduction </w:t>
      </w:r>
      <w:r>
        <w:rPr>
          <w:rFonts w:ascii="Times New Roman" w:cs="Times New Roman" w:eastAsia="Times New Roman" w:hAnsi="Times New Roman"/>
          <w:b w:val="false"/>
          <w:bCs w:val="false"/>
          <w:i w:val="false"/>
          <w:iCs w:val="false"/>
          <w:color w:val="000000"/>
          <w:sz w:val="24"/>
          <w:szCs w:val="24"/>
        </w:rPr>
        <w:t xml:space="preserve">introduces the research problem and the physical design context that motivates it. It defines the problem statement, delineates the scope, states the research hypotheses, and enumerates the objectives that guide the work.</w:t>
      </w:r>
    </w:p>
    <w:p>
      <w:pPr>
        <w:spacing w:after="150" w:before="0" w:line="360"/>
        <w:jc w:val="both"/>
      </w:pPr>
      <w:r>
        <w:rPr>
          <w:rFonts w:ascii="Times New Roman" w:cs="Times New Roman" w:eastAsia="Times New Roman" w:hAnsi="Times New Roman"/>
          <w:b/>
          <w:bCs/>
          <w:i w:val="false"/>
          <w:iCs w:val="false"/>
          <w:color w:val="000000"/>
          <w:sz w:val="24"/>
          <w:szCs w:val="24"/>
        </w:rPr>
        <w:t xml:space="preserve">Chapter 2: Literature Review </w:t>
      </w:r>
      <w:r>
        <w:rPr>
          <w:rFonts w:ascii="Times New Roman" w:cs="Times New Roman" w:eastAsia="Times New Roman" w:hAnsi="Times New Roman"/>
          <w:b w:val="false"/>
          <w:bCs w:val="false"/>
          <w:i w:val="false"/>
          <w:iCs w:val="false"/>
          <w:color w:val="000000"/>
          <w:sz w:val="24"/>
          <w:szCs w:val="24"/>
        </w:rPr>
        <w:t xml:space="preserve">reviews the development of congestion prediction from convolutional approaches through graph-based methods to recent unified representations. It evaluates existing methodologies, identifies their limitations, and formulates the specific research gaps this project addresses.</w:t>
      </w:r>
    </w:p>
    <w:p>
      <w:pPr>
        <w:spacing w:after="150" w:before="0" w:line="360"/>
        <w:jc w:val="both"/>
      </w:pPr>
      <w:r>
        <w:rPr>
          <w:rFonts w:ascii="Times New Roman" w:cs="Times New Roman" w:eastAsia="Times New Roman" w:hAnsi="Times New Roman"/>
          <w:b/>
          <w:bCs/>
          <w:i w:val="false"/>
          <w:iCs w:val="false"/>
          <w:color w:val="000000"/>
          <w:sz w:val="24"/>
          <w:szCs w:val="24"/>
        </w:rPr>
        <w:t xml:space="preserve">Chapter 3: Software Requirements Specification </w:t>
      </w:r>
      <w:r>
        <w:rPr>
          <w:rFonts w:ascii="Times New Roman" w:cs="Times New Roman" w:eastAsia="Times New Roman" w:hAnsi="Times New Roman"/>
          <w:b w:val="false"/>
          <w:bCs w:val="false"/>
          <w:i w:val="false"/>
          <w:iCs w:val="false"/>
          <w:color w:val="000000"/>
          <w:sz w:val="24"/>
          <w:szCs w:val="24"/>
        </w:rPr>
        <w:t xml:space="preserve">specifies the tools, frameworks and hardware employed, presents a work breakdown structure, and enumerates the functional and non-functional requirements the system must satisfy.</w:t>
      </w:r>
    </w:p>
    <w:p>
      <w:pPr>
        <w:spacing w:after="150" w:before="0" w:line="360"/>
        <w:jc w:val="both"/>
      </w:pPr>
      <w:r>
        <w:rPr>
          <w:rFonts w:ascii="Times New Roman" w:cs="Times New Roman" w:eastAsia="Times New Roman" w:hAnsi="Times New Roman"/>
          <w:b/>
          <w:bCs/>
          <w:i w:val="false"/>
          <w:iCs w:val="false"/>
          <w:color w:val="000000"/>
          <w:sz w:val="24"/>
          <w:szCs w:val="24"/>
        </w:rPr>
        <w:t xml:space="preserve">Chapter 4: Methodology </w:t>
      </w:r>
      <w:r>
        <w:rPr>
          <w:rFonts w:ascii="Times New Roman" w:cs="Times New Roman" w:eastAsia="Times New Roman" w:hAnsi="Times New Roman"/>
          <w:b w:val="false"/>
          <w:bCs w:val="false"/>
          <w:i w:val="false"/>
          <w:iCs w:val="false"/>
          <w:color w:val="000000"/>
          <w:sz w:val="24"/>
          <w:szCs w:val="24"/>
        </w:rPr>
        <w:t xml:space="preserve">constitutes the technical core. It describes dataset construction and ground-truth extraction, the heterogeneous graph representation and its feature design, the model architecture, the composite training objective and hyperparameters, the evaluation protocol, the inference pipeline, and the partitioning scheme that permits operation at benchmark scale.</w:t>
      </w:r>
    </w:p>
    <w:p>
      <w:pPr>
        <w:spacing w:after="150" w:before="0" w:line="360"/>
        <w:jc w:val="both"/>
      </w:pPr>
      <w:r>
        <w:rPr>
          <w:rFonts w:ascii="Times New Roman" w:cs="Times New Roman" w:eastAsia="Times New Roman" w:hAnsi="Times New Roman"/>
          <w:b/>
          <w:bCs/>
          <w:i w:val="false"/>
          <w:iCs w:val="false"/>
          <w:color w:val="000000"/>
          <w:sz w:val="24"/>
          <w:szCs w:val="24"/>
        </w:rPr>
        <w:t xml:space="preserve">Chapter 5 presents pipeline gates, synthetic scale measurements, partition fidelity, training infrastructure and the final real-corpus comparison. Synthetic and real-label findings are distinguished explicitly.</w:t>
      </w:r>
      <w:r>
        <w:rPr>
          <w:rFonts w:ascii="Times New Roman" w:cs="Times New Roman" w:eastAsia="Times New Roman" w:hAnsi="Times New Roman"/>
          <w:b w:val="false"/>
          <w:bCs w:val="false"/>
          <w:i w:val="false"/>
          <w:iCs w:val="false"/>
          <w:color w:val="000000"/>
          <w:sz w:val="24"/>
          <w:szCs w:val="24"/>
        </w:rPr>
        <w:t xml:space="preserve"/>
      </w:r>
    </w:p>
    <w:p>
      <w:pPr>
        <w:spacing w:after="150" w:before="0" w:line="360"/>
        <w:jc w:val="both"/>
      </w:pPr>
      <w:r>
        <w:rPr>
          <w:rFonts w:ascii="Times New Roman" w:cs="Times New Roman" w:eastAsia="Times New Roman" w:hAnsi="Times New Roman"/>
          <w:b/>
          <w:bCs/>
          <w:i w:val="false"/>
          <w:iCs w:val="false"/>
          <w:color w:val="000000"/>
          <w:sz w:val="24"/>
          <w:szCs w:val="24"/>
        </w:rPr>
        <w:t xml:space="preserve">Chapter 6: Conclusion and Future Scope </w:t>
      </w:r>
      <w:r>
        <w:rPr>
          <w:rFonts w:ascii="Times New Roman" w:cs="Times New Roman" w:eastAsia="Times New Roman" w:hAnsi="Times New Roman"/>
          <w:b w:val="false"/>
          <w:bCs w:val="false"/>
          <w:i w:val="false"/>
          <w:iCs w:val="false"/>
          <w:color w:val="000000"/>
          <w:sz w:val="24"/>
          <w:szCs w:val="24"/>
        </w:rPr>
        <w:t xml:space="preserve">summarises the contributions, reflects on the practical implications of the system, acknowledges the limitations of the current study, and proposes directions for further work.</w:t>
      </w:r>
    </w:p>
    <w:p>
      <w:r>
        <w:br w:type="page"/>
      </w:r>
    </w:p>
    <w:p>
      <w:pPr>
        <w:pStyle w:val="Heading1"/>
        <w:spacing w:after="160"/>
      </w:pPr>
      <w:r>
        <w:rPr>
          <w:rFonts w:ascii="Times New Roman" w:cs="Times New Roman" w:eastAsia="Times New Roman" w:hAnsi="Times New Roman"/>
          <w:b/>
          <w:bCs/>
          <w:color w:val="000000"/>
          <w:sz w:val="28"/>
          <w:szCs w:val="28"/>
        </w:rPr>
        <w:t xml:space="preserve">Chapter 2</w:t>
      </w:r>
    </w:p>
    <w:p>
      <w:pPr>
        <w:pStyle w:val="Heading1"/>
        <w:spacing w:after="260"/>
      </w:pPr>
      <w:r>
        <w:rPr>
          <w:rFonts w:ascii="Times New Roman" w:cs="Times New Roman" w:eastAsia="Times New Roman" w:hAnsi="Times New Roman"/>
          <w:b/>
          <w:bCs/>
          <w:color w:val="000000"/>
          <w:sz w:val="32"/>
          <w:szCs w:val="32"/>
        </w:rPr>
        <w:t xml:space="preserve">Literature Review</w:t>
      </w:r>
    </w:p>
    <w:p>
      <w:pPr>
        <w:pStyle w:val="Heading2"/>
        <w:spacing w:after="140" w:before="280"/>
      </w:pPr>
      <w:r>
        <w:rPr>
          <w:rFonts w:ascii="Times New Roman" w:cs="Times New Roman" w:eastAsia="Times New Roman" w:hAnsi="Times New Roman"/>
          <w:b/>
          <w:bCs/>
          <w:color w:val="000000"/>
          <w:sz w:val="25"/>
          <w:szCs w:val="25"/>
        </w:rPr>
        <w:t xml:space="preserve">2.1  Background</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Machine learning has been applied to physical design problems for over a decade, motivated throughout by the same observation: many quantities of interest in the flow are deterministic functions of earlier stages, but expensive to evaluate, and are therefore amenable to learned surrogates. Congestion prediction has been among the most actively studied of these, both because the quantity is well defined and because the cost of obtaining it late is high.</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earliest learning-based approaches treated the problem as image prediction. A placed layout can be rasterised into a two-dimensional array of per-region features such as cell density, pin density and net bounding-box overlap, and a convolutional network trained to map that array to a congestion map. The formulation is attractive because congestion is spatially structured and convolutional architectures exploit spatial locality efficiently. Its limitation is equally clear: rasterisation discards the netlist. Two layouts with identical density maps but entirely different connectivity will route very differently, and an image-based model cannot distinguish them.</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 parallel line of work applied graph neural networks to the netlist directly. A netlist is naturally a hypergraph, in which cells are nodes and nets are hyperedges connecting arbitrarily many pins, and graph learning methods can operate on this structure without the information loss that rasterisation entails. These approaches capture connectivity faithfully but introduce the complementary deficiency: operating on the netlist alone, they are blind to where the cells have actually been placed, and congestion is irreducibly a spatial phenomenon.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Recognition of this complementarity drove a third generation of methods that combine both views. Lattice hypergraph formulations couple netlist hyperedges to a spatial lattice; multi-stage circuit representation learning produces embeddings transferable across electronic design automation tasks; layout-geometry encoders model fine-grained physical detail. The common architectural pattern is a pair of encoders, one for connectivity and one for geometry, whose outputs are fused at a late stage. Most recently, unified heterogeneous graph formulations have placed cells, nets and spatial regions within a single graph, permitting the two kinds of information to interact throughout message passing rather than only at the output.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Two developments outside congestion prediction proper have shaped the field materially. The first is the release of large public datasets derived from realistic flows, notably CircuitNet and its successor CircuitNet 2.0, which provide industry-derived designs across multiple technology nodes with pre-computed features and post-route labels. Before these, academic work was largely confined to small contest benchmarks and results were difficult to compare. The second is the maturation of open-source physical design tooling, principally the OpenROAD project, which allows ground truth to be generated without commercial licences and makes the entire pipeline reproducible.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Despite this progress, the deployment of learned congestion predictors remains limited. Three obstacles recur in the literature: generalisation across designs and technologies is weak, with models trained on one technology node transferring poorly to another; computational requirements for training are substantial, placing reproduction beyond typical academic hardware; and evaluation protocols are inconsistent, with aggregate error metrics frequently reported where ranking quality is what the application requires. The comparative analyses in Tables 2.1 and 2.2 situate the principal methods against these concerns.</w:t>
      </w:r>
    </w:p>
    <w:p>
      <w:pPr>
        <w:pStyle w:val="Heading2"/>
        <w:spacing w:after="140" w:before="280"/>
      </w:pPr>
      <w:r>
        <w:rPr>
          <w:rFonts w:ascii="Times New Roman" w:cs="Times New Roman" w:eastAsia="Times New Roman" w:hAnsi="Times New Roman"/>
          <w:b/>
          <w:bCs/>
          <w:color w:val="000000"/>
          <w:sz w:val="25"/>
          <w:szCs w:val="25"/>
        </w:rPr>
        <w:t xml:space="preserve">2.2  Literature Review</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2.1 Comparative analysis I – foundational methods (2018–2022)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900"/>
        <w:gridCol w:w="1550"/>
        <w:gridCol w:w="2360"/>
      </w:tblGrid>
      <w:tr>
        <w:trPr>
          <w:tblHeader/>
        </w:trPr>
        <w:tc>
          <w:tcPr>
            <w:tcW w:type="dxa" w:w="23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Title / Method</w:t>
            </w:r>
          </w:p>
        </w:tc>
        <w:tc>
          <w:tcPr>
            <w:tcW w:type="dxa" w:w="125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Venue, Year</w:t>
            </w:r>
          </w:p>
        </w:tc>
        <w:tc>
          <w:tcPr>
            <w:tcW w:type="dxa" w:w="19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Algorithm</w:t>
            </w:r>
          </w:p>
        </w:tc>
        <w:tc>
          <w:tcPr>
            <w:tcW w:type="dxa" w:w="155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Dataset</w:t>
            </w:r>
          </w:p>
        </w:tc>
        <w:tc>
          <w:tcPr>
            <w:tcW w:type="dxa" w:w="2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Limitation</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RouteNet: routability prediction for mixed-size designs</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ICCAD, 2018</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Fully convolutional network on rasterised layout</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Industrial mixed-size designs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Rasterisation discards netlist topology entirely; two designs with identical density maps are indistinguishable</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CongestionNet: routing congestion prediction using deep graph neural networks</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VLSI-SoC, 2019</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Graph attention network over the netlist graph</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Industrial netlists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Operates on connectivity alone and is blind to the physical placement; congestion is a spatial phenomenon</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Painting on placement: forecasting routing congestion using conditional GANs</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DAC, 2019</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Conditional generative adversarial network, image to image</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Placement images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No explicit model of electrical connectivity; inherits the limitations of the image formulation</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Generalizable cross-graph embedding for GNN-based congestion prediction</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ICCAD, 2021</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Cross-graph embedding targeting unseen designs</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Multiple design families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Restricted to netlist-derived features; does not incorporate placement geometry</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LHNN: lattice hypergraph neural network for VLSI congestion prediction</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DAC, 2022</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Lattice hypergraph coupling netlist hyperedges to a spatial lattice</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Industrial designs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Commits to a single fixed grid resolution; no multi-scale spatial view</w:t>
            </w:r>
          </w:p>
        </w:tc>
      </w:tr>
    </w:tbl>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
      </w:r>
    </w:p>
    <w:p>
      <w:pPr>
        <w:spacing w:after="140" w:before="200" w:line="360"/>
        <w:jc w:val="both"/>
      </w:pPr>
      <w:r>
        <w:rPr>
          <w:rFonts w:ascii="Times New Roman" w:cs="Times New Roman" w:eastAsia="Times New Roman" w:hAnsi="Times New Roman"/>
          <w:b w:val="false"/>
          <w:bCs w:val="false"/>
          <w:i w:val="false"/>
          <w:iCs w:val="false"/>
          <w:color w:val="000000"/>
          <w:sz w:val="22"/>
          <w:szCs w:val="22"/>
        </w:rPr>
        <w:t xml:space="preserve">Table 2.2 Comparative analysis II – recent methods (2022–2026)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900"/>
        <w:gridCol w:w="1550"/>
        <w:gridCol w:w="2360"/>
      </w:tblGrid>
      <w:tr>
        <w:trPr>
          <w:tblHeader/>
        </w:trPr>
        <w:tc>
          <w:tcPr>
            <w:tcW w:type="dxa" w:w="23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Title / Method</w:t>
            </w:r>
          </w:p>
        </w:tc>
        <w:tc>
          <w:tcPr>
            <w:tcW w:type="dxa" w:w="125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Venue, Year</w:t>
            </w:r>
          </w:p>
        </w:tc>
        <w:tc>
          <w:tcPr>
            <w:tcW w:type="dxa" w:w="19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Algorithm</w:t>
            </w:r>
          </w:p>
        </w:tc>
        <w:tc>
          <w:tcPr>
            <w:tcW w:type="dxa" w:w="155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Dataset</w:t>
            </w:r>
          </w:p>
        </w:tc>
        <w:tc>
          <w:tcPr>
            <w:tcW w:type="dxa" w:w="2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Limitation</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Versatile multi-stage graph neural network for circuit representation</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NeurIPS, 2022</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Multi-stage circuit representation learning</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Multiple EDA tasks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Views are fused at a late stage, limiting fine-grained interaction between connectivity and geometry</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CircuitNet 2.0: an advanced dataset for machine learning in realistic chip design</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ICLR, 2024</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Benchmark dataset, not a method</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28 nm and 14 nm industry-derived designs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Features are supplied as rasterised maps, which constrains graph-based consumers</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Lay-Net: layout-geometry encoder for congestion modelling</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TCAD, 2025</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Fine-grained layout-geometry encoder, open source</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Industrial layouts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Geometry-dominant; connectivity reasoning is comparatively weak</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MIHC: multi-view interpretable hypergraph congestion prediction</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NeurIPS</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Multi-view hypergraph with an information bottleneck</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Public benchmarks</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Separate encoders with late-stage fusion; interpretability gained at the cost of integration</w:t>
            </w:r>
          </w:p>
        </w:tc>
      </w:tr>
      <w:tr>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VeriHGN: heterogeneous graph-based congestion prediction for chip layout verification</w:t>
            </w:r>
          </w:p>
        </w:tc>
        <w:tc>
          <w:tcPr>
            <w:tcW w:type="dxa" w:w="12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KDD, 2026</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Unified heterogeneous graph over cells, nets and hierarchical grid regions</w:t>
            </w:r>
          </w:p>
        </w:tc>
        <w:tc>
          <w:tcPr>
            <w:tcW w:type="dxa" w:w="155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CircuitNet (N14, N28), ISPD2015</w:t>
            </w:r>
          </w:p>
        </w:tc>
        <w:tc>
          <w:tcPr>
            <w:tcW w:type="dxa" w:w="2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Reports 30–39 GB peak GPU memory; zero-shot cross-node transfer retains only 43.7% and 47.1% of in-domain rank correlation</w:t>
            </w:r>
          </w:p>
        </w:tc>
      </w:tr>
    </w:tbl>
    <w:p>
      <w:pPr>
        <w:pStyle w:val="Heading2"/>
        <w:spacing w:after="140" w:before="280"/>
      </w:pPr>
      <w:r>
        <w:rPr>
          <w:rFonts w:ascii="Times New Roman" w:cs="Times New Roman" w:eastAsia="Times New Roman" w:hAnsi="Times New Roman"/>
          <w:b/>
          <w:bCs/>
          <w:color w:val="000000"/>
          <w:sz w:val="25"/>
          <w:szCs w:val="25"/>
        </w:rPr>
        <w:t xml:space="preserve">2.3  Summary of Literature Review and Research Gap</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literature traces a coherent arc. Image-based methods established that congestion is learnable but sacrificed topology; graph-based methods recovered topology but lost geometry; hybrid methods reunited the two but kept them in separate encoders; and unified heterogeneous formulations have most recently placed both in a single structure. Alongside this, public benchmarks and open tooling have made results comparable and reproducible in a way that was not previously possible.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Four specific gaps emerge from this survey, and together they define the contribution of the present work.</w:t>
      </w:r>
    </w:p>
    <w:p>
      <w:pPr>
        <w:spacing w:after="160" w:before="0" w:line="360"/>
        <w:jc w:val="both"/>
      </w:pPr>
      <w:r>
        <w:rPr>
          <w:rFonts w:ascii="Times New Roman" w:cs="Times New Roman" w:eastAsia="Times New Roman" w:hAnsi="Times New Roman"/>
          <w:b/>
          <w:bCs/>
          <w:i w:val="false"/>
          <w:iCs w:val="false"/>
          <w:color w:val="000000"/>
          <w:sz w:val="24"/>
          <w:szCs w:val="24"/>
        </w:rPr>
        <w:t xml:space="preserve">Separated views with late fusion. </w:t>
      </w:r>
      <w:r>
        <w:rPr>
          <w:rFonts w:ascii="Times New Roman" w:cs="Times New Roman" w:eastAsia="Times New Roman" w:hAnsi="Times New Roman"/>
          <w:b w:val="false"/>
          <w:bCs w:val="false"/>
          <w:i w:val="false"/>
          <w:iCs w:val="false"/>
          <w:color w:val="000000"/>
          <w:sz w:val="24"/>
          <w:szCs w:val="24"/>
        </w:rPr>
        <w:t xml:space="preserve">The prevailing architectural pattern encodes connectivity and geometry with distinct networks and combines their outputs only near the prediction head. This constrains the degree to which logical intent and physical realisation can interact, when it is precisely their interaction that determines congestion. A representation in which cells, nets and spatial regions coexist as node types within one graph permits that interaction to occur at every layer of message passing.</w:t>
      </w:r>
    </w:p>
    <w:p>
      <w:pPr>
        <w:spacing w:after="160" w:before="0" w:line="360"/>
        <w:jc w:val="both"/>
      </w:pPr>
      <w:r>
        <w:rPr>
          <w:rFonts w:ascii="Times New Roman" w:cs="Times New Roman" w:eastAsia="Times New Roman" w:hAnsi="Times New Roman"/>
          <w:b/>
          <w:bCs/>
          <w:i w:val="false"/>
          <w:iCs w:val="false"/>
          <w:color w:val="000000"/>
          <w:sz w:val="24"/>
          <w:szCs w:val="24"/>
        </w:rPr>
        <w:t xml:space="preserve">Single-resolution spatial modelling. </w:t>
      </w:r>
      <w:r>
        <w:rPr>
          <w:rFonts w:ascii="Times New Roman" w:cs="Times New Roman" w:eastAsia="Times New Roman" w:hAnsi="Times New Roman"/>
          <w:b w:val="false"/>
          <w:bCs w:val="false"/>
          <w:i w:val="false"/>
          <w:iCs w:val="false"/>
          <w:color w:val="000000"/>
          <w:sz w:val="24"/>
          <w:szCs w:val="24"/>
        </w:rPr>
        <w:t xml:space="preserve">Congestion is inherently multi-scale: local pin crowding and global routing demand both contribute, at different spatial frequencies. Most published methods commit to one grid resolution and thereby lose either local hotspot detail or broader routing context. Hierarchical grid representations with cross-resolution connectivity address this directly.</w:t>
      </w:r>
    </w:p>
    <w:p>
      <w:pPr>
        <w:spacing w:after="160" w:before="0" w:line="360"/>
        <w:jc w:val="both"/>
      </w:pPr>
      <w:r>
        <w:rPr>
          <w:rFonts w:ascii="Times New Roman" w:cs="Times New Roman" w:eastAsia="Times New Roman" w:hAnsi="Times New Roman"/>
          <w:b/>
          <w:bCs/>
          <w:i w:val="false"/>
          <w:iCs w:val="false"/>
          <w:color w:val="000000"/>
          <w:sz w:val="24"/>
          <w:szCs w:val="24"/>
        </w:rPr>
        <w:t xml:space="preserve">Weak cross-technology generalisation. </w:t>
      </w:r>
      <w:r>
        <w:rPr>
          <w:rFonts w:ascii="Times New Roman" w:cs="Times New Roman" w:eastAsia="Times New Roman" w:hAnsi="Times New Roman"/>
          <w:b w:val="false"/>
          <w:bCs w:val="false"/>
          <w:i w:val="false"/>
          <w:iCs w:val="false"/>
          <w:color w:val="000000"/>
          <w:sz w:val="24"/>
          <w:szCs w:val="24"/>
        </w:rPr>
        <w:t xml:space="preserve">Models trained on one manufacturing technology transfer poorly to another. The most recent reported figures retain only 43.7% and 47.1% of in-domain rank correlation under zero-shot transfer between technology nodes. Since generating post-route ground truth at a new node requires exactly the expensive routing runs the method exists to avoid, a predictor that must be retrained from scratch at each technology generation has limited practical value. Expressing features in technology-relative units, and recalibrating normalisation statistics on unlabelled target-node data, are underexplored remedies.</w:t>
      </w:r>
    </w:p>
    <w:p>
      <w:pPr>
        <w:spacing w:after="160" w:before="0" w:line="360"/>
        <w:jc w:val="both"/>
      </w:pPr>
      <w:r>
        <w:rPr>
          <w:rFonts w:ascii="Times New Roman" w:cs="Times New Roman" w:eastAsia="Times New Roman" w:hAnsi="Times New Roman"/>
          <w:b/>
          <w:bCs/>
          <w:i w:val="false"/>
          <w:iCs w:val="false"/>
          <w:color w:val="000000"/>
          <w:sz w:val="24"/>
          <w:szCs w:val="24"/>
        </w:rPr>
        <w:t xml:space="preserve">Prohibitive resource requirements. </w:t>
      </w:r>
      <w:r>
        <w:rPr>
          <w:rFonts w:ascii="Times New Roman" w:cs="Times New Roman" w:eastAsia="Times New Roman" w:hAnsi="Times New Roman"/>
          <w:b w:val="false"/>
          <w:bCs w:val="false"/>
          <w:i w:val="false"/>
          <w:iCs w:val="false"/>
          <w:color w:val="000000"/>
          <w:sz w:val="24"/>
          <w:szCs w:val="24"/>
        </w:rPr>
        <w:t xml:space="preserve">State-of-the-art methods report peak training memory of 30 to 39 GB, placing both reproduction and extension beyond hardware typically available to academic groups. This is not merely an inconvenience: it narrows the set of researchers who can verify or build on published results. Reducing the requirement to commodity scale through partitioning and memory-aware implementation is a contribution in its own right, independent of any accuracy improvement.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implementation combines logical and spatial relations in a heterogeneous graph and measures memory use through tiled graph construction and spatial partitioning. Hierarchical grids and cross-technology transfer are future work. Ranking metrics assess how well predictions prioritise regions.</w:t>
      </w:r>
    </w:p>
    <w:p>
      <w:r>
        <w:br w:type="page"/>
      </w:r>
    </w:p>
    <w:p>
      <w:pPr>
        <w:pStyle w:val="Heading1"/>
        <w:spacing w:after="160"/>
      </w:pPr>
      <w:r>
        <w:rPr>
          <w:rFonts w:ascii="Times New Roman" w:cs="Times New Roman" w:eastAsia="Times New Roman" w:hAnsi="Times New Roman"/>
          <w:b/>
          <w:bCs/>
          <w:color w:val="000000"/>
          <w:sz w:val="28"/>
          <w:szCs w:val="28"/>
        </w:rPr>
        <w:t xml:space="preserve">Chapter 3</w:t>
      </w:r>
    </w:p>
    <w:p>
      <w:pPr>
        <w:pStyle w:val="Heading1"/>
        <w:spacing w:after="260"/>
      </w:pPr>
      <w:r>
        <w:rPr>
          <w:rFonts w:ascii="Times New Roman" w:cs="Times New Roman" w:eastAsia="Times New Roman" w:hAnsi="Times New Roman"/>
          <w:b/>
          <w:bCs/>
          <w:color w:val="000000"/>
          <w:sz w:val="32"/>
          <w:szCs w:val="32"/>
        </w:rPr>
        <w:t xml:space="preserve">Software Requirements Specification</w:t>
      </w:r>
    </w:p>
    <w:p>
      <w:pPr>
        <w:pStyle w:val="Heading2"/>
        <w:spacing w:after="140" w:before="280"/>
      </w:pPr>
      <w:r>
        <w:rPr>
          <w:rFonts w:ascii="Times New Roman" w:cs="Times New Roman" w:eastAsia="Times New Roman" w:hAnsi="Times New Roman"/>
          <w:b/>
          <w:bCs/>
          <w:color w:val="000000"/>
          <w:sz w:val="25"/>
          <w:szCs w:val="25"/>
        </w:rPr>
        <w:t xml:space="preserve">3.1  Software Tool Platform / Tools / Framework Used</w:t>
      </w:r>
    </w:p>
    <w:p>
      <w:pPr>
        <w:spacing w:after="150" w:before="0" w:line="350"/>
        <w:jc w:val="both"/>
      </w:pPr>
      <w:r>
        <w:rPr>
          <w:rFonts w:ascii="Times New Roman" w:cs="Times New Roman" w:eastAsia="Times New Roman" w:hAnsi="Times New Roman"/>
          <w:b/>
          <w:bCs/>
          <w:i w:val="false"/>
          <w:iCs w:val="false"/>
          <w:color w:val="000000"/>
          <w:sz w:val="24"/>
          <w:szCs w:val="24"/>
        </w:rPr>
        <w:t xml:space="preserve">Python 3.11.16. </w:t>
      </w:r>
      <w:r>
        <w:rPr>
          <w:rFonts w:ascii="Times New Roman" w:cs="Times New Roman" w:eastAsia="Times New Roman" w:hAnsi="Times New Roman"/>
          <w:b w:val="false"/>
          <w:bCs w:val="false"/>
          <w:i w:val="false"/>
          <w:iCs w:val="false"/>
          <w:color w:val="000000"/>
          <w:sz w:val="24"/>
          <w:szCs w:val="24"/>
        </w:rPr>
        <w:t xml:space="preserve">The implementation language throughout. Environments are managed with uv, and all dependency versions are pinned in requirements.txt so that results can be reproduced exactly.</w:t>
      </w:r>
    </w:p>
    <w:p>
      <w:pPr>
        <w:spacing w:after="150" w:before="0" w:line="350"/>
        <w:jc w:val="both"/>
      </w:pPr>
      <w:r>
        <w:rPr>
          <w:rFonts w:ascii="Times New Roman" w:cs="Times New Roman" w:eastAsia="Times New Roman" w:hAnsi="Times New Roman"/>
          <w:b/>
          <w:bCs/>
          <w:i w:val="false"/>
          <w:iCs w:val="false"/>
          <w:color w:val="000000"/>
          <w:sz w:val="24"/>
          <w:szCs w:val="24"/>
        </w:rPr>
        <w:t xml:space="preserve">PyTorch 2.9.1 (CPU build). </w:t>
      </w:r>
      <w:r>
        <w:rPr>
          <w:rFonts w:ascii="Times New Roman" w:cs="Times New Roman" w:eastAsia="Times New Roman" w:hAnsi="Times New Roman"/>
          <w:b w:val="false"/>
          <w:bCs w:val="false"/>
          <w:i w:val="false"/>
          <w:iCs w:val="false"/>
          <w:color w:val="000000"/>
          <w:sz w:val="24"/>
          <w:szCs w:val="24"/>
        </w:rPr>
        <w:t xml:space="preserve">The deep learning framework. The CPU build is used deliberately during development so that the entire pipeline runs on commodity hardware without a GPU; the code is device-agnostic and runs unmodified on CUDA hardware for benchmark-scale training.</w:t>
      </w:r>
    </w:p>
    <w:p>
      <w:pPr>
        <w:spacing w:after="150" w:before="0" w:line="350"/>
        <w:jc w:val="both"/>
      </w:pPr>
      <w:r>
        <w:rPr>
          <w:rFonts w:ascii="Times New Roman" w:cs="Times New Roman" w:eastAsia="Times New Roman" w:hAnsi="Times New Roman"/>
          <w:b/>
          <w:bCs/>
          <w:i w:val="false"/>
          <w:iCs w:val="false"/>
          <w:color w:val="000000"/>
          <w:sz w:val="24"/>
          <w:szCs w:val="24"/>
        </w:rPr>
        <w:t xml:space="preserve">PyTorch Geometric 2.8.0. </w:t>
      </w:r>
      <w:r>
        <w:rPr>
          <w:rFonts w:ascii="Times New Roman" w:cs="Times New Roman" w:eastAsia="Times New Roman" w:hAnsi="Times New Roman"/>
          <w:b w:val="false"/>
          <w:bCs w:val="false"/>
          <w:i w:val="false"/>
          <w:iCs w:val="false"/>
          <w:color w:val="000000"/>
          <w:sz w:val="24"/>
          <w:szCs w:val="24"/>
        </w:rPr>
        <w:t xml:space="preserve">Heterogeneous graph representation and message passing. The HeteroData container holds the three node types and six relation types, and HeteroConv wrapping SAGEConv operators implements relation-specific propagation.</w:t>
      </w:r>
    </w:p>
    <w:p>
      <w:pPr>
        <w:spacing w:after="150" w:before="0" w:line="350"/>
        <w:jc w:val="both"/>
      </w:pPr>
      <w:r>
        <w:rPr>
          <w:rFonts w:ascii="Times New Roman" w:cs="Times New Roman" w:eastAsia="Times New Roman" w:hAnsi="Times New Roman"/>
          <w:b/>
          <w:bCs/>
          <w:i w:val="false"/>
          <w:iCs w:val="false"/>
          <w:color w:val="000000"/>
          <w:sz w:val="24"/>
          <w:szCs w:val="24"/>
        </w:rPr>
        <w:t xml:space="preserve">OpenROAD and OpenROAD-Flow-Scripts. </w:t>
      </w:r>
      <w:r>
        <w:rPr>
          <w:rFonts w:ascii="Times New Roman" w:cs="Times New Roman" w:eastAsia="Times New Roman" w:hAnsi="Times New Roman"/>
          <w:b w:val="false"/>
          <w:bCs w:val="false"/>
          <w:i w:val="false"/>
          <w:iCs w:val="false"/>
          <w:color w:val="000000"/>
          <w:sz w:val="24"/>
          <w:szCs w:val="24"/>
        </w:rPr>
        <w:t xml:space="preserve">The open-source RTL-to-GDS flow used to generate post-route ground truth. The flow is run through the official Docker image. The OpenDB database API, accessed under openroad -python, provides per-GCell routing demand and capacity, and authoritative cell-to-GCell index mapping.</w:t>
      </w:r>
    </w:p>
    <w:p>
      <w:pPr>
        <w:spacing w:after="150" w:before="0" w:line="350"/>
        <w:jc w:val="both"/>
      </w:pPr>
      <w:r>
        <w:rPr>
          <w:rFonts w:ascii="Times New Roman" w:cs="Times New Roman" w:eastAsia="Times New Roman" w:hAnsi="Times New Roman"/>
          <w:b/>
          <w:bCs/>
          <w:i w:val="false"/>
          <w:iCs w:val="false"/>
          <w:color w:val="000000"/>
          <w:sz w:val="24"/>
          <w:szCs w:val="24"/>
        </w:rPr>
        <w:t xml:space="preserve">NumPy 2.4.6 and Matplotlib 3.11.1. </w:t>
      </w:r>
      <w:r>
        <w:rPr>
          <w:rFonts w:ascii="Times New Roman" w:cs="Times New Roman" w:eastAsia="Times New Roman" w:hAnsi="Times New Roman"/>
          <w:b w:val="false"/>
          <w:bCs w:val="false"/>
          <w:i w:val="false"/>
          <w:iCs w:val="false"/>
          <w:color w:val="000000"/>
          <w:sz w:val="24"/>
          <w:szCs w:val="24"/>
        </w:rPr>
        <w:t xml:space="preserve">Array computation, feature engineering, metric computation and figure generation.</w:t>
      </w:r>
    </w:p>
    <w:p>
      <w:pPr>
        <w:spacing w:after="150" w:before="0" w:line="350"/>
        <w:jc w:val="both"/>
      </w:pPr>
      <w:r>
        <w:rPr>
          <w:rFonts w:ascii="Times New Roman" w:cs="Times New Roman" w:eastAsia="Times New Roman" w:hAnsi="Times New Roman"/>
          <w:b/>
          <w:bCs/>
          <w:i w:val="false"/>
          <w:iCs w:val="false"/>
          <w:color w:val="000000"/>
          <w:sz w:val="24"/>
          <w:szCs w:val="24"/>
        </w:rPr>
        <w:t xml:space="preserve">Streamlit 1.62.0. </w:t>
      </w:r>
      <w:r>
        <w:rPr>
          <w:rFonts w:ascii="Times New Roman" w:cs="Times New Roman" w:eastAsia="Times New Roman" w:hAnsi="Times New Roman"/>
          <w:b w:val="false"/>
          <w:bCs w:val="false"/>
          <w:i w:val="false"/>
          <w:iCs w:val="false"/>
          <w:color w:val="000000"/>
          <w:sz w:val="24"/>
          <w:szCs w:val="24"/>
        </w:rPr>
        <w:t xml:space="preserve">The interactive viewer, which presents predicted and ground-truth heatmaps side by side with metrics and a ranked hotspot table.</w:t>
      </w:r>
    </w:p>
    <w:p>
      <w:pPr>
        <w:spacing w:after="150" w:before="0" w:line="350"/>
        <w:jc w:val="both"/>
      </w:pPr>
      <w:r>
        <w:rPr>
          <w:rFonts w:ascii="Times New Roman" w:cs="Times New Roman" w:eastAsia="Times New Roman" w:hAnsi="Times New Roman"/>
          <w:b/>
          <w:bCs/>
          <w:i w:val="false"/>
          <w:iCs w:val="false"/>
          <w:color w:val="000000"/>
          <w:sz w:val="24"/>
          <w:szCs w:val="24"/>
        </w:rPr>
        <w:t xml:space="preserve">Git and GitHub. </w:t>
      </w:r>
      <w:r>
        <w:rPr>
          <w:rFonts w:ascii="Times New Roman" w:cs="Times New Roman" w:eastAsia="Times New Roman" w:hAnsi="Times New Roman"/>
          <w:b w:val="false"/>
          <w:bCs w:val="false"/>
          <w:i w:val="false"/>
          <w:iCs w:val="false"/>
          <w:color w:val="000000"/>
          <w:sz w:val="24"/>
          <w:szCs w:val="24"/>
        </w:rPr>
        <w:t xml:space="preserve">Version control. The repository is public, with one commit per completed phase and a written note per phase recording method, gate criteria, measured results and reproduction commands.</w:t>
      </w:r>
    </w:p>
    <w:p>
      <w:pPr>
        <w:pStyle w:val="Heading2"/>
        <w:spacing w:after="140" w:before="280"/>
      </w:pPr>
      <w:r>
        <w:rPr>
          <w:rFonts w:ascii="Times New Roman" w:cs="Times New Roman" w:eastAsia="Times New Roman" w:hAnsi="Times New Roman"/>
          <w:b/>
          <w:bCs/>
          <w:color w:val="000000"/>
          <w:sz w:val="25"/>
          <w:szCs w:val="25"/>
        </w:rPr>
        <w:t xml:space="preserve">3.2  Hardware Tools</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Three hardware configurations were used over the course of the project, and the distinction matters when interpreting the measurements in Chapter 5.</w:t>
      </w:r>
    </w:p>
    <w:p>
      <w:pPr>
        <w:spacing w:after="150" w:before="0" w:line="350"/>
        <w:jc w:val="both"/>
      </w:pPr>
      <w:r>
        <w:rPr>
          <w:rFonts w:ascii="Times New Roman" w:cs="Times New Roman" w:eastAsia="Times New Roman" w:hAnsi="Times New Roman"/>
          <w:b/>
          <w:bCs/>
          <w:i w:val="false"/>
          <w:iCs w:val="false"/>
          <w:color w:val="000000"/>
          <w:sz w:val="24"/>
          <w:szCs w:val="24"/>
        </w:rPr>
        <w:t xml:space="preserve">Development workstation. </w:t>
      </w:r>
      <w:r>
        <w:rPr>
          <w:rFonts w:ascii="Times New Roman" w:cs="Times New Roman" w:eastAsia="Times New Roman" w:hAnsi="Times New Roman"/>
          <w:b w:val="false"/>
          <w:bCs w:val="false"/>
          <w:i w:val="false"/>
          <w:iCs w:val="false"/>
          <w:color w:val="000000"/>
          <w:sz w:val="24"/>
          <w:szCs w:val="24"/>
        </w:rPr>
        <w:t xml:space="preserve">ASUS Zephyrus G14 GA402XZ; AMD Ryzen 9 7940HS; NVIDIA GeForce RTX 4080 Mobile with 12 GB VRAM. Used under WSL Ubuntu for the OpenROAD flow and the Phase 1–8 pipeline validation. The 12 GB VRAM figure is the memory budget referenced throughout as the commodity-hardware target.</w:t>
      </w:r>
    </w:p>
    <w:p>
      <w:pPr>
        <w:spacing w:after="150" w:before="0" w:line="350"/>
        <w:jc w:val="both"/>
      </w:pPr>
      <w:r>
        <w:rPr>
          <w:rFonts w:ascii="Times New Roman" w:cs="Times New Roman" w:eastAsia="Times New Roman" w:hAnsi="Times New Roman"/>
          <w:b/>
          <w:bCs/>
          <w:i w:val="false"/>
          <w:iCs w:val="false"/>
          <w:color w:val="000000"/>
          <w:sz w:val="24"/>
          <w:szCs w:val="24"/>
        </w:rPr>
        <w:t xml:space="preserve">Portable development machine. </w:t>
      </w:r>
      <w:r>
        <w:rPr>
          <w:rFonts w:ascii="Times New Roman" w:cs="Times New Roman" w:eastAsia="Times New Roman" w:hAnsi="Times New Roman"/>
          <w:b w:val="false"/>
          <w:bCs w:val="false"/>
          <w:i w:val="false"/>
          <w:iCs w:val="false"/>
          <w:color w:val="000000"/>
          <w:sz w:val="24"/>
          <w:szCs w:val="24"/>
        </w:rPr>
        <w:t xml:space="preserve">Apple MacBook Air, M1, 8 GB unified memory. Used for the Phase 9–13 scale engineering. All memory measurements reported in Section 5.1 were taken on this machine and are CPU physical footprint, not GPU memory. Runs exceeding 5.5 GiB were terminated to protect the machine, and figures beyond that point are extrapolations from fitted curves, stated as such wherever they appear.</w:t>
      </w:r>
    </w:p>
    <w:p>
      <w:pPr>
        <w:spacing w:after="150" w:before="0" w:line="350"/>
        <w:jc w:val="both"/>
      </w:pPr>
      <w:r>
        <w:rPr>
          <w:rFonts w:ascii="Times New Roman" w:cs="Times New Roman" w:eastAsia="Times New Roman" w:hAnsi="Times New Roman"/>
          <w:b/>
          <w:bCs/>
          <w:i w:val="false"/>
          <w:iCs w:val="false"/>
          <w:color w:val="000000"/>
          <w:sz w:val="24"/>
          <w:szCs w:val="24"/>
        </w:rPr>
        <w:t xml:space="preserve">Cloud compute. </w:t>
      </w:r>
      <w:r>
        <w:rPr>
          <w:rFonts w:ascii="Times New Roman" w:cs="Times New Roman" w:eastAsia="Times New Roman" w:hAnsi="Times New Roman"/>
          <w:b w:val="false"/>
          <w:bCs w:val="false"/>
          <w:i w:val="false"/>
          <w:iCs w:val="false"/>
          <w:color w:val="000000"/>
          <w:sz w:val="24"/>
          <w:szCs w:val="24"/>
        </w:rPr>
        <w:t xml:space="preserve">Rented NVIDIA A100 or L40S instances for benchmark-scale training runs, which exceed the capacity of either local machine.</w:t>
      </w:r>
    </w:p>
    <w:p>
      <w:pPr>
        <w:pStyle w:val="Heading2"/>
        <w:spacing w:after="140" w:before="280"/>
      </w:pPr>
      <w:r>
        <w:rPr>
          <w:rFonts w:ascii="Times New Roman" w:cs="Times New Roman" w:eastAsia="Times New Roman" w:hAnsi="Times New Roman"/>
          <w:b/>
          <w:bCs/>
          <w:color w:val="000000"/>
          <w:sz w:val="25"/>
          <w:szCs w:val="25"/>
        </w:rPr>
        <w:t xml:space="preserve">3.3  Work Breakdown Structure</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The project is structured into logically progressive components, each closed by a quantitative gate before the next begins. A phase was considered complete only when its gate produced a measured value satisfying a criterion fixed in advance.</w:t>
      </w:r>
    </w:p>
    <w:p>
      <w:pPr>
        <w:spacing w:after="80" w:before="0" w:line="360"/>
        <w:jc w:val="left"/>
      </w:pPr>
      <w:r>
        <w:rPr>
          <w:rFonts w:ascii="Times New Roman" w:cs="Times New Roman" w:eastAsia="Times New Roman" w:hAnsi="Times New Roman"/>
          <w:b/>
          <w:bCs/>
          <w:i w:val="false"/>
          <w:iCs w:val="false"/>
          <w:color w:val="000000"/>
          <w:sz w:val="24"/>
          <w:szCs w:val="24"/>
        </w:rPr>
        <w:t xml:space="preserve">1.  Environment and Flow Establishment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Toolchain installation: OpenROAD via Docker, pinned Python environment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Baseline flow execution on a reference design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Verification of flow outputs and design statistics</w:t>
      </w:r>
    </w:p>
    <w:p>
      <w:pPr>
        <w:spacing w:after="80" w:before="0" w:line="360"/>
        <w:jc w:val="left"/>
      </w:pPr>
      <w:r>
        <w:rPr>
          <w:rFonts w:ascii="Times New Roman" w:cs="Times New Roman" w:eastAsia="Times New Roman" w:hAnsi="Times New Roman"/>
          <w:b/>
          <w:bCs/>
          <w:i w:val="false"/>
          <w:iCs w:val="false"/>
          <w:color w:val="000000"/>
          <w:sz w:val="24"/>
          <w:szCs w:val="24"/>
        </w:rPr>
        <w:t xml:space="preserve">2.  Ground-Truth Generation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Per-GCell demand and capacity extraction from the OpenDB database</w:t>
      </w:r>
    </w:p>
    <w:p>
      <w:pPr>
        <w:pStyle w:val="ListParagraph"/>
        <w:numPr>
          <w:ilvl w:val="0"/>
          <w:numId w:val="1"/>
        </w:numPr>
        <w:spacing w:after="90" w:line="320"/>
        <w:jc w:val="both"/>
      </w:pPr>
      <w:r>
        <w:rPr>
          <w:rFonts w:ascii="Times New Roman" w:cs="Times New Roman" w:eastAsia="Times New Roman" w:hAnsi="Times New Roman"/>
          <w:sz w:val="23"/>
          <w:szCs w:val="23"/>
        </w:rPr>
        <w:t xml:space="preserve">Verification against the routing tool's own reported congestion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Induction of measurable congestion through routing-layer caps and die blockages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Parametric sweep to produce a multi-sample dataset</w:t>
      </w:r>
    </w:p>
    <w:p>
      <w:pPr>
        <w:spacing w:after="80" w:before="0" w:line="360"/>
        <w:jc w:val="left"/>
      </w:pPr>
      <w:r>
        <w:rPr>
          <w:rFonts w:ascii="Times New Roman" w:cs="Times New Roman" w:eastAsia="Times New Roman" w:hAnsi="Times New Roman"/>
          <w:b/>
          <w:bCs/>
          <w:i w:val="false"/>
          <w:iCs w:val="false"/>
          <w:color w:val="000000"/>
          <w:sz w:val="24"/>
          <w:szCs w:val="24"/>
        </w:rPr>
        <w:t xml:space="preserve">3.  Graph Representation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Placement and netlist extraction to an intermediate array format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Construction of the heterogeneous graph with three node types and six relations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Feature engineering in technology-relative units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Verification of grid alignment against the router's own indexing</w:t>
      </w:r>
    </w:p>
    <w:p>
      <w:pPr>
        <w:spacing w:after="80" w:before="0" w:line="360"/>
        <w:jc w:val="left"/>
      </w:pPr>
      <w:r>
        <w:rPr>
          <w:rFonts w:ascii="Times New Roman" w:cs="Times New Roman" w:eastAsia="Times New Roman" w:hAnsi="Times New Roman"/>
          <w:b/>
          <w:bCs/>
          <w:i w:val="false"/>
          <w:iCs w:val="false"/>
          <w:color w:val="000000"/>
          <w:sz w:val="24"/>
          <w:szCs w:val="24"/>
        </w:rPr>
        <w:t xml:space="preserve">4.  Model Development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Architecture design: type-specific encoders, relation-specific message passing, prediction head</w:t>
      </w:r>
    </w:p>
    <w:p>
      <w:pPr>
        <w:pStyle w:val="ListParagraph"/>
        <w:numPr>
          <w:ilvl w:val="0"/>
          <w:numId w:val="1"/>
        </w:numPr>
        <w:spacing w:after="90" w:line="320"/>
        <w:jc w:val="both"/>
      </w:pPr>
      <w:r>
        <w:rPr>
          <w:rFonts w:ascii="Times New Roman" w:cs="Times New Roman" w:eastAsia="Times New Roman" w:hAnsi="Times New Roman"/>
          <w:sz w:val="23"/>
          <w:szCs w:val="23"/>
        </w:rPr>
        <w:t xml:space="preserve">Composite loss combining Huber regression with pairwise ranking</w:t>
      </w:r>
    </w:p>
    <w:p>
      <w:pPr>
        <w:pStyle w:val="ListParagraph"/>
        <w:numPr>
          <w:ilvl w:val="0"/>
          <w:numId w:val="1"/>
        </w:numPr>
        <w:spacing w:after="90" w:line="320"/>
        <w:jc w:val="both"/>
      </w:pPr>
      <w:r>
        <w:rPr>
          <w:rFonts w:ascii="Times New Roman" w:cs="Times New Roman" w:eastAsia="Times New Roman" w:hAnsi="Times New Roman"/>
          <w:sz w:val="23"/>
          <w:szCs w:val="23"/>
        </w:rPr>
        <w:t xml:space="preserve">Single-sample overfit gate to validate features and labels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Multi-design training with design-level splitting</w:t>
      </w:r>
    </w:p>
    <w:p>
      <w:pPr>
        <w:spacing w:after="80" w:before="0" w:line="360"/>
        <w:jc w:val="left"/>
      </w:pPr>
      <w:r>
        <w:rPr>
          <w:rFonts w:ascii="Times New Roman" w:cs="Times New Roman" w:eastAsia="Times New Roman" w:hAnsi="Times New Roman"/>
          <w:b/>
          <w:bCs/>
          <w:i w:val="false"/>
          <w:iCs w:val="false"/>
          <w:color w:val="000000"/>
          <w:sz w:val="24"/>
          <w:szCs w:val="24"/>
        </w:rPr>
        <w:t xml:space="preserve">5.  Scale Engineering</w:t>
      </w:r>
    </w:p>
    <w:p>
      <w:pPr>
        <w:pStyle w:val="ListParagraph"/>
        <w:numPr>
          <w:ilvl w:val="0"/>
          <w:numId w:val="1"/>
        </w:numPr>
        <w:spacing w:after="90" w:line="320"/>
        <w:jc w:val="both"/>
      </w:pPr>
      <w:r>
        <w:rPr>
          <w:rFonts w:ascii="Times New Roman" w:cs="Times New Roman" w:eastAsia="Times New Roman" w:hAnsi="Times New Roman"/>
          <w:sz w:val="23"/>
          <w:szCs w:val="23"/>
        </w:rPr>
        <w:t xml:space="preserve">Synthetic benchmark generator reproducing realistic degree distributions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Memory and runtime profiling across four design scales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Replacement of quadratic components with linear or tiled equivalents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Spatial partitioning with halo construction and degree capping</w:t>
      </w:r>
    </w:p>
    <w:p>
      <w:pPr>
        <w:spacing w:after="80" w:before="0" w:line="360"/>
        <w:jc w:val="left"/>
      </w:pPr>
      <w:r>
        <w:rPr>
          <w:rFonts w:ascii="Times New Roman" w:cs="Times New Roman" w:eastAsia="Times New Roman" w:hAnsi="Times New Roman"/>
          <w:b/>
          <w:bCs/>
          <w:i w:val="false"/>
          <w:iCs w:val="false"/>
          <w:color w:val="000000"/>
          <w:sz w:val="24"/>
          <w:szCs w:val="24"/>
        </w:rPr>
        <w:t xml:space="preserve">6.  Evaluation and Deployment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Analytical baselines: RUDY and a density-only predictor</w:t>
      </w:r>
    </w:p>
    <w:p>
      <w:pPr>
        <w:pStyle w:val="ListParagraph"/>
        <w:numPr>
          <w:ilvl w:val="0"/>
          <w:numId w:val="1"/>
        </w:numPr>
        <w:spacing w:after="90" w:line="320"/>
        <w:jc w:val="both"/>
      </w:pPr>
      <w:r>
        <w:rPr>
          <w:rFonts w:ascii="Times New Roman" w:cs="Times New Roman" w:eastAsia="Times New Roman" w:hAnsi="Times New Roman"/>
          <w:sz w:val="23"/>
          <w:szCs w:val="23"/>
        </w:rPr>
        <w:t xml:space="preserve">Benchmark evaluation under a design-level split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Held-out-design evaluation; cross-technology transfer deferred</w:t>
      </w:r>
    </w:p>
    <w:p>
      <w:pPr>
        <w:pStyle w:val="ListParagraph"/>
        <w:numPr>
          <w:ilvl w:val="0"/>
          <w:numId w:val="1"/>
        </w:numPr>
        <w:spacing w:after="90" w:line="320"/>
        <w:jc w:val="both"/>
      </w:pPr>
      <w:r>
        <w:rPr>
          <w:rFonts w:ascii="Times New Roman" w:cs="Times New Roman" w:eastAsia="Times New Roman" w:hAnsi="Times New Roman"/>
          <w:sz w:val="23"/>
          <w:szCs w:val="23"/>
        </w:rPr>
        <w:t xml:space="preserve">Interactive viewer and documentation</w:t>
      </w:r>
    </w:p>
    <w:p>
      <w:pPr>
        <w:pStyle w:val="Heading2"/>
        <w:spacing w:after="140" w:before="280"/>
      </w:pPr>
      <w:r>
        <w:rPr>
          <w:rFonts w:ascii="Times New Roman" w:cs="Times New Roman" w:eastAsia="Times New Roman" w:hAnsi="Times New Roman"/>
          <w:b/>
          <w:bCs/>
          <w:color w:val="000000"/>
          <w:sz w:val="25"/>
          <w:szCs w:val="25"/>
        </w:rPr>
        <w:t xml:space="preserve">3.4  Functional Requirements</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The system is designed to predict routing congestion from a placed design and to present the result in a form a physical design engineer can act upon. Table 3.1 enumerates the expected behaviour of each module.</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ID</w:t>
            </w:r>
          </w:p>
        </w:tc>
        <w:tc>
          <w:tcPr>
            <w:tcW w:type="dxa" w:w="84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Requirement</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FR1</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parse LEF and DEF files and extract cell dimensions, pin counts, placement coordinates and net connectivity.</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FR2</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construct a heterogeneous graph containing cell, net and grid-region nodes connected by six relation types.</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FR3</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express all node features in technology-relative units rather than absolute physical dimensions.</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FR4</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generate post-route ground-truth congestion maps through an open-source routing flow, and shall verify extracted values against the routing tool's own output.</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FR5</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train a model on a corpus of designs using a split that assigns every sample of a given design to exactly one of train, validation and test.</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FR6</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predict horizontal and vertical congestion ratio for every grid region of an unseen placed design.</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FR7</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produce a congestion heatmap together with a ranked list of the most congested regions.</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FR8</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re-predict on demand after a designer modifies the placement, without requiring a routing run.</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FR9</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partition designs exceeding a configurable memory budget and reassemble per-partition predictions into a complete map.</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FR10</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report rank-correlation and error metrics against ground truth where ground truth is available.</w:t>
            </w:r>
          </w:p>
        </w:tc>
      </w:tr>
    </w:tbl>
    <w:p>
      <w:pPr>
        <w:pStyle w:val="Heading2"/>
        <w:spacing w:after="140" w:before="280"/>
      </w:pPr>
      <w:r>
        <w:rPr>
          <w:rFonts w:ascii="Times New Roman" w:cs="Times New Roman" w:eastAsia="Times New Roman" w:hAnsi="Times New Roman"/>
          <w:b/>
          <w:bCs/>
          <w:color w:val="000000"/>
          <w:sz w:val="25"/>
          <w:szCs w:val="25"/>
        </w:rPr>
        <w:t xml:space="preserve">3.5  Non-Functional Requirements</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Beyond specified behaviours, the system's non-functional requirements define its quality attributes, performance targets and operating limits. Table 3.2 enumerates them.</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ID</w:t>
            </w:r>
          </w:p>
        </w:tc>
        <w:tc>
          <w:tcPr>
            <w:tcW w:type="dxa" w:w="84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Requirement</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NFR1</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Inference on a mid-size design shall complete within approximately thirty seconds, against the hours required by a routing engine.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NFR2</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Peak training memory shall remain within 12 GB, the budget of the commodity GPU targeted, for designs up to 1.5 million cells.</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NFR3</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Runs shall be reproducible: fixed seeds, pinned dependency versions, versioned configurations, and deterministic execution available as a configurable mode.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NFR4</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Components shall be modular so that encoders, losses and baselines can be substituted for ablation studies without altering the surrounding pipeline.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NFR5</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Output shall be interpretable and actionable by a physical design engineer, presented as ranked spatial regions rather than an aggregate score.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NFR6</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The system shall scale from designs of a few hundred cells to over one million cells without architectural change.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NFR7</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Every reported quantity shall be traceable to a recorded measurement, with extrapolated values distinguished from measured ones.</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NFR8</w:t>
            </w:r>
          </w:p>
        </w:tc>
        <w:tc>
          <w:tcPr>
            <w:tcW w:type="dxa" w:w="84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Model development shall not require a commercial EDA licence or access to proprietary design data.</w:t>
            </w:r>
          </w:p>
        </w:tc>
      </w:tr>
    </w:tbl>
    <w:p>
      <w:r>
        <w:br w:type="page"/>
      </w:r>
    </w:p>
    <w:p>
      <w:pPr>
        <w:pStyle w:val="Heading1"/>
        <w:spacing w:after="160"/>
      </w:pPr>
      <w:r>
        <w:rPr>
          <w:rFonts w:ascii="Times New Roman" w:cs="Times New Roman" w:eastAsia="Times New Roman" w:hAnsi="Times New Roman"/>
          <w:b/>
          <w:bCs/>
          <w:color w:val="000000"/>
          <w:sz w:val="28"/>
          <w:szCs w:val="28"/>
        </w:rPr>
        <w:t xml:space="preserve">Chapter 4</w:t>
      </w:r>
    </w:p>
    <w:p>
      <w:pPr>
        <w:pStyle w:val="Heading1"/>
        <w:spacing w:after="260"/>
      </w:pPr>
      <w:r>
        <w:rPr>
          <w:rFonts w:ascii="Times New Roman" w:cs="Times New Roman" w:eastAsia="Times New Roman" w:hAnsi="Times New Roman"/>
          <w:b/>
          <w:bCs/>
          <w:color w:val="000000"/>
          <w:sz w:val="32"/>
          <w:szCs w:val="32"/>
        </w:rPr>
        <w:t xml:space="preserve">Methodology</w:t>
      </w:r>
    </w:p>
    <w:p>
      <w:pPr>
        <w:pStyle w:val="Heading2"/>
        <w:spacing w:after="140" w:before="280"/>
      </w:pPr>
      <w:r>
        <w:rPr>
          <w:rFonts w:ascii="Times New Roman" w:cs="Times New Roman" w:eastAsia="Times New Roman" w:hAnsi="Times New Roman"/>
          <w:b/>
          <w:bCs/>
          <w:color w:val="000000"/>
          <w:sz w:val="25"/>
          <w:szCs w:val="25"/>
        </w:rPr>
        <w:t xml:space="preserve">4.1  Data Collection and Dataset Description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Two distinct categories of data support this work, and the distinction between them is material to interpreting the results.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final real corpus comprises twelve samples: dynamic_node at 40/55/65% utilisation, ibex at 50/65/75%, tinyRocket at 60/63/66%, and aes at 35/40/45%. The split is dynamic_node plus tinyRocket for training, ibex for validation, and aes for test. All variants of a design stay in one split.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Earlier single-design sweeps were development experiments and are excluded from the final corpus. An incremental reroute overwrote congestion grids; measurements taken before its correction are invalid for the final pressure comparison. The verified final corpus has twelve distinct congestion maps.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No CircuitNet or ISPD2015 accuracy experiment was completed. Large synthetic graphs support the scale-engineering experiments only; the final predictive evaluation uses the four-design OpenROAD corpus.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second category is synthetic data, used exclusively for the scale engineering reported in Sections 5.1(C) through 5.1(F). A generator produces placements at arbitrary cell counts and passes them through the same graph construction code as the real pipeline, so that the resulting graphs are structurally identical in form to real ones. Its purpose is to permit memory and partitioning behaviour to be measured at scales for which no real data was locally available. Its labels are an analytical proxy rather than router output, and consequently no accuracy figure derived from synthetic data is a statement about predictive accuracy on real circuits. This qualification is repeated wherever such figures appear.</w:t>
      </w:r>
    </w:p>
    <w:p>
      <w:pPr>
        <w:pStyle w:val="Heading2"/>
        <w:spacing w:after="140" w:before="280"/>
      </w:pPr>
      <w:r>
        <w:rPr>
          <w:rFonts w:ascii="Times New Roman" w:cs="Times New Roman" w:eastAsia="Times New Roman" w:hAnsi="Times New Roman"/>
          <w:b/>
          <w:bCs/>
          <w:color w:val="000000"/>
          <w:sz w:val="25"/>
          <w:szCs w:val="25"/>
        </w:rPr>
        <w:t xml:space="preserve">4.2  Ground-Truth Extraction and Graph Construction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Ground truth is extracted after global routing, separately for horizontal and vertical demand/capacity ratios. The corpus-generation image lacks OpenROAD Python support, so Tcl extraction plus odb_text_to_npz.py produces the same NPZ schema as the Python reference. Inputs come from placement before CTS; labels come from the subsequent global route.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Verification of this extraction was treated as a gate rather than an assumption. The extracted per-tile values were compared against the congestion heatmap that OpenROAD renders in its own graphical interface: all 144 tiles matched, with a maximum absolute difference of 0.000005.</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final recipe applies a uniform metal2–5 routing-layer cap, SKIP_INCREMENTAL_REPAIR=1 and OPT_POST_GRT_WNS=1. Utilisation steps were selected before model training to preserve label spread, targeting roughly 0.17–0.23 combined IQR with the documented step-down rule. Spatial blockage bands were abandoned because OpenROAD records them as usage rather than reduced capacity, leaving the intervention invisible in input features. The earlier uncapped-utilisation comparison is invalidated by the reroute bug and cannot quantitatively justify the cap.</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Graph construction converts the extracted placement into a heterogeneous graph. Three node types and six relation types are used, as set out in Table 4.1 and illustrated in Figure 4.1. Every node feature is expressed in technology-relative units — multiples of site width or height, routing tracks, or dimensionless ratios — rather than in nanometres. This is a deliberate choice made in service of the transfer objective: a 28 nm and a 14 nm design have different absolute dimensions for the same logical structure, and features in raw physical units would cause the model to memorise one technology's constants.</w:t>
      </w:r>
    </w:p>
    <w:p>
      <w:pPr>
        <w:spacing w:after="140" w:before="200" w:line="360"/>
        <w:jc w:val="both"/>
      </w:pPr>
      <w:r>
        <w:rPr>
          <w:rFonts w:ascii="Times New Roman" w:cs="Times New Roman" w:eastAsia="Times New Roman" w:hAnsi="Times New Roman"/>
          <w:b w:val="false"/>
          <w:bCs w:val="false"/>
          <w:i w:val="false"/>
          <w:iCs w:val="false"/>
          <w:color w:val="000000"/>
          <w:sz w:val="22"/>
          <w:szCs w:val="22"/>
        </w:rPr>
        <w:t xml:space="preserve">Table 4.1 Node feature vectors and relation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rPr>
          <w:tblHeader/>
        </w:trPr>
        <w:tc>
          <w:tcPr>
            <w:tcW w:type="dxa" w:w="15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Node type</w:t>
            </w:r>
          </w:p>
        </w:tc>
        <w:tc>
          <w:tcPr>
            <w:tcW w:type="dxa" w:w="9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Dim.</w:t>
            </w:r>
          </w:p>
        </w:tc>
        <w:tc>
          <w:tcPr>
            <w:tcW w:type="dxa" w:w="69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Features</w:t>
            </w:r>
          </w:p>
        </w:tc>
      </w:tr>
      <w:t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cell</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w:t>
            </w:r>
          </w:p>
        </w:tc>
        <w:tc>
          <w:tcPr>
            <w:tcW w:type="dxa" w:w="69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width / site width, height / site height, pin count, x / die width, y / die height</w:t>
            </w:r>
          </w:p>
        </w:tc>
      </w:tr>
      <w:t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net</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3</w:t>
            </w:r>
          </w:p>
        </w:tc>
        <w:tc>
          <w:tcPr>
            <w:tcW w:type="dxa" w:w="69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fanout, half-perimeter wirelength / site width, bounding-box aspect ratio</w:t>
            </w:r>
          </w:p>
        </w:tc>
      </w:tr>
      <w:t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gcell</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4</w:t>
            </w:r>
          </w:p>
        </w:tc>
        <w:tc>
          <w:tcPr>
            <w:tcW w:type="dxa" w:w="69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cell density, pin density, horizontal routing capacity, vertical routing capacity</w:t>
            </w:r>
          </w:p>
        </w:tc>
      </w:tr>
    </w:tbl>
    <w:p>
      <w:pPr>
        <w:spacing w:after="100" w:before="0" w:line="360"/>
        <w:jc w:val="both"/>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Relation</w:t>
            </w:r>
          </w:p>
        </w:tc>
        <w:tc>
          <w:tcPr>
            <w:tcW w:type="dxa" w:w="56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Meaning</w:t>
            </w:r>
          </w:p>
        </w:tc>
      </w:tr>
      <w:tr>
        <w:tc>
          <w:tcPr>
            <w:tcW w:type="dxa" w:w="37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(cell, pin, net) and (net, rev_pin, cell)</w:t>
            </w:r>
          </w:p>
        </w:tc>
        <w:tc>
          <w:tcPr>
            <w:tcW w:type="dxa" w:w="56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Pin connectivity in both directions</w:t>
            </w:r>
          </w:p>
        </w:tc>
      </w:tr>
      <w:tr>
        <w:tc>
          <w:tcPr>
            <w:tcW w:type="dxa" w:w="37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(cell, in, gcell) and (gcell, contains, cell)</w:t>
            </w:r>
          </w:p>
        </w:tc>
        <w:tc>
          <w:tcPr>
            <w:tcW w:type="dxa" w:w="56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Spatial containment of a cell within a grid region</w:t>
            </w:r>
          </w:p>
        </w:tc>
      </w:tr>
      <w:tr>
        <w:tc>
          <w:tcPr>
            <w:tcW w:type="dxa" w:w="37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(cell, near, cell)</w:t>
            </w:r>
          </w:p>
        </w:tc>
        <w:tc>
          <w:tcPr>
            <w:tcW w:type="dxa" w:w="56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Geometric proximity, k = 8 nearest neighbours by centre distance</w:t>
            </w:r>
          </w:p>
        </w:tc>
      </w:tr>
      <w:tr>
        <w:tc>
          <w:tcPr>
            <w:tcW w:type="dxa" w:w="37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(gcell, adjacent, gcell)</w:t>
            </w:r>
          </w:p>
        </w:tc>
        <w:tc>
          <w:tcPr>
            <w:tcW w:type="dxa" w:w="56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Four-connected adjacency of the grid</w:t>
            </w:r>
          </w:p>
        </w:tc>
      </w:tr>
    </w:tbl>
    <w:p>
      <w:pPr>
        <w:spacing w:after="60" w:before="200"/>
        <w:jc w:val="center"/>
      </w:pPr>
      <w:r>
        <w:drawing>
          <wp:inline distT="0" distB="0" distL="0" distR="0">
            <wp:extent cx="5394960" cy="269748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394960" cy="2697480"/>
                    </a:xfrm>
                    <a:prstGeom prst="rect">
                      <a:avLst/>
                    </a:prstGeom>
                  </pic:spPr>
                </pic:pic>
              </a:graphicData>
            </a:graphic>
          </wp:inline>
        </w:drawing>
      </w:r>
    </w:p>
    <w:p>
      <w:pPr>
        <w:spacing w:after="220" w:before="90" w:line="280"/>
        <w:jc w:val="left"/>
      </w:pPr>
      <w:r>
        <w:rPr>
          <w:rFonts w:ascii="Times New Roman" w:cs="Times New Roman" w:eastAsia="Times New Roman" w:hAnsi="Times New Roman"/>
          <w:i/>
          <w:iCs/>
          <w:sz w:val="21"/>
          <w:szCs w:val="21"/>
        </w:rPr>
        <w:t xml:space="preserve">Figure 4.1 Heterogeneous graph schema: three node types and six relation types. Because grid regions are nodes within the same graph as the connectivity structure, geometry and topology interact during message passing rather than being combined at the output.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Ground-truth congestion is attached to the grid nodes as a supervision target and is never supplied as an input feature. A separate gate verified that the graph's grid indexing agrees with the router's own: cell-to-region assignment was compared against OpenROAD's getXIdx and getYIdx functions over 614 instances plus six boundary cases, with zero mismatches, and all 606 cells were confirmed to lie within their assigned region. This check is emphasised because misalignment between the predicted grid and the label grid is a silent failure mode: the model would train successfully and produce plausible but meaningless output.</w:t>
      </w:r>
    </w:p>
    <w:p>
      <w:pPr>
        <w:pStyle w:val="Heading2"/>
        <w:spacing w:after="140" w:before="280"/>
      </w:pPr>
      <w:r>
        <w:rPr>
          <w:rFonts w:ascii="Times New Roman" w:cs="Times New Roman" w:eastAsia="Times New Roman" w:hAnsi="Times New Roman"/>
          <w:b/>
          <w:bCs/>
          <w:color w:val="000000"/>
          <w:sz w:val="25"/>
          <w:szCs w:val="25"/>
        </w:rPr>
        <w:t xml:space="preserve">4.3  Model Architecture and Base Network</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classification model, CongestionGNN, is a heterogeneous graph neural network of 155,010 parameters operating on the representation described above. Its structure comprises three stages.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first stage projects each node type into a shared latent space. Because cells, nets and grid regions carry feature vectors of different dimension and meaning, a separate linear encoder is applied per node type, mapping each into a common 64-dimensional embedding followed by a rectified linear activation. After this stage, all node types are directly comparable and can exchange messages.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second stage performs three rounds of relation-specific message passing. Each round applies a heterogeneous convolution that wraps one GraphSAGE operator per relation type, with contributions summed where a node type receives messages across several relations. GraphSAGE is used because it maintains a separate transformation of a node's own representation alongside the aggregate of its neighbours, so a node's identity is not washed out by aggregation. Each round adds a residual connection and applies layer normalisation per node type before the next, which preserves information across depth and stabilises training. Three rounds give each grid region a receptive field extending three hops through the graph, which is what makes the partitioning scheme of Section 4.7 exact.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third stage predicts. Only grid-region embeddings are required for the output, and these pass through a multilayer perceptron of two linear layers with an intervening rectified linear activation, producing two values per region: predicted horizontal and vertical congestion ratio.</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architecture may be summarised as follows: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Per node type: Linear(in_dim → 64) followed by ReLU</w:t>
      </w:r>
    </w:p>
    <w:p>
      <w:pPr>
        <w:pStyle w:val="ListParagraph"/>
        <w:numPr>
          <w:ilvl w:val="0"/>
          <w:numId w:val="1"/>
        </w:numPr>
        <w:spacing w:after="90" w:line="320"/>
        <w:jc w:val="both"/>
      </w:pPr>
      <w:r>
        <w:rPr>
          <w:rFonts w:ascii="Times New Roman" w:cs="Times New Roman" w:eastAsia="Times New Roman" w:hAnsi="Times New Roman"/>
          <w:sz w:val="23"/>
          <w:szCs w:val="23"/>
        </w:rPr>
        <w:t xml:space="preserve">Three layers of: HeteroConv{SAGEConv(64 → 64) per relation, aggregation = sum} → residual addition → LayerNorm per node type → ReLU</w:t>
      </w:r>
    </w:p>
    <w:p>
      <w:pPr>
        <w:pStyle w:val="ListParagraph"/>
        <w:numPr>
          <w:ilvl w:val="0"/>
          <w:numId w:val="1"/>
        </w:numPr>
        <w:spacing w:after="90" w:line="320"/>
        <w:jc w:val="both"/>
      </w:pPr>
      <w:r>
        <w:rPr>
          <w:rFonts w:ascii="Times New Roman" w:cs="Times New Roman" w:eastAsia="Times New Roman" w:hAnsi="Times New Roman"/>
          <w:sz w:val="23"/>
          <w:szCs w:val="23"/>
        </w:rPr>
        <w:t xml:space="preserve">Prediction head on grid nodes: Linear(64 → 64) → ReLU → Linear(64 → 2)</w:t>
      </w:r>
    </w:p>
    <w:p>
      <w:pPr>
        <w:pStyle w:val="Heading2"/>
        <w:spacing w:after="140" w:before="280"/>
      </w:pPr>
      <w:r>
        <w:rPr>
          <w:rFonts w:ascii="Times New Roman" w:cs="Times New Roman" w:eastAsia="Times New Roman" w:hAnsi="Times New Roman"/>
          <w:b/>
          <w:bCs/>
          <w:color w:val="000000"/>
          <w:sz w:val="25"/>
          <w:szCs w:val="25"/>
        </w:rPr>
        <w:t xml:space="preserve">4.4  Training Strategy and Hyperparameters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model is trained with a composite objective that reflects how its output is consumed. A Huber regression term penalises the deviation of predicted congestion from the true value. Huber loss is preferred to squared error because the congestion distribution is heavily skewed: most regions are near zero and a small number are extreme, and squared error permits those few extremes to dominate the gradient.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 pairwise hinge ranking term is added to this. For every pair of grid regions whose true congestion differs, the term penalises the model whenever the predicted ordering disagrees with the true ordering, independently of the magnitudes involved. The two terms are combined as a weighted sum with the ranking term weighted at 0.5. The rationale is operational: a physical design engineer repairs the worst regions first, so a model that ranks the top regions correctly is more useful than one with lower absolute error but incorrect ordering.</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exhaustive pairwise formulation is quadratic in the number of grid regions. Measurement established that it exhausts available memory beyond approximately 12 thousand regions, which is below the region count of even the smallest benchmark design. It was therefore replaced with a sampled-pairs estimator over a configurable number of randomly selected pairs; the sampled estimator agrees with the exhaustive loss to a relative difference of 5.2e-4.</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Training is driven by declarative configuration files rather than command-line arguments, so that every run is described by a versioned artefact. Unknown keys and type errors are rejected rather than silently ignored, and the resolved configuration is hashed and stored alongside the run. Checkpoints are written after every epoch and separately on validation improvement, using atomic replacement so that an interrupted write cannot corrupt the file; resumption restores optimiser and random number generator state in addition to weights, and refuses any checkpoint whose configuration hash differs from the current run.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Mixed precision is supported but guarded. On CUDA hardware it is enabled directly; on CPU, bfloat16 is probed by executing a forward and backward pass on a copy of the model and verifying the result remains finite, falling back to full precision with a logged reason if not. Gradient accumulation permits an effective batch spanning several graphs or partitions where individual units do not fit memory. Early stopping monitors validation rank correlation rather than validation loss, on the same reasoning that motivates the ranking term in the objective.</w:t>
      </w:r>
    </w:p>
    <w:p>
      <w:pPr>
        <w:spacing w:after="140" w:before="200" w:line="360"/>
        <w:jc w:val="both"/>
      </w:pPr>
      <w:r>
        <w:rPr>
          <w:rFonts w:ascii="Times New Roman" w:cs="Times New Roman" w:eastAsia="Times New Roman" w:hAnsi="Times New Roman"/>
          <w:b w:val="false"/>
          <w:bCs w:val="false"/>
          <w:i w:val="false"/>
          <w:iCs w:val="false"/>
          <w:color w:val="000000"/>
          <w:sz w:val="22"/>
          <w:szCs w:val="22"/>
        </w:rPr>
        <w:t xml:space="preserve">Table 4.2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Parameter</w:t>
            </w:r>
          </w:p>
        </w:tc>
        <w:tc>
          <w:tcPr>
            <w:tcW w:type="dxa" w:w="2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Value</w:t>
            </w:r>
          </w:p>
        </w:tc>
        <w:tc>
          <w:tcPr>
            <w:tcW w:type="dxa" w:w="4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Rationale</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Optimiser</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Adam</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Standard adaptive optimiser; stable without extensive tuning</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Learning rate</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1e-3</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Converged reliably across configurations tested</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Hidden dimension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64</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Balances capacity against the 12 GB memory target</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Message-passing layers</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3</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Sets the receptive field; matches the three-hop halo of Section 4.7</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Loss</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Huber + λ × pairwise hinge ranking</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Magnitude and ordering optimised jointly</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λ (ranking weight)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Ordering weighted at half the regression term</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Sampled ranking pairs</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20,000 (configurable)</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Replaces the quadratic exhaustive formulation</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Gradient accumulation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 micro-batches per step</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Permits effective batch size beyond single-unit memory</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Gradient clipping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1.0</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Guards against instability from high-degree nodes</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Mixed precision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auto (fp32 on CPU)</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Probed before use; falls back silently with a logged reason</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Early stopping</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Validation Spearman, patience 3</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Ranking quality, not loss, is the operational criterion</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Deterministic mode</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Enabled by default</w:t>
            </w:r>
          </w:p>
        </w:tc>
        <w:tc>
          <w:tcPr>
            <w:tcW w:type="dxa" w:w="4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Single intra-op thread; exact reproducibility at ~45% time cost</w:t>
            </w:r>
          </w:p>
        </w:tc>
      </w:tr>
    </w:tbl>
    <w:p>
      <w:pPr>
        <w:pStyle w:val="Heading2"/>
        <w:spacing w:after="140" w:before="280"/>
      </w:pPr>
      <w:r>
        <w:rPr>
          <w:rFonts w:ascii="Times New Roman" w:cs="Times New Roman" w:eastAsia="Times New Roman" w:hAnsi="Times New Roman"/>
          <w:b/>
          <w:bCs/>
          <w:color w:val="000000"/>
          <w:sz w:val="25"/>
          <w:szCs w:val="25"/>
        </w:rPr>
        <w:t xml:space="preserve">4.5  Validation and Evaluation Protocols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Evaluation is performed on held-out designs, and the splitting protocol is the single most consequential methodological choice in this section. Splits are formed at the level of the design, never the individual sample. Several samples may derive from the same design through different placements of the same netlist, and because they share connectivity entirely, assigning some to training and others to testing would leak topology and inflate every reported metric. An assertion in the implementation rejects any configuration in which a design appears in more than one split, and the realised split is recorded with the run.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magnitude of this effect was quantified rather than assumed. Generating a second placement of a design by displacing every cell with Gaussian noise moved 99.7% of cells, yet the resulting congestion labels still correlated at 0.81 with the original. That correlation is precisely the leakage a sample-level split would conceal.</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Primary metric: Spearman with midrank tie handling, reported per channel. Kendall tau-b is exact below the project threshold and flagged when sampled. Hotspots are true ratios &gt;= 0.9; predictions select the top-|S| regions with fractional credit for cutoff ties. Precision equals recall by construction; ROC-AUC uses the full map. Top-20 hit rate is excluded because saturated targets have large tie blocks.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 single-sample overfit gate precedes all other evaluation. The model is trained and evaluated on one sample and required to achieve rank correlation above 0.95. This is not a measure of predictive performance; it is a test of whether the features and labels are structurally sound enough to be learnable at all. A model unable to memorise a single sample indicates a defect upstream in feature construction or label alignment, and no amount of subsequent training would correct it.</w:t>
      </w:r>
    </w:p>
    <w:p>
      <w:pPr>
        <w:pStyle w:val="Heading2"/>
        <w:spacing w:after="140" w:before="280"/>
      </w:pPr>
      <w:r>
        <w:rPr>
          <w:rFonts w:ascii="Times New Roman" w:cs="Times New Roman" w:eastAsia="Times New Roman" w:hAnsi="Times New Roman"/>
          <w:b/>
          <w:bCs/>
          <w:color w:val="000000"/>
          <w:sz w:val="25"/>
          <w:szCs w:val="25"/>
        </w:rPr>
        <w:t xml:space="preserve">4.6  Inference and Prediction Pipeline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At inference the routing engine is never invoked. This is the central property of the system and the source of its speed advantage. A placed but unrouted design is parsed, its features extracted and normalised, and the heterogeneous graph constructed. The graph passes through the trained model in a single forward pass, and the grid-node outputs are reshaped into two spatial maps corresponding to horizontal and vertical congestion. Regions are then sorted by predicted congestion to produce a ranked hotspot list.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Figure 4.2 shows the complete pipeline. The routing path appears only in the training branch, where it is required once, offline, to generate the labels from which the model learns.</w:t>
      </w:r>
    </w:p>
    <w:p>
      <w:pPr>
        <w:spacing w:after="60" w:before="200"/>
        <w:jc w:val="center"/>
      </w:pPr>
      <w:r>
        <w:drawing>
          <wp:inline distT="0" distB="0" distL="0" distR="0">
            <wp:extent cx="5760720" cy="2651760"/>
            <wp:effectExtent t="0" r="0" b="0" l="0"/>
            <wp:docPr id="2"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2651760"/>
                    </a:xfrm>
                    <a:prstGeom prst="rect">
                      <a:avLst/>
                    </a:prstGeom>
                  </pic:spPr>
                </pic:pic>
              </a:graphicData>
            </a:graphic>
          </wp:inline>
        </w:drawing>
      </w:r>
    </w:p>
    <w:p>
      <w:pPr>
        <w:spacing w:after="220" w:before="90" w:line="280"/>
        <w:jc w:val="left"/>
      </w:pPr>
      <w:r>
        <w:rPr>
          <w:rFonts w:ascii="Times New Roman" w:cs="Times New Roman" w:eastAsia="Times New Roman" w:hAnsi="Times New Roman"/>
          <w:i/>
          <w:iCs/>
          <w:sz w:val="21"/>
          <w:szCs w:val="21"/>
        </w:rPr>
        <w:t xml:space="preserve">Figure 4.2 End-to-end system pipeline. The router appears only in the training path, where it generates ground-truth labels offline; at inference it is never invoked, which is the source of the method's speed advantage.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output is presented through an interactive viewer that displays predicted and ground-truth heatmaps on a shared colour scale, a signed difference panel, rank-correlation metrics, and a ranked table of the twenty most congested regions with click-to-zoom navigation. Re-prediction after a change to the input completes in 26.8 ms on the validation design.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viewer distinguishes two modes, and the distinction is methodologically important. In validation mode the input is a real placement for which ground truth exists, and predictions can be scored. In exploration mode the designer modifies the placement — repositioning a macro or applying a density screen — and re-predicts. No ground truth exists for a modified placement by construction, and such an input is additionally out of distribution relative to the training corpus, since it was not produced by the placement tool that generated the training data. Exploration mode is therefore presented with an explicit interface indication that its predictions are exploratory and unverified.</w:t>
      </w:r>
    </w:p>
    <w:p>
      <w:pPr>
        <w:pStyle w:val="Heading2"/>
        <w:spacing w:after="140" w:before="280"/>
      </w:pPr>
      <w:r>
        <w:rPr>
          <w:rFonts w:ascii="Times New Roman" w:cs="Times New Roman" w:eastAsia="Times New Roman" w:hAnsi="Times New Roman"/>
          <w:b/>
          <w:bCs/>
          <w:color w:val="000000"/>
          <w:sz w:val="25"/>
          <w:szCs w:val="25"/>
        </w:rPr>
        <w:t xml:space="preserve">4.7  Scaling to Benchmark Designs: Partitioning and Memory Management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Applying the validated pipeline to benchmark-sized designs required engineering that the validation design was too small to motivate. Profiling across synthetic designs from 35 thousand to 1.5 million cells, reported in Section 5.1(D), established two facts. The original graph construction routine computed a dense pairwise distance matrix to find geometric neighbours, making it quadratic in cell count; it reaches a 12 GB budget at approximately 20 thousand cells, below the smallest benchmark design. And a full-graph training step, even with construction fixed, reaches the same budget at approximately 1.1 million cells, within the benchmark's own design range.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quadratic components were replaced. Neighbour search became an exact tiled computation that processes the distance matrix in blocks and reproduces the original's neighbour assignments exactly, requiring 2.13 GiB at 1.5 million cells. The ranking loss became the sampled estimator described in Section 4.4.</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training step itself required a different remedy, since its cost is intrinsic to the graph size rather than to an inefficient implementation. A spatial partitioning scheme divides the design into subgraphs that each fit a configurable budget. Four properties define it.</w:t>
      </w:r>
    </w:p>
    <w:p>
      <w:pPr>
        <w:spacing w:after="150" w:before="0" w:line="350"/>
        <w:jc w:val="both"/>
      </w:pPr>
      <w:r>
        <w:rPr>
          <w:rFonts w:ascii="Times New Roman" w:cs="Times New Roman" w:eastAsia="Times New Roman" w:hAnsi="Times New Roman"/>
          <w:b/>
          <w:bCs/>
          <w:i w:val="false"/>
          <w:iCs w:val="false"/>
          <w:color w:val="000000"/>
          <w:sz w:val="24"/>
          <w:szCs w:val="24"/>
        </w:rPr>
        <w:t xml:space="preserve">Spatial, not sampled, partitions. </w:t>
      </w:r>
      <w:r>
        <w:rPr>
          <w:rFonts w:ascii="Times New Roman" w:cs="Times New Roman" w:eastAsia="Times New Roman" w:hAnsi="Times New Roman"/>
          <w:b w:val="false"/>
          <w:bCs w:val="false"/>
          <w:i w:val="false"/>
          <w:iCs w:val="false"/>
          <w:color w:val="000000"/>
          <w:sz w:val="24"/>
          <w:szCs w:val="24"/>
        </w:rPr>
        <w:t xml:space="preserve">The grid is cut into contiguous rectangles rather than sampled randomly. Congestion is a spatial prediction task, and random neighbour sampling would destroy exactly the locality that carries the signal. Partitions are balanced by cell count rather than by area, because placement is clustered: at 1.5 million cells the sixteen partitions contain between 22 and 65 thousand core regions each, but only 246 to 282 thousand nodes.</w:t>
      </w:r>
    </w:p>
    <w:p>
      <w:pPr>
        <w:spacing w:after="150" w:before="0" w:line="350"/>
        <w:jc w:val="both"/>
      </w:pPr>
      <w:r>
        <w:rPr>
          <w:rFonts w:ascii="Times New Roman" w:cs="Times New Roman" w:eastAsia="Times New Roman" w:hAnsi="Times New Roman"/>
          <w:b/>
          <w:bCs/>
          <w:i w:val="false"/>
          <w:iCs w:val="false"/>
          <w:color w:val="000000"/>
          <w:sz w:val="24"/>
          <w:szCs w:val="24"/>
        </w:rPr>
        <w:t xml:space="preserve">Three-hop halo. </w:t>
      </w:r>
      <w:r>
        <w:rPr>
          <w:rFonts w:ascii="Times New Roman" w:cs="Times New Roman" w:eastAsia="Times New Roman" w:hAnsi="Times New Roman"/>
          <w:b w:val="false"/>
          <w:bCs w:val="false"/>
          <w:i w:val="false"/>
          <w:iCs w:val="false"/>
          <w:color w:val="000000"/>
          <w:sz w:val="24"/>
          <w:szCs w:val="24"/>
        </w:rPr>
        <w:t xml:space="preserve">A region at a partition boundary would otherwise lack the neighbours its prediction depends upon. Each partition is therefore augmented with the three-hop in-neighbourhood of its core regions, three being the number of message-passing layers. With this halo and without degree capping, partitioned computation reproduces the full-graph output bit-for-bit.</w:t>
      </w:r>
    </w:p>
    <w:p>
      <w:pPr>
        <w:spacing w:after="150" w:before="0" w:line="350"/>
        <w:jc w:val="both"/>
      </w:pPr>
      <w:r>
        <w:rPr>
          <w:rFonts w:ascii="Times New Roman" w:cs="Times New Roman" w:eastAsia="Times New Roman" w:hAnsi="Times New Roman"/>
          <w:b/>
          <w:bCs/>
          <w:i w:val="false"/>
          <w:iCs w:val="false"/>
          <w:color w:val="000000"/>
          <w:sz w:val="24"/>
          <w:szCs w:val="24"/>
        </w:rPr>
        <w:t xml:space="preserve">Degree capping. </w:t>
      </w:r>
      <w:r>
        <w:rPr>
          <w:rFonts w:ascii="Times New Roman" w:cs="Times New Roman" w:eastAsia="Times New Roman" w:hAnsi="Times New Roman"/>
          <w:b w:val="false"/>
          <w:bCs w:val="false"/>
          <w:i w:val="false"/>
          <w:iCs w:val="false"/>
          <w:color w:val="000000"/>
          <w:sz w:val="24"/>
          <w:szCs w:val="24"/>
        </w:rPr>
        <w:t xml:space="preserve">Halo construction follows nets outward from core cells, and a net with 150,085 pins drags a large fraction of the die into every partition. Nets exceeding 512 pins are therefore not expanded, retaining only pins already within the partition. At 1.5 million cells this affects 61 nets: the pre-clock-tree-synthesis clock net and sixty hub nets.</w:t>
      </w:r>
    </w:p>
    <w:p>
      <w:pPr>
        <w:spacing w:after="150" w:before="0" w:line="350"/>
        <w:jc w:val="both"/>
      </w:pPr>
      <w:r>
        <w:rPr>
          <w:rFonts w:ascii="Times New Roman" w:cs="Times New Roman" w:eastAsia="Times New Roman" w:hAnsi="Times New Roman"/>
          <w:b/>
          <w:bCs/>
          <w:i w:val="false"/>
          <w:iCs w:val="false"/>
          <w:color w:val="000000"/>
          <w:sz w:val="24"/>
          <w:szCs w:val="24"/>
        </w:rPr>
        <w:t xml:space="preserve">Budget-driven planning. </w:t>
      </w:r>
      <w:r>
        <w:rPr>
          <w:rFonts w:ascii="Times New Roman" w:cs="Times New Roman" w:eastAsia="Times New Roman" w:hAnsi="Times New Roman"/>
          <w:b w:val="false"/>
          <w:bCs w:val="false"/>
          <w:i w:val="false"/>
          <w:iCs w:val="false"/>
          <w:color w:val="000000"/>
          <w:sz w:val="24"/>
          <w:szCs w:val="24"/>
        </w:rPr>
        <w:t xml:space="preserve">The number of partitions is chosen from a memory model fitted to the profiling measurements, refining the partition grid until the largest partition's estimate fits the configured budget.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Verifying the partitioned computation against a full-graph reference at 1.5 million cells presented its own difficulty, since the full-graph forward pass does not fit the machine on which the check was performed. A memory-careful reference implementation was written that computes identical mathematics one relation at a time, aggregating edges in chunks and never materialising a full message tensor. It matches the standard implementation exactly on smaller graphs and completes a 1.5 million-cell forward pass in 3.84 GiB and 21.2 seconds. Section 5.1(E) reports the fidelity measurements obtained with it.</w:t>
      </w:r>
    </w:p>
    <w:p>
      <w:r>
        <w:br w:type="page"/>
      </w:r>
    </w:p>
    <w:p>
      <w:pPr>
        <w:pStyle w:val="Heading1"/>
        <w:spacing w:after="160"/>
      </w:pPr>
      <w:r>
        <w:rPr>
          <w:rFonts w:ascii="Times New Roman" w:cs="Times New Roman" w:eastAsia="Times New Roman" w:hAnsi="Times New Roman"/>
          <w:b/>
          <w:bCs/>
          <w:color w:val="000000"/>
          <w:sz w:val="28"/>
          <w:szCs w:val="28"/>
        </w:rPr>
        <w:t xml:space="preserve">Chapter 5</w:t>
      </w:r>
    </w:p>
    <w:p>
      <w:pPr>
        <w:pStyle w:val="Heading1"/>
        <w:spacing w:after="260"/>
      </w:pPr>
      <w:r>
        <w:rPr>
          <w:rFonts w:ascii="Times New Roman" w:cs="Times New Roman" w:eastAsia="Times New Roman" w:hAnsi="Times New Roman"/>
          <w:b/>
          <w:bCs/>
          <w:color w:val="000000"/>
          <w:sz w:val="32"/>
          <w:szCs w:val="32"/>
        </w:rPr>
        <w:t xml:space="preserve">Results and Discussion</w:t>
      </w:r>
    </w:p>
    <w:p>
      <w:pPr>
        <w:pStyle w:val="Heading2"/>
        <w:spacing w:after="140" w:before="280"/>
      </w:pPr>
      <w:r>
        <w:rPr>
          <w:rFonts w:ascii="Times New Roman" w:cs="Times New Roman" w:eastAsia="Times New Roman" w:hAnsi="Times New Roman"/>
          <w:b/>
          <w:bCs/>
          <w:color w:val="000000"/>
          <w:sz w:val="25"/>
          <w:szCs w:val="25"/>
        </w:rPr>
        <w:t xml:space="preserve">5.1  Summary of Results and Discussion</w:t>
      </w:r>
    </w:p>
    <w:p>
      <w:pPr>
        <w:spacing w:after="180" w:before="0" w:line="360"/>
        <w:jc w:val="both"/>
      </w:pPr>
      <w:r>
        <w:rPr>
          <w:rFonts w:ascii="Times New Roman" w:cs="Times New Roman" w:eastAsia="Times New Roman" w:hAnsi="Times New Roman"/>
          <w:b w:val="false"/>
          <w:bCs w:val="false"/>
          <w:i w:val="false"/>
          <w:iCs w:val="false"/>
          <w:color w:val="000000"/>
          <w:sz w:val="24"/>
          <w:szCs w:val="24"/>
        </w:rPr>
        <w:t xml:space="preserve">Results are reported in six groups, progressing from pipeline correctness through scale engineering to predictive performance on benchmark data. Each group states what was measured and under what conditions. Where a figure is extrapolated rather than measured, or derived from synthetic rather than real data, that is stated at the point of use.</w:t>
      </w:r>
    </w:p>
    <w:p>
      <w:pPr>
        <w:spacing w:after="110" w:before="200"/>
      </w:pPr>
      <w:r>
        <w:rPr>
          <w:rFonts w:ascii="Times New Roman" w:cs="Times New Roman" w:eastAsia="Times New Roman" w:hAnsi="Times New Roman"/>
          <w:b/>
          <w:bCs/>
          <w:color w:val="000000"/>
          <w:sz w:val="24"/>
          <w:szCs w:val="24"/>
        </w:rPr>
        <w:t xml:space="preserve">A.  Pipeline Validation on gcd / nangate45</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The complete pipeline was validated on a small real design, with each phase closed by a gate whose criterion was fixed before the measurement was taken. Table 5.1 reports the outcomes. All eight gates passed.</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5.1 Pipeline validation gate results (Phases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rPr>
          <w:tblHeader/>
        </w:trPr>
        <w:tc>
          <w:tcPr>
            <w:tcW w:type="dxa" w:w="8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Phase</w:t>
            </w:r>
          </w:p>
        </w:tc>
        <w:tc>
          <w:tcPr>
            <w:tcW w:type="dxa" w:w="35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What was checked</w:t>
            </w:r>
          </w:p>
        </w:tc>
        <w:tc>
          <w:tcPr>
            <w:tcW w:type="dxa" w:w="50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Measured result</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Baseline OpenROAD flow via ORFS Docker</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606 placed cells, 631 signal nets, 62.4% utilisation after detailed placement</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Per-GCell congestion from OpenDB vs OpenROAD's own GUI heatmap</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144 / 144 regions match; maximum absolute difference 0.000005</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3</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Inducing measurable congestion (layer cap plus routing blockage)</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Maximum combined congestion 1.6364 against a baseline of 0.7778; 186 / 289 regions (64.4%) above 0.9</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4</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Graph construction with six relation types</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 isolated grid nodes; 0 nets without pins</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Cell-to-region assignment vs OpenROAD getXIdx / getYIdx</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 mismatches across 614 instances plus 6 boundary cases; 606 / 606 cells within their assigned region</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6</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Mini-dataset: 3 blockage positions × 3 widths × 5 seeds</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45 / 45 samples built; 0 exact-duplicate congestion maps</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7</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Single-sample overfit gate (criterion: ρ &gt; 0.95)</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Spearman 0.9702 horizontal, 0.9812 vertical — passed</w:t>
            </w:r>
          </w:p>
        </w:tc>
      </w:tr>
      <w:tr>
        <w:tc>
          <w:tcPr>
            <w:tcW w:type="dxa" w:w="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8</w:t>
            </w:r>
          </w:p>
        </w:tc>
        <w:tc>
          <w:tcPr>
            <w:tcW w:type="dxa" w:w="35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Interactive viewer re-prediction latency</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26.8 ms</w:t>
            </w:r>
          </w:p>
        </w:tc>
      </w:tr>
    </w:tbl>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Two results in this table carry more weight than their brevity suggests. The Phase 2 agreement to five parts in a million establishes that the ground truth is the router's own quantity and not a reimplementation of it, and the Phase 5 result of zero mismatches eliminates grid misalignment, which is the most insidious failure mode available to this class of system: a misaligned model trains successfully and produces plausible output that is meaningless.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Phase 7 overfit result requires careful interpretation and is emphasised here because it is easily overstated. Spearman correlations of 0.9702 and 0.9812 demonstrate that the model can memorise a single sample, and therefore that the features and labels are structurally learnable. They are not a measure of predictive accuracy. Applied to samples other than its training sample, the same checkpoint yields rank correlation of approximately 0.47 to 0.50, which is the expected behaviour of a model trained on one example and is not a generalisation result.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Phase 6 sweep is worth recording for a different reason. Two sweep designs preceded the one that succeeded, and both failed silently. Varying the routing-layer cap produced bit-identical congestion maps across 30 of 45 samples despite genuinely different placements, in which roughly 89% of cells had moved; the routing log showed differing demand at the first global-route pass, but the database written after three incremental repair stages was identical for the constrained tiers. Varying placement density produced bit-identical placements for all five density values from 0.50 to 0.95, because the design's utilisation of 55 to 65% means the density target never binds, a diagnosis confirmed by matching file checksums. Both sweeps executed without error. Both were caught by the duplicate-map gate, which examined output values rather than exit codes.</w:t>
      </w:r>
    </w:p>
    <w:p>
      <w:pPr>
        <w:spacing w:after="110" w:before="200"/>
      </w:pPr>
      <w:r>
        <w:rPr>
          <w:rFonts w:ascii="Times New Roman" w:cs="Times New Roman" w:eastAsia="Times New Roman" w:hAnsi="Times New Roman"/>
          <w:b/>
          <w:bCs/>
          <w:color w:val="000000"/>
          <w:sz w:val="24"/>
          <w:szCs w:val="24"/>
        </w:rPr>
        <w:t xml:space="preserve">B.  Synthetic Benchmark Generator</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Scale engineering required graphs at benchmark size, for which no real data was locally available. A generator was built that produces placements at arbitrary cell counts and passes them through the same graph construction code as the real pipeline. Its structural parameters are assumptions rather than calibrations against CircuitNet, and this limits what may be concluded from it: it supports claims about memory and partitioning behaviour, and no claim about accuracy.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property the generator must reproduce is the heavy-tailed distribution of net degree, since that is what makes neighbourhood batching impractical and what the partitioning scheme must accommodate. Figure 5.1 shows the realised distributions at four scales. The body of the distribution sits at two to four pins per net, with a power-law tail reaching 3,572 pins at 35 thousand cells and 150,085 at 1.5 million. The largest generated graph contains 3,717,981 nodes and 32,175,356 edges, and required 2,150 MiB to construct.</w:t>
      </w:r>
    </w:p>
    <w:p>
      <w:pPr>
        <w:spacing w:after="60" w:before="200"/>
        <w:jc w:val="center"/>
      </w:pPr>
      <w:r>
        <w:drawing>
          <wp:inline distT="0" distB="0" distL="0" distR="0">
            <wp:extent cx="5852160" cy="2377440"/>
            <wp:effectExtent t="0" r="0" b="0" l="0"/>
            <wp:docPr id="3"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852160" cy="2377440"/>
                    </a:xfrm>
                    <a:prstGeom prst="rect">
                      <a:avLst/>
                    </a:prstGeom>
                  </pic:spPr>
                </pic:pic>
              </a:graphicData>
            </a:graphic>
          </wp:inline>
        </w:drawing>
      </w:r>
    </w:p>
    <w:p>
      <w:pPr>
        <w:spacing w:after="220" w:before="90" w:line="280"/>
        <w:jc w:val="left"/>
      </w:pPr>
      <w:r>
        <w:rPr>
          <w:rFonts w:ascii="Times New Roman" w:cs="Times New Roman" w:eastAsia="Times New Roman" w:hAnsi="Times New Roman"/>
          <w:i/>
          <w:iCs/>
          <w:sz w:val="21"/>
          <w:szCs w:val="21"/>
        </w:rPr>
        <w:t xml:space="preserve">Figure 5.1 Net degree distribution of the synthetic graphs at four design sizes, on log-log axes. Most nets connect two to four pins, while a small tail of hub nets reaches 150,085 pins at 1.5 million cells. This asymmetry is what makes naive neighbourhood expansion impractical and motivates the degree capping described in Section 4.7.</w:t>
      </w:r>
    </w:p>
    <w:p>
      <w:pPr>
        <w:spacing w:after="110" w:before="200"/>
      </w:pPr>
      <w:r>
        <w:rPr>
          <w:rFonts w:ascii="Times New Roman" w:cs="Times New Roman" w:eastAsia="Times New Roman" w:hAnsi="Times New Roman"/>
          <w:b/>
          <w:bCs/>
          <w:color w:val="000000"/>
          <w:sz w:val="24"/>
          <w:szCs w:val="24"/>
        </w:rPr>
        <w:t xml:space="preserve">C.  Scalability Measurement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Peak memory was profiled across the four synthetic scales for graph construction, full-graph inference and a full-graph training step. Measurements are CPU physical footprint on an 8 GB machine; runs exceeding 5.5 GiB were terminated to protect it, and values beyond that threshold are extrapolations from linear or quadratic fits rather than measurements. GPU memory was not measured. Table 5.2 and Figure 5.2 report the outcome.</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5.2 Peak memory by component and the largest design fitting a 12 GB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rPr>
          <w:tblHeader/>
        </w:trPr>
        <w:tc>
          <w:tcPr>
            <w:tcW w:type="dxa" w:w="32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Component</w:t>
            </w:r>
          </w:p>
        </w:tc>
        <w:tc>
          <w:tcPr>
            <w:tcW w:type="dxa" w:w="31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Measured</w:t>
            </w:r>
          </w:p>
        </w:tc>
        <w:tc>
          <w:tcPr>
            <w:tcW w:type="dxa" w:w="30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Largest design fitting 12 GB</w:t>
            </w:r>
          </w:p>
        </w:tc>
      </w:tr>
      <w:tr>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Original graph construction (dense n × n kNN)</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4.55 GiB at 12K cells; terminated above 5.5 GiB at 15K</w:t>
            </w:r>
          </w:p>
        </w:tc>
        <w:tc>
          <w:tcPr>
            <w:tcW w:type="dxa" w:w="3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 19,800 cells (extrapolated) — below the smallest 35K-cell benchmark design</w:t>
            </w:r>
          </w:p>
        </w:tc>
      </w:tr>
      <w:tr>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Original pairwise ranking loss (O(n²) over regions)</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3.29 GiB at 6K regions; terminated at 8K</w:t>
            </w:r>
          </w:p>
        </w:tc>
        <w:tc>
          <w:tcPr>
            <w:tcW w:type="dxa" w:w="3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 11,800 regions (extrapolated); the 35K-cell design has 15,376</w:t>
            </w:r>
          </w:p>
        </w:tc>
      </w:tr>
      <w:tr>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Full-graph training step (forward + backward)</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5.45 GiB at 500K cells; terminated at 750K</w:t>
            </w:r>
          </w:p>
        </w:tc>
        <w:tc>
          <w:tcPr>
            <w:tcW w:type="dxa" w:w="3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 1.11M cells (extrapolated); 16.1 GiB predicted at 1.5M</w:t>
            </w:r>
          </w:p>
        </w:tc>
      </w:tr>
      <w:tr>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Full-graph inference</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5.01 GiB at 1M cells; terminated at 1.5M</w:t>
            </w:r>
          </w:p>
        </w:tc>
        <w:tc>
          <w:tcPr>
            <w:tcW w:type="dxa" w:w="3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 2.4M cells (extrapolated)</w:t>
            </w:r>
          </w:p>
        </w:tc>
      </w:tr>
      <w:tr>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Graph construction, tiled kNN (replacement)</w:t>
            </w:r>
          </w:p>
        </w:tc>
        <w:tc>
          <w:tcPr>
            <w:tcW w:type="dxa" w:w="31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2.13 GiB at 1.5M cells</w:t>
            </w:r>
          </w:p>
        </w:tc>
        <w:tc>
          <w:tcPr>
            <w:tcW w:type="dxa" w:w="3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Not a bottleneck</w:t>
            </w:r>
          </w:p>
        </w:tc>
      </w:tr>
    </w:tbl>
    <w:p>
      <w:pPr>
        <w:spacing w:after="60" w:before="200"/>
        <w:jc w:val="center"/>
      </w:pPr>
      <w:r>
        <w:drawing>
          <wp:inline distT="0" distB="0" distL="0" distR="0">
            <wp:extent cx="5852160" cy="3291840"/>
            <wp:effectExtent t="0" r="0" b="0" l="0"/>
            <wp:docPr id="4"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852160" cy="3291840"/>
                    </a:xfrm>
                    <a:prstGeom prst="rect">
                      <a:avLst/>
                    </a:prstGeom>
                  </pic:spPr>
                </pic:pic>
              </a:graphicData>
            </a:graphic>
          </wp:inline>
        </w:drawing>
      </w:r>
    </w:p>
    <w:p>
      <w:pPr>
        <w:spacing w:after="220" w:before="90" w:line="280"/>
        <w:jc w:val="left"/>
      </w:pPr>
      <w:r>
        <w:rPr>
          <w:rFonts w:ascii="Times New Roman" w:cs="Times New Roman" w:eastAsia="Times New Roman" w:hAnsi="Times New Roman"/>
          <w:i/>
          <w:iCs/>
          <w:sz w:val="21"/>
          <w:szCs w:val="21"/>
        </w:rPr>
        <w:t xml:space="preserve">Figure 5.2 Peak memory versus design size for full-graph training, inference and graph construction on synthetic graphs. Solid lines are measurements (median of three runs); dashed lines are extrapolations beyond the measurement cap. The original quadratic graph builder, at the left edge, fails almost immediately.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most consequential result here is the first row, and it was not anticipated. The original graph construction routine computed a dense pairwise distance matrix to identify geometric neighbours, which is quadratic in cell count. At 606 cells this is unmeasurable; at 20 thousand cells it exhausts a 12 GB budget; at 35 thousand it requires approximately 37 GB. Since 35 thousand cells is the smallest design in the target benchmark, the pipeline as originally written could never have processed a single real benchmark design. The validation design was three orders of magnitude too small for the quadratic term to become visible. Replacing the routine with an exact tiled implementation, which reproduces the original's neighbour assignments exactly, reduced the requirement to 2.13 GiB at 1.5 million cells.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third row establishes the case for partitioning as a requirement rather than an optimisation. A full-graph training step reaches the 12 GB budget at approximately 1.1 million cells, which lies inside the benchmark's own design range of 35 thousand to 1.5 million. Training on the largest benchmark designs without partitioning is therefore not possible within the target hardware budget, independently of any implementation inefficiency.</w:t>
      </w:r>
    </w:p>
    <w:p>
      <w:pPr>
        <w:spacing w:after="110" w:before="200"/>
      </w:pPr>
      <w:r>
        <w:rPr>
          <w:rFonts w:ascii="Times New Roman" w:cs="Times New Roman" w:eastAsia="Times New Roman" w:hAnsi="Times New Roman"/>
          <w:b/>
          <w:bCs/>
          <w:color w:val="000000"/>
          <w:sz w:val="24"/>
          <w:szCs w:val="24"/>
        </w:rPr>
        <w:t xml:space="preserve">D.  Partition-Based Training</w:t>
      </w:r>
    </w:p>
    <w:p>
      <w:pPr>
        <w:spacing w:after="160" w:before="0" w:line="360"/>
        <w:jc w:val="both"/>
      </w:pPr>
      <w:r>
        <w:rPr>
          <w:rFonts w:ascii="Times New Roman" w:cs="Times New Roman" w:eastAsia="Times New Roman" w:hAnsi="Times New Roman"/>
          <w:b w:val="false"/>
          <w:bCs w:val="false"/>
          <w:i w:val="false"/>
          <w:iCs w:val="false"/>
          <w:color w:val="000000"/>
          <w:sz w:val="24"/>
          <w:szCs w:val="24"/>
        </w:rPr>
        <w:t xml:space="preserve">The partitioning scheme of Section 4.7 was evaluated for both memory reduction and fidelity. Table 5.3 reports memory; the fidelity measurements follow.</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5.3 Partition-based training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Design (synthetic)</w:t>
            </w:r>
          </w:p>
        </w:tc>
        <w:tc>
          <w:tcPr>
            <w:tcW w:type="dxa" w:w="3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Full-graph training step</w:t>
            </w:r>
          </w:p>
        </w:tc>
        <w:tc>
          <w:tcPr>
            <w:tcW w:type="dxa" w:w="3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Largest partition</w:t>
            </w:r>
          </w:p>
        </w:tc>
      </w:tr>
      <w:t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500K cells</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5.45 GiB measured</w:t>
            </w:r>
          </w:p>
        </w:tc>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1.656 GiB measured (4 partitions)</w:t>
            </w:r>
          </w:p>
        </w:tc>
      </w:tr>
      <w:t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1.5M cells</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Terminated above 5.5 GiB; 16.1 GiB extrapolated</w:t>
            </w:r>
          </w:p>
        </w:tc>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1.385 GiB measured (16 partitions, 2 GiB budget)</w:t>
            </w:r>
          </w:p>
        </w:tc>
      </w:tr>
    </w:tbl>
    <w:p>
      <w:pPr>
        <w:spacing w:after="150" w:before="160" w:line="360"/>
        <w:jc w:val="both"/>
      </w:pPr>
      <w:r>
        <w:rPr>
          <w:rFonts w:ascii="Times New Roman" w:cs="Times New Roman" w:eastAsia="Times New Roman" w:hAnsi="Times New Roman"/>
          <w:b w:val="false"/>
          <w:bCs w:val="false"/>
          <w:i w:val="false"/>
          <w:iCs w:val="false"/>
          <w:color w:val="000000"/>
          <w:sz w:val="24"/>
          <w:szCs w:val="24"/>
        </w:rPr>
        <w:t xml:space="preserve">Fidelity was assessed against the memory-careful full-graph reference described in Section 4.7, at 1.5 million cells. The model carried randomly initialised weights throughout this evaluation; no trained model exists at that scale, and the comparison is therefore of computation, not of prediction quality.</w:t>
      </w:r>
    </w:p>
    <w:p>
      <w:pPr>
        <w:pStyle w:val="ListParagraph"/>
        <w:numPr>
          <w:ilvl w:val="0"/>
          <w:numId w:val="1"/>
        </w:numPr>
        <w:spacing w:after="90" w:line="320"/>
        <w:jc w:val="both"/>
      </w:pPr>
      <w:r>
        <w:rPr>
          <w:rFonts w:ascii="Times New Roman" w:cs="Times New Roman" w:eastAsia="Times New Roman" w:hAnsi="Times New Roman"/>
          <w:sz w:val="23"/>
          <w:szCs w:val="23"/>
        </w:rPr>
        <w:t xml:space="preserve">With halo and no degree cap: all 656,100 grid-region outputs are bit-identical to the full-graph computation.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With halo and a 512-pin degree cap: 64.2% of outputs are bit-identical, and the maximum deviation is 3.9e-7 against an output standard deviation of 0.082.</w:t>
      </w:r>
    </w:p>
    <w:p>
      <w:pPr>
        <w:pStyle w:val="ListParagraph"/>
        <w:numPr>
          <w:ilvl w:val="0"/>
          <w:numId w:val="1"/>
        </w:numPr>
        <w:spacing w:after="90" w:line="320"/>
        <w:jc w:val="both"/>
      </w:pPr>
      <w:r>
        <w:rPr>
          <w:rFonts w:ascii="Times New Roman" w:cs="Times New Roman" w:eastAsia="Times New Roman" w:hAnsi="Times New Roman"/>
          <w:sz w:val="23"/>
          <w:szCs w:val="23"/>
        </w:rPr>
        <w:t xml:space="preserve">Without halo: none of the 9,684 boundary regions match to within 1e-6, confirming that the halo is necessary rather than merely beneficial.</w:t>
      </w:r>
    </w:p>
    <w:p>
      <w:pPr>
        <w:pStyle w:val="ListParagraph"/>
        <w:numPr>
          <w:ilvl w:val="0"/>
          <w:numId w:val="1"/>
        </w:numPr>
        <w:spacing w:after="90" w:line="320"/>
        <w:jc w:val="both"/>
      </w:pPr>
      <w:r>
        <w:rPr>
          <w:rFonts w:ascii="Times New Roman" w:cs="Times New Roman" w:eastAsia="Times New Roman" w:hAnsi="Times New Roman"/>
          <w:sz w:val="23"/>
          <w:szCs w:val="23"/>
        </w:rPr>
        <w:t xml:space="preserve">Overhead: the halo adds 13.5% additional nodes across all partitions.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deviation introduced by degree capping is five orders of magnitude below the output standard deviation and is therefore negligible for this computation. It should be noted, however, that this was measured with random weights; the corresponding error for a trained model, whose embeddings may be more sensitive to the contribution of high-fanout nets, has not yet been measured and is noted as an open item in Section 6.2.</w:t>
      </w:r>
    </w:p>
    <w:p>
      <w:pPr>
        <w:spacing w:after="110" w:before="200"/>
      </w:pPr>
      <w:r>
        <w:rPr>
          <w:rFonts w:ascii="Times New Roman" w:cs="Times New Roman" w:eastAsia="Times New Roman" w:hAnsi="Times New Roman"/>
          <w:b/>
          <w:bCs/>
          <w:color w:val="000000"/>
          <w:sz w:val="24"/>
          <w:szCs w:val="24"/>
        </w:rPr>
        <w:t xml:space="preserve">E.  End-to-End Training Run on Synthetic Designs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training infrastructure was exercised end to end on eight synthetic designs of three to six thousand cells each, with three placement variants per design, split by design into five training, two validation and one test design. Partitioned training was enabled with a deliberately small budget so that the partition path would be exercised even on designs of this size. Table 5.4 and Figure 5.3 report the run.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result validates the training machinery — splitting, partitioned loss computation, checkpointing, early stopping and metric logging — and nothing more. The labels are an analytical proxy rather than router output, and the figure of 0.8604 is consequently not a statement about predictive accuracy on real circuits. It is reported because it demonstrates the infrastructure operates correctly on a multi-design corpus under a strict split, which is a precondition for the benchmark evaluation that follows.</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5.4 End-to-end training run on synthetic designs (analytical proxy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600"/>
        <w:gridCol w:w="1760"/>
      </w:tblGrid>
      <w:tr>
        <w:trPr>
          <w:tblHeader/>
        </w:trPr>
        <w:tc>
          <w:tcPr>
            <w:tcW w:type="dxa" w:w="2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Epoch</w:t>
            </w:r>
          </w:p>
        </w:tc>
        <w:tc>
          <w:tcPr>
            <w:tcW w:type="dxa" w:w="18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Training loss</w:t>
            </w:r>
          </w:p>
        </w:tc>
        <w:tc>
          <w:tcPr>
            <w:tcW w:type="dxa" w:w="1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Val ρ (H)</w:t>
            </w:r>
          </w:p>
        </w:tc>
        <w:tc>
          <w:tcPr>
            <w:tcW w:type="dxa" w:w="16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Val ρ (V)</w:t>
            </w:r>
          </w:p>
        </w:tc>
        <w:tc>
          <w:tcPr>
            <w:tcW w:type="dxa" w:w="17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Val ρ (mean)</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0.08699</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0.4606</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0.6971</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0.5788</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1</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0.06419</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0.6758</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0.7069</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0.6913</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2</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0.06253</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0.7314</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0.7520</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0.7417</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3</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0.05424</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0.7530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0.7728</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0.7629</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4</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0.04023</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0.8060</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0.8236</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0.8148</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5</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0.03554</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0.8176</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0.8353</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0.8264</w:t>
            </w:r>
          </w:p>
        </w:tc>
      </w:tr>
      <w:t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Held-out test design</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0.8518</w:t>
            </w:r>
          </w:p>
        </w:tc>
        <w:tc>
          <w:tcPr>
            <w:tcW w:type="dxa" w:w="16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0.8690</w:t>
            </w:r>
          </w:p>
        </w:tc>
        <w:tc>
          <w:tcPr>
            <w:tcW w:type="dxa" w:w="1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0.8604</w:t>
            </w:r>
          </w:p>
        </w:tc>
      </w:tr>
    </w:tbl>
    <w:p>
      <w:pPr>
        <w:spacing w:after="60" w:before="200"/>
        <w:jc w:val="center"/>
      </w:pPr>
      <w:r>
        <w:drawing>
          <wp:inline distT="0" distB="0" distL="0" distR="0">
            <wp:extent cx="5852160" cy="2286000"/>
            <wp:effectExtent t="0" r="0" b="0" l="0"/>
            <wp:docPr id="5"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852160" cy="2286000"/>
                    </a:xfrm>
                    <a:prstGeom prst="rect">
                      <a:avLst/>
                    </a:prstGeom>
                  </pic:spPr>
                </pic:pic>
              </a:graphicData>
            </a:graphic>
          </wp:inline>
        </w:drawing>
      </w:r>
    </w:p>
    <w:p>
      <w:pPr>
        <w:spacing w:after="220" w:before="90" w:line="280"/>
        <w:jc w:val="left"/>
      </w:pPr>
      <w:r>
        <w:rPr>
          <w:rFonts w:ascii="Times New Roman" w:cs="Times New Roman" w:eastAsia="Times New Roman" w:hAnsi="Times New Roman"/>
          <w:i/>
          <w:iCs/>
          <w:sz w:val="21"/>
          <w:szCs w:val="21"/>
        </w:rPr>
        <w:t xml:space="preserve">Figure 5.3 Training loss and validation rank correlation per epoch for the end-to-end run on synthetic designs. The dotted line marks the held-out test design. Labels are an analytical proxy, so these values validate the training infrastructure rather than predictive accuracy on real circuits.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A reproducibility defect was identified and corrected during this phase. A resumed run and an uninterrupted control run failed to match, and the control already differed at the first epoch, excluding the resume logic as the cause. Three identical single-epoch runs in separate processes with four CPU threads diverged by up to 1.9e-4 in the weights; the same three runs restricted to a single intra-op thread produced a maximum difference of exactly zero. Multithreaded CPU reductions sum in a run-dependent order. The unit test had passed only because its two runs happened to share a process. Deterministic mode, enabled by default, fixes this at approximately 45% additional epoch time. This is the second silent failure in the project caught by examining values rather than exit codes, the first being the quadratic graph builder.</w:t>
      </w:r>
    </w:p>
    <w:p>
      <w:pPr>
        <w:spacing w:after="110" w:before="200"/>
      </w:pPr>
      <w:r>
        <w:rPr>
          <w:rFonts w:ascii="Times New Roman" w:cs="Times New Roman" w:eastAsia="Times New Roman" w:hAnsi="Times New Roman"/>
          <w:b/>
          <w:bCs/>
          <w:color w:val="000000"/>
          <w:sz w:val="24"/>
          <w:szCs w:val="24"/>
        </w:rPr>
        <w:t xml:space="preserve">F. Real-Corpus Evaluation on nangate45</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One fixed CPU run used up to 200 epochs, learning rate 0.001, accumulation of two graphs, Huber plus ranking loss with weight 0.5, and early-stopping patience 20. The best checkpoint was selected only by ibex validation Spearman. Density and capacity regressions were fitted only on the six training samples; RUDY is unfitted. Held-out aes Spearman is 0.7570 horizontally and 0.7308 vertically, averaged over its three variants.</w:t>
      </w:r>
    </w:p>
    <w:p>
      <w:pPr>
        <w:spacing w:after="140" w:before="0" w:line="360"/>
        <w:jc w:val="both"/>
      </w:pPr>
      <w:r>
        <w:rPr>
          <w:rFonts w:ascii="Times New Roman" w:cs="Times New Roman" w:eastAsia="Times New Roman" w:hAnsi="Times New Roman"/>
          <w:b w:val="false"/>
          <w:bCs w:val="false"/>
          <w:i w:val="false"/>
          <w:iCs w:val="false"/>
          <w:color w:val="000000"/>
          <w:sz w:val="22"/>
          <w:szCs w:val="22"/>
        </w:rPr>
        <w:t xml:space="preserve">Table 5.5 Held-out aes: unweighted mean over three variants,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300"/>
        <w:gridCol w:w="1200"/>
        <w:gridCol w:w="1300"/>
        <w:gridCol w:w="1400"/>
      </w:tblGrid>
      <w:tr>
        <w:trPr>
          <w:tblHeader/>
        </w:trPr>
        <w:tc>
          <w:tcPr>
            <w:tcW w:type="dxa" w:w="27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Method / channel</w:t>
            </w:r>
          </w:p>
        </w:tc>
        <w:tc>
          <w:tcPr>
            <w:tcW w:type="dxa" w:w="1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Spearman</w:t>
            </w:r>
          </w:p>
        </w:tc>
        <w:tc>
          <w:tcPr>
            <w:tcW w:type="dxa" w:w="13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Kendall</w:t>
            </w:r>
          </w:p>
        </w:tc>
        <w:tc>
          <w:tcPr>
            <w:tcW w:type="dxa" w:w="12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Precision</w:t>
            </w:r>
          </w:p>
        </w:tc>
        <w:tc>
          <w:tcPr>
            <w:tcW w:type="dxa" w:w="13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Recall</w:t>
            </w:r>
          </w:p>
        </w:tc>
        <w:tc>
          <w:tcPr>
            <w:tcW w:type="dxa" w:w="1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ROC-AUC</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CongestionGNN / 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0.7570</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0.5679</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0.1927</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0.1927</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0.8130</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CongestionGNN / V</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0.7308</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0.5501</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0.6291</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0.6291</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0.8319</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RUDY / 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0.8593</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0.6803</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0.3549</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0.3549</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0.8758</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RUDY / V</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0.8402</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0.6690</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0.7144</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0.7144</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0.8887</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Density-only / 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0.7805</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0.5861</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0.2204</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0.2204</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0.8302</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Density-only / V</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0.7270</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0.5448</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0.6342</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0.6342</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0.8311</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Capacity-only / 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0.1096</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0.0831</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0.0700</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0.0700</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0.5337</w:t>
            </w:r>
          </w:p>
        </w:tc>
      </w:tr>
      <w:tr>
        <w:tc>
          <w:tcPr>
            <w:tcW w:type="dxa" w:w="27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Capacity-only / V</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0.0956</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0.0742</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0.3261</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0.3261</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0.5464</w:t>
            </w:r>
          </w:p>
        </w:tc>
      </w:tr>
    </w:tbl>
    <w:p>
      <w:pPr>
        <w:spacing w:after="180" w:before="120" w:line="340"/>
        <w:jc w:val="both"/>
      </w:pPr>
      <w:r>
        <w:rPr>
          <w:rFonts w:ascii="Times New Roman" w:cs="Times New Roman" w:eastAsia="Times New Roman" w:hAnsi="Times New Roman"/>
          <w:b w:val="false"/>
          <w:bCs w:val="false"/>
          <w:i/>
          <w:iCs/>
          <w:color w:val="000000"/>
          <w:sz w:val="21"/>
          <w:szCs w:val="21"/>
        </w:rPr>
        <w:t xml:space="preserve">All entries are measured from the validation-selected checkpoint and the identical held-out samples. Training stopped after 100 epochs, selecting zero-based epoch 79. No CNN or net-node ablation was run. Model selection did not use test scores. GNN CPU inference medians (25 calls after one warm-up, one thread; excluding graph construction and loading) were 143.6 ms on u35_s2, 129.2 ms on u40_s3, 126.3 ms on u45_s1. The historical router reference is 122 seconds; it is not the measured routing duration of every test variant.</w:t>
      </w:r>
    </w:p>
    <w:p>
      <w:pPr>
        <w:spacing w:after="140" w:before="200" w:line="360"/>
        <w:jc w:val="both"/>
      </w:pPr>
      <w:r>
        <w:rPr>
          <w:rFonts w:ascii="Times New Roman" w:cs="Times New Roman" w:eastAsia="Times New Roman" w:hAnsi="Times New Roman"/>
          <w:b w:val="false"/>
          <w:bCs w:val="false"/>
          <w:i w:val="false"/>
          <w:iCs w:val="false"/>
          <w:color w:val="000000"/>
          <w:sz w:val="22"/>
          <w:szCs w:val="22"/>
        </w:rPr>
        <w:t xml:space="preserve">Table 5.6 Held-out aes variants: Spearman H/V for every evaluated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200"/>
        <w:gridCol w:w="2000"/>
      </w:tblGrid>
      <w:tr>
        <w:trPr>
          <w:tblHeader/>
        </w:trPr>
        <w:tc>
          <w:tcPr>
            <w:tcW w:type="dxa" w:w="33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Variant / method</w:t>
            </w:r>
          </w:p>
        </w:tc>
        <w:tc>
          <w:tcPr>
            <w:tcW w:type="dxa" w:w="18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Spearman H</w:t>
            </w:r>
          </w:p>
        </w:tc>
        <w:tc>
          <w:tcPr>
            <w:tcW w:type="dxa" w:w="22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Spearman V</w:t>
            </w:r>
          </w:p>
        </w:tc>
        <w:tc>
          <w:tcPr>
            <w:tcW w:type="dxa" w:w="20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Kendall sampled</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u35_s2 / CongestionGNN</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0.7925</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0.7805</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u35_s2 / RUDY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0.8731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0.8641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u35_s2 / Density-only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0.8011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0.7798</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u35_s2 / Capacity-only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0.0804</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0.0706</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u40_s3 / CongestionGNN</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0.7513</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0.7280</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u40_s3 / RUDY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0.8500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0.8360</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u40_s3 / Density-only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0.7911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0.7209</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u40_s3 / Capacity-only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0.0862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0.0902</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u45_s1 / CongestionGNN</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0.7270</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0.6840</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u45_s1 / RUDY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0.8548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0.8204</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u45_s1 / Density-only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0.7492</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0.6803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r>
        <w:tc>
          <w:tcPr>
            <w:tcW w:type="dxa" w:w="33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u45_s1 / Capacity-only</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0.1621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0.1258</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False</w:t>
            </w:r>
          </w:p>
        </w:tc>
      </w:tr>
    </w:tbl>
    <w:p>
      <w:pPr>
        <w:spacing w:after="180" w:before="120" w:line="340"/>
        <w:jc w:val="both"/>
      </w:pPr>
      <w:r>
        <w:rPr>
          <w:rFonts w:ascii="Times New Roman" w:cs="Times New Roman" w:eastAsia="Times New Roman" w:hAnsi="Times New Roman"/>
          <w:b w:val="false"/>
          <w:bCs w:val="false"/>
          <w:i/>
          <w:iCs/>
          <w:color w:val="000000"/>
          <w:sz w:val="21"/>
          <w:szCs w:val="21"/>
        </w:rPr>
        <w:t xml:space="preserve">H and V are reported separately. This is within-technology generalisation to one unseen netlist, not a cross-technology transfer study.</w:t>
      </w:r>
    </w:p>
    <w:p>
      <w:pPr>
        <w:spacing w:after="110" w:before="200"/>
      </w:pPr>
      <w:r>
        <w:rPr>
          <w:rFonts w:ascii="Times New Roman" w:cs="Times New Roman" w:eastAsia="Times New Roman" w:hAnsi="Times New Roman"/>
          <w:b/>
          <w:bCs/>
          <w:color w:val="000000"/>
          <w:sz w:val="24"/>
          <w:szCs w:val="24"/>
        </w:rPr>
        <w:t xml:space="preserve">G.  Examination of Performance Variations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Density-only uses cell and pin density at local neighbourhood scales; capacity-only uses capacity and inverse-capacity features without connectivity. RUDY uses net bounding boxes and capacity normalisation. These comparisons separate useful analytical structure from what the learned model achieves on this split.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RUDY outperforms CongestionGNN on both channels across the reported aggregate ranking and hotspot metrics. Density-only exceeds the model horizontally and is close vertically; capacity-only is substantially weaker. Thus the model learns beyond capacity alone, but this experiment does not demonstrate an advantage over analytical routing demand or density. The contribution is reframed around the validated extraction pipeline and separately measured memory engineering. No further corpus sweeps or test-driven model changes were made, and without an ablation the isolated benefit of connectivity cannot be claimed.</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corpus has four designs in one technology, with two training designs, one validation design and one test design. The headline result therefore rests on aes alone. Seed and utilisation vary together, so their effects cannot be separated. tinyRocket spans only 60/63/66% utilisation and its final variant has IQR 0.1667, just below the 0.17 target after both allowed step-downs. Quantised routing ratios make IQR move in discrete steps. dynamic_node responds non-monotonically to utilisation. No final sample overflows; development runs at higher tinyRocket utilisation did overflow and were replaced for label quality, not prediction scores.</w:t>
      </w:r>
    </w:p>
    <w:p>
      <w:pPr>
        <w:spacing w:after="110" w:before="200"/>
      </w:pPr>
      <w:r>
        <w:rPr>
          <w:rFonts w:ascii="Times New Roman" w:cs="Times New Roman" w:eastAsia="Times New Roman" w:hAnsi="Times New Roman"/>
          <w:b/>
          <w:bCs/>
          <w:color w:val="000000"/>
          <w:sz w:val="24"/>
          <w:szCs w:val="24"/>
        </w:rPr>
        <w:t xml:space="preserve">H.  Restrictions and Broad Generalisations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Several limitations bound the conclusions that may be drawn, and are stated explicitly.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memory measurements of Section 5.1(C) were taken on CPU on an 8 GB machine and are physical process footprint, not GPU memory. The 12 GB threshold referenced throughout is the VRAM of the target commodity GPU, and the relationship between the CPU footprint measured here and GPU allocation on that device has not been established directly. Furthermore, measurements beyond 5.5 GiB are extrapolations from fitted curves; the crossing points at 1.1 and 2.4 million cells are predictions, not observations.</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synthetic generator's structural parameters are assumptions rather than calibrations against CircuitNet. Its graphs are structurally plausible and reproduce the degree asymmetry that matters for partitioning, but no claim is made that they match the benchmark's statistics in detail. Accordingly, nothing in Sections 5.1(B) through 5.1(E) constitutes evidence about predictive accuracy.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partition fidelity measurements were obtained with randomly initialised weights. The degree-capping error for a trained model has not been measured, and a trained model's embeddings may be more sensitive to the aggregate contribution of high-fanout nets than random projections are.</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congestion map predicted is aggregated across the metal stack and separated only into horizontal and vertical channels. A bottleneck confined to one or two layers can be masked when a well-provisioned stack averages it away, and pin-access congestion, which concentrates on the lowest layers at the cell pins, is a distinct failure mode that a layer-aggregated map handles poorly.</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interface now serves the real corpus and checkpoint. Macro outlines remain unavailable. Prediction on user-modified placements has not been validated and must not be treated as demonstrated generalisation.</w:t>
      </w:r>
    </w:p>
    <w:p>
      <w:r>
        <w:br w:type="page"/>
      </w:r>
    </w:p>
    <w:p>
      <w:pPr>
        <w:pStyle w:val="Heading1"/>
        <w:spacing w:after="160"/>
      </w:pPr>
      <w:r>
        <w:rPr>
          <w:rFonts w:ascii="Times New Roman" w:cs="Times New Roman" w:eastAsia="Times New Roman" w:hAnsi="Times New Roman"/>
          <w:b/>
          <w:bCs/>
          <w:color w:val="000000"/>
          <w:sz w:val="28"/>
          <w:szCs w:val="28"/>
        </w:rPr>
        <w:t xml:space="preserve">Chapter 6</w:t>
      </w:r>
    </w:p>
    <w:p>
      <w:pPr>
        <w:pStyle w:val="Heading1"/>
        <w:spacing w:after="260"/>
      </w:pPr>
      <w:r>
        <w:rPr>
          <w:rFonts w:ascii="Times New Roman" w:cs="Times New Roman" w:eastAsia="Times New Roman" w:hAnsi="Times New Roman"/>
          <w:b/>
          <w:bCs/>
          <w:color w:val="000000"/>
          <w:sz w:val="32"/>
          <w:szCs w:val="32"/>
        </w:rPr>
        <w:t xml:space="preserve">Conclusion and Future Scope</w:t>
      </w:r>
    </w:p>
    <w:p>
      <w:pPr>
        <w:pStyle w:val="Heading2"/>
        <w:spacing w:after="140" w:before="280"/>
      </w:pPr>
      <w:r>
        <w:rPr>
          <w:rFonts w:ascii="Times New Roman" w:cs="Times New Roman" w:eastAsia="Times New Roman" w:hAnsi="Times New Roman"/>
          <w:b/>
          <w:bCs/>
          <w:color w:val="000000"/>
          <w:sz w:val="25"/>
          <w:szCs w:val="25"/>
        </w:rPr>
        <w:t xml:space="preserve">6.1  Conclusion</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This project set out to predict routing congestion in a chip layout before the routing stage that normally reveals it, using a representation in which the logical connectivity of the netlist and the physical geometry of the placement interact directly rather than being encoded separately and combined at the output. A heterogeneous graph neural network over cells, nets and spatial grid regions was designed, implemented and evaluated, together with the ground-truth pipeline, scaling infrastructure and evaluation protocol required to apply it.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pipeline is built and verified. Thirteen phases were completed, each closed by a quantitative gate fixed before measurement. Ground truth extracted from the routing database agrees with the tool's own reported congestion to five parts in a million; the graph's spatial indexing agrees with the router's own indexing with zero mismatches; and the model reached rank correlations of 0.9702 and 0.9812 on the overfit gate at its first training run, which is itself evidence that the upstream feature construction and label alignment are sound.</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Scale proved to be the substantive engineering obstacle, and it was characterised by measurement rather than assumption. The original graph construction routine was quadratic in cell count and would have exhausted the target memory budget at approximately 20 thousand cells, below the smallest design in the benchmark it was intended to process — a defect invisible on a 606-cell validation design and discovered only through deliberate profiling at scale. With that routine replaced by an exact tiled implementation, construction of a 1.5 million-cell graph requires 2.13 GiB. Spatial partitioning with a three-hop halo reduces the largest partition of that design to 1.385 GiB against 16.1 GiB extrapolated for the unpartitioned step, while reproducing full-graph outputs bit-for-bit in the absence of degree capping.</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Two silent failures were identified during the work, and both are reported here because the manner of their discovery is itself a finding. The quadratic graph builder and the multithreaded nondeterminism in training both passed every test that checked whether code executed successfully, and both were caught only by gates that examined output values. In a pipeline of this kind, where a misaligned grid or a degenerate sweep produces output that is plausible but meaningless, verification against values rather than exit status is not optional rigour but a functional requirement.</w:t>
      </w:r>
    </w:p>
    <w:p>
      <w:pPr>
        <w:spacing w:after="170" w:before="0" w:line="360"/>
        <w:jc w:val="both"/>
      </w:pPr>
      <w:r>
        <w:rPr>
          <w:rFonts w:ascii="Times New Roman" w:cs="Times New Roman" w:eastAsia="Times New Roman" w:hAnsi="Times New Roman"/>
          <w:b w:val="false"/>
          <w:bCs w:val="false"/>
          <w:i w:val="false"/>
          <w:iCs w:val="false"/>
          <w:color w:val="000000"/>
          <w:sz w:val="24"/>
          <w:szCs w:val="24"/>
        </w:rPr>
        <w:t xml:space="preserve">The contribution is the validated router-label pipeline, memory-conscious graph construction and partitioning measurements, and honest per-channel comparison on a small real corpus. CPU synthetic memory measurements do not establish GPU training requirements, and cross-technology transfer remains future work.</w:t>
      </w:r>
    </w:p>
    <w:p>
      <w:pPr>
        <w:pStyle w:val="Heading2"/>
        <w:spacing w:after="140" w:before="280"/>
      </w:pPr>
      <w:r>
        <w:rPr>
          <w:rFonts w:ascii="Times New Roman" w:cs="Times New Roman" w:eastAsia="Times New Roman" w:hAnsi="Times New Roman"/>
          <w:b/>
          <w:bCs/>
          <w:color w:val="000000"/>
          <w:sz w:val="25"/>
          <w:szCs w:val="25"/>
        </w:rPr>
        <w:t xml:space="preserve">6.2  Future Scope</w:t>
      </w:r>
    </w:p>
    <w:p>
      <w:pPr>
        <w:spacing w:after="150" w:before="0" w:line="360"/>
        <w:jc w:val="both"/>
      </w:pPr>
      <w:r>
        <w:rPr>
          <w:rFonts w:ascii="Times New Roman" w:cs="Times New Roman" w:eastAsia="Times New Roman" w:hAnsi="Times New Roman"/>
          <w:b w:val="false"/>
          <w:bCs w:val="false"/>
          <w:i w:val="false"/>
          <w:iCs w:val="false"/>
          <w:color w:val="000000"/>
          <w:sz w:val="24"/>
          <w:szCs w:val="24"/>
        </w:rPr>
        <w:t xml:space="preserve">Several directions extend naturally from the present work.</w:t>
      </w:r>
    </w:p>
    <w:p>
      <w:pPr>
        <w:spacing w:after="160" w:before="0" w:line="350"/>
        <w:jc w:val="both"/>
      </w:pPr>
      <w:r>
        <w:rPr>
          <w:rFonts w:ascii="Times New Roman" w:cs="Times New Roman" w:eastAsia="Times New Roman" w:hAnsi="Times New Roman"/>
          <w:b/>
          <w:bCs/>
          <w:i w:val="false"/>
          <w:iCs w:val="false"/>
          <w:color w:val="000000"/>
          <w:sz w:val="24"/>
          <w:szCs w:val="24"/>
        </w:rPr>
        <w:t xml:space="preserve">Per-layer prediction. </w:t>
      </w:r>
      <w:r>
        <w:rPr>
          <w:rFonts w:ascii="Times New Roman" w:cs="Times New Roman" w:eastAsia="Times New Roman" w:hAnsi="Times New Roman"/>
          <w:b w:val="false"/>
          <w:bCs w:val="false"/>
          <w:i w:val="false"/>
          <w:iCs w:val="false"/>
          <w:color w:val="000000"/>
          <w:sz w:val="24"/>
          <w:szCs w:val="24"/>
        </w:rPr>
        <w:t xml:space="preserve">The current output aggregates congestion across the metal stack into horizontal and vertical channels. Extending the grid nodes to carry a layer-group dimension, with via connectivity as an additional relation type between vertically adjacent regions, would permit prediction per layer group. This fits the heterogeneous framing naturally and would address the masking of single-layer bottlenecks noted in Section 5.1(H).</w:t>
      </w:r>
    </w:p>
    <w:p>
      <w:pPr>
        <w:spacing w:after="160" w:before="0" w:line="350"/>
        <w:jc w:val="both"/>
      </w:pPr>
      <w:r>
        <w:rPr>
          <w:rFonts w:ascii="Times New Roman" w:cs="Times New Roman" w:eastAsia="Times New Roman" w:hAnsi="Times New Roman"/>
          <w:b/>
          <w:bCs/>
          <w:i w:val="false"/>
          <w:iCs w:val="false"/>
          <w:color w:val="000000"/>
          <w:sz w:val="24"/>
          <w:szCs w:val="24"/>
        </w:rPr>
        <w:t xml:space="preserve">Hierarchical multi-resolution grids. </w:t>
      </w:r>
      <w:r>
        <w:rPr>
          <w:rFonts w:ascii="Times New Roman" w:cs="Times New Roman" w:eastAsia="Times New Roman" w:hAnsi="Times New Roman"/>
          <w:b w:val="false"/>
          <w:bCs w:val="false"/>
          <w:i w:val="false"/>
          <w:iCs w:val="false"/>
          <w:color w:val="000000"/>
          <w:sz w:val="24"/>
          <w:szCs w:val="24"/>
        </w:rPr>
        <w:t xml:space="preserve">Congestion is multi-scale, and the present representation commits to a single grid resolution. Grid nodes at two or more resolutions, connected by cross-level edges, would allow local hotspot detail and global routing context to be modelled simultaneously, addressing the second research gap identified in Section 2.3 more fully than the current implementation does.</w:t>
      </w:r>
    </w:p>
    <w:p>
      <w:pPr>
        <w:spacing w:after="160" w:before="0" w:line="350"/>
        <w:jc w:val="both"/>
      </w:pPr>
      <w:r>
        <w:rPr>
          <w:rFonts w:ascii="Times New Roman" w:cs="Times New Roman" w:eastAsia="Times New Roman" w:hAnsi="Times New Roman"/>
          <w:b/>
          <w:bCs/>
          <w:i w:val="false"/>
          <w:iCs w:val="false"/>
          <w:color w:val="000000"/>
          <w:sz w:val="24"/>
          <w:szCs w:val="24"/>
        </w:rPr>
        <w:t xml:space="preserve">Degree-capping error under trained weights. </w:t>
      </w:r>
      <w:r>
        <w:rPr>
          <w:rFonts w:ascii="Times New Roman" w:cs="Times New Roman" w:eastAsia="Times New Roman" w:hAnsi="Times New Roman"/>
          <w:b w:val="false"/>
          <w:bCs w:val="false"/>
          <w:i w:val="false"/>
          <w:iCs w:val="false"/>
          <w:color w:val="000000"/>
          <w:sz w:val="24"/>
          <w:szCs w:val="24"/>
        </w:rPr>
        <w:t xml:space="preserve">The fidelity of partitioned computation was measured with random weights. Repeating that measurement with a trained model would establish whether the negligible deviation observed persists when embeddings carry learned structure, and would either confirm the current partitioning scheme or motivate an adaptive cap.</w:t>
      </w:r>
    </w:p>
    <w:p>
      <w:pPr>
        <w:spacing w:after="160" w:before="0" w:line="350"/>
        <w:jc w:val="both"/>
      </w:pPr>
      <w:r>
        <w:rPr>
          <w:rFonts w:ascii="Times New Roman" w:cs="Times New Roman" w:eastAsia="Times New Roman" w:hAnsi="Times New Roman"/>
          <w:b/>
          <w:bCs/>
          <w:i w:val="false"/>
          <w:iCs w:val="false"/>
          <w:color w:val="000000"/>
          <w:sz w:val="24"/>
          <w:szCs w:val="24"/>
        </w:rPr>
        <w:t xml:space="preserve">Additional prediction targets. </w:t>
      </w:r>
      <w:r>
        <w:rPr>
          <w:rFonts w:ascii="Times New Roman" w:cs="Times New Roman" w:eastAsia="Times New Roman" w:hAnsi="Times New Roman"/>
          <w:b w:val="false"/>
          <w:bCs w:val="false"/>
          <w:i w:val="false"/>
          <w:iCs w:val="false"/>
          <w:color w:val="000000"/>
          <w:sz w:val="24"/>
          <w:szCs w:val="24"/>
        </w:rPr>
        <w:t xml:space="preserve">The architecture is not specific to congestion. Design rule violation density, timing degradation and IR drop are all quantities revealed late in the flow and determined by earlier stages, and could be added as additional prediction heads on the same shared representation, with the multi-task setting potentially improving each.</w:t>
      </w:r>
    </w:p>
    <w:p>
      <w:pPr>
        <w:spacing w:after="160" w:before="0" w:line="350"/>
        <w:jc w:val="both"/>
      </w:pPr>
      <w:r>
        <w:rPr>
          <w:rFonts w:ascii="Times New Roman" w:cs="Times New Roman" w:eastAsia="Times New Roman" w:hAnsi="Times New Roman"/>
          <w:b/>
          <w:bCs/>
          <w:i w:val="false"/>
          <w:iCs w:val="false"/>
          <w:color w:val="000000"/>
          <w:sz w:val="24"/>
          <w:szCs w:val="24"/>
        </w:rPr>
        <w:t xml:space="preserve">Placement-in-the-loop optimisation. </w:t>
      </w:r>
      <w:r>
        <w:rPr>
          <w:rFonts w:ascii="Times New Roman" w:cs="Times New Roman" w:eastAsia="Times New Roman" w:hAnsi="Times New Roman"/>
          <w:b w:val="false"/>
          <w:bCs w:val="false"/>
          <w:i w:val="false"/>
          <w:iCs w:val="false"/>
          <w:color w:val="000000"/>
          <w:sz w:val="24"/>
          <w:szCs w:val="24"/>
        </w:rPr>
        <w:t xml:space="preserve">The present system predicts congestion for a given placement. A natural extension is to close the loop, using the differentiable predictor as a term in a placement objective so that the placer avoids congested configurations directly rather than being corrected after the fact.</w:t>
      </w:r>
    </w:p>
    <w:p>
      <w:pPr>
        <w:spacing w:after="160" w:before="0" w:line="350"/>
        <w:jc w:val="both"/>
      </w:pPr>
      <w:r>
        <w:rPr>
          <w:rFonts w:ascii="Times New Roman" w:cs="Times New Roman" w:eastAsia="Times New Roman" w:hAnsi="Times New Roman"/>
          <w:b/>
          <w:bCs/>
          <w:i w:val="false"/>
          <w:iCs w:val="false"/>
          <w:color w:val="000000"/>
          <w:sz w:val="24"/>
          <w:szCs w:val="24"/>
        </w:rPr>
        <w:t xml:space="preserve">Validation against commercial flows. </w:t>
      </w:r>
      <w:r>
        <w:rPr>
          <w:rFonts w:ascii="Times New Roman" w:cs="Times New Roman" w:eastAsia="Times New Roman" w:hAnsi="Times New Roman"/>
          <w:b w:val="false"/>
          <w:bCs w:val="false"/>
          <w:i w:val="false"/>
          <w:iCs w:val="false"/>
          <w:color w:val="000000"/>
          <w:sz w:val="24"/>
          <w:szCs w:val="24"/>
        </w:rPr>
        <w:t xml:space="preserve">Ground truth here derives entirely from the open-source OpenROAD flow. Commercial routers employ different algorithms and may produce systematically different congestion for the same placement; establishing how well a model trained on open-flow labels transfers to commercial-flow labels would be necessary for any industrial deployment.</w:t>
      </w:r>
    </w:p>
    <w:p>
      <w:pPr>
        <w:spacing w:after="160" w:before="0" w:line="350"/>
        <w:jc w:val="both"/>
      </w:pPr>
      <w:r>
        <w:rPr>
          <w:rFonts w:ascii="Times New Roman" w:cs="Times New Roman" w:eastAsia="Times New Roman" w:hAnsi="Times New Roman"/>
          <w:b/>
          <w:bCs/>
          <w:i w:val="false"/>
          <w:iCs w:val="false"/>
          <w:color w:val="000000"/>
          <w:sz w:val="24"/>
          <w:szCs w:val="24"/>
        </w:rPr>
        <w:t xml:space="preserve">Dissemination. </w:t>
      </w:r>
      <w:r>
        <w:rPr>
          <w:rFonts w:ascii="Times New Roman" w:cs="Times New Roman" w:eastAsia="Times New Roman" w:hAnsi="Times New Roman"/>
          <w:b w:val="false"/>
          <w:bCs w:val="false"/>
          <w:i w:val="false"/>
          <w:iCs w:val="false"/>
          <w:color w:val="000000"/>
          <w:sz w:val="24"/>
          <w:szCs w:val="24"/>
        </w:rPr>
        <w:t xml:space="preserve">The scalability characterisation and the two silent-failure findings are of independent interest to practitioners building similar pipelines, and are intended for submission to the machine learning for computer-aided design community, alongside a public release of the graph construction and partitioning code.</w:t>
      </w:r>
    </w:p>
    <w:p>
      <w:r>
        <w:br w:type="page"/>
      </w:r>
    </w:p>
    <w:p>
      <w:pPr>
        <w:spacing w:after="260" w:before="0" w:line="360"/>
        <w:jc w:val="left"/>
      </w:pPr>
      <w:r>
        <w:rPr>
          <w:rFonts w:ascii="Times New Roman" w:cs="Times New Roman" w:eastAsia="Times New Roman" w:hAnsi="Times New Roman"/>
          <w:b/>
          <w:bCs/>
          <w:i w:val="false"/>
          <w:iCs w:val="false"/>
          <w:color w:val="000000"/>
          <w:sz w:val="30"/>
          <w:szCs w:val="30"/>
        </w:rPr>
        <w:t xml:space="preserve">References</w:t>
      </w:r>
    </w:p>
    <w:p>
      <w:pPr>
        <w:tabs>
          <w:tab w:val="left" w:pos="640"/>
        </w:tabs>
        <w:spacing w:after="130" w:line="320"/>
        <w:ind w:left="640" w:hanging="640"/>
        <w:jc w:val="both"/>
      </w:pPr>
      <w:r>
        <w:rPr>
          <w:rFonts w:ascii="Times New Roman" w:cs="Times New Roman" w:eastAsia="Times New Roman" w:hAnsi="Times New Roman"/>
          <w:sz w:val="22"/>
          <w:szCs w:val="22"/>
        </w:rPr>
        <w:t xml:space="preserve">[1]	Z. Xie, Y.-H. Huang, G.-Q. Fang, H. Ren, S.-Y. Fang, Y. Chen, and J. Hu, “RouteNet: Routability prediction for mixed-size designs using convolutional neural network,” in Proc. IEEE/ACM Int. Conf. Computer-Aided Design (ICCAD), 2018.</w:t>
      </w:r>
    </w:p>
    <w:p>
      <w:pPr>
        <w:tabs>
          <w:tab w:val="left" w:pos="640"/>
        </w:tabs>
        <w:spacing w:after="130" w:line="320"/>
        <w:ind w:left="640" w:hanging="640"/>
        <w:jc w:val="both"/>
      </w:pPr>
      <w:r>
        <w:rPr>
          <w:rFonts w:ascii="Times New Roman" w:cs="Times New Roman" w:eastAsia="Times New Roman" w:hAnsi="Times New Roman"/>
          <w:sz w:val="22"/>
          <w:szCs w:val="22"/>
        </w:rPr>
        <w:t xml:space="preserve">[2]	R. Kirby, S. Godil, R. Roy, and B. Catanzaro, “CongestionNet: Routing congestion prediction using deep graph neural networks,” in Proc. IFIP/IEEE Int. Conf. Very Large Scale Integration (VLSI-SoC), 2019.</w:t>
      </w:r>
    </w:p>
    <w:p>
      <w:pPr>
        <w:tabs>
          <w:tab w:val="left" w:pos="640"/>
        </w:tabs>
        <w:spacing w:after="130" w:line="320"/>
        <w:ind w:left="640" w:hanging="640"/>
        <w:jc w:val="both"/>
      </w:pPr>
      <w:r>
        <w:rPr>
          <w:rFonts w:ascii="Times New Roman" w:cs="Times New Roman" w:eastAsia="Times New Roman" w:hAnsi="Times New Roman"/>
          <w:sz w:val="22"/>
          <w:szCs w:val="22"/>
        </w:rPr>
        <w:t xml:space="preserve">[3]	C. Yu and Z. Zhang, “Painting on placement: Forecasting routing congestion using conditional generative adversarial nets,” in Proc. 56th Annu. Design Automation Conf. (DAC), 2019.</w:t>
      </w:r>
    </w:p>
    <w:p>
      <w:pPr>
        <w:tabs>
          <w:tab w:val="left" w:pos="640"/>
        </w:tabs>
        <w:spacing w:after="130" w:line="320"/>
        <w:ind w:left="640" w:hanging="640"/>
        <w:jc w:val="both"/>
      </w:pPr>
      <w:r>
        <w:rPr>
          <w:rFonts w:ascii="Times New Roman" w:cs="Times New Roman" w:eastAsia="Times New Roman" w:hAnsi="Times New Roman"/>
          <w:sz w:val="22"/>
          <w:szCs w:val="22"/>
        </w:rPr>
        <w:t xml:space="preserve">[4]	A. Ghose, V. Zhang, Y. Zhang, D. Li, W. Liu, and M. Coates, “Generalizable cross-graph embedding for GNN-based congestion prediction,” in Proc. IEEE/ACM Int. Conf. Computer-Aided Design (ICCAD), 2021.</w:t>
      </w:r>
    </w:p>
    <w:p>
      <w:pPr>
        <w:tabs>
          <w:tab w:val="left" w:pos="640"/>
        </w:tabs>
        <w:spacing w:after="130" w:line="320"/>
        <w:ind w:left="640" w:hanging="640"/>
        <w:jc w:val="both"/>
      </w:pPr>
      <w:r>
        <w:rPr>
          <w:rFonts w:ascii="Times New Roman" w:cs="Times New Roman" w:eastAsia="Times New Roman" w:hAnsi="Times New Roman"/>
          <w:sz w:val="22"/>
          <w:szCs w:val="22"/>
        </w:rPr>
        <w:t xml:space="preserve">[5]	B. Wang, G. Shen, D. Li, J. Hao, W. Liu, Y. Huang, H. Wu, Y. Lin, G. Chen, and P. A. Heng, “LHNN: Lattice hypergraph neural network for VLSI congestion prediction,” in Proc. 59th Annu. Design Automation Conf. (DAC), 2022.</w:t>
      </w:r>
    </w:p>
    <w:p>
      <w:pPr>
        <w:tabs>
          <w:tab w:val="left" w:pos="640"/>
        </w:tabs>
        <w:spacing w:after="130" w:line="320"/>
        <w:ind w:left="640" w:hanging="640"/>
        <w:jc w:val="both"/>
      </w:pPr>
      <w:r>
        <w:rPr>
          <w:rFonts w:ascii="Times New Roman" w:cs="Times New Roman" w:eastAsia="Times New Roman" w:hAnsi="Times New Roman"/>
          <w:sz w:val="22"/>
          <w:szCs w:val="22"/>
        </w:rPr>
        <w:t xml:space="preserve">[6]	S. Yang, Z. Yang, D. Li, Y. Zhang, Z. Zhang, G. Song, and J. Hao, “Versatile multi-stage graph neural network for circuit representation,” in Advances in Neural Information Processing Systems (NeurIPS), 2022.</w:t>
      </w:r>
    </w:p>
    <w:p>
      <w:pPr>
        <w:tabs>
          <w:tab w:val="left" w:pos="640"/>
        </w:tabs>
        <w:spacing w:after="130" w:line="320"/>
        <w:ind w:left="640" w:hanging="640"/>
        <w:jc w:val="both"/>
      </w:pPr>
      <w:r>
        <w:rPr>
          <w:rFonts w:ascii="Times New Roman" w:cs="Times New Roman" w:eastAsia="Times New Roman" w:hAnsi="Times New Roman"/>
          <w:sz w:val="22"/>
          <w:szCs w:val="22"/>
        </w:rPr>
        <w:t xml:space="preserve">[7]	Z. Chai, Y. Zhao, W. Liu, Y. Lin, R. Wang, and R. Huang, “CircuitNet: An open-source dataset for machine learning in VLSI CAD applications,” Science China Information Sciences, vol. 65, 2022.</w:t>
      </w:r>
    </w:p>
    <w:p>
      <w:pPr>
        <w:tabs>
          <w:tab w:val="left" w:pos="640"/>
        </w:tabs>
        <w:spacing w:after="130" w:line="320"/>
        <w:ind w:left="640" w:hanging="640"/>
        <w:jc w:val="both"/>
      </w:pPr>
      <w:r>
        <w:rPr>
          <w:rFonts w:ascii="Times New Roman" w:cs="Times New Roman" w:eastAsia="Times New Roman" w:hAnsi="Times New Roman"/>
          <w:sz w:val="22"/>
          <w:szCs w:val="22"/>
        </w:rPr>
        <w:t xml:space="preserve">[8]	X. Jiang, Z. Chai, Y. Zhao, et al., “CircuitNet 2.0: An advanced dataset for promoting machine learning innovations in realistic chip design environment,” in Proc. Int. Conf. Learning Representations (ICLR), 2024.</w:t>
      </w:r>
    </w:p>
    <w:p>
      <w:pPr>
        <w:tabs>
          <w:tab w:val="left" w:pos="640"/>
        </w:tabs>
        <w:spacing w:after="130" w:line="320"/>
        <w:ind w:left="640" w:hanging="640"/>
        <w:jc w:val="both"/>
      </w:pPr>
      <w:r>
        <w:rPr>
          <w:rFonts w:ascii="Times New Roman" w:cs="Times New Roman" w:eastAsia="Times New Roman" w:hAnsi="Times New Roman"/>
          <w:sz w:val="22"/>
          <w:szCs w:val="22"/>
        </w:rPr>
        <w:t xml:space="preserve">[9]	P. Spindler and F. M. Johannes, “Fast and accurate routing demand estimation for efficient routability-driven placement,” in Proc. Design, Automation and Test in Europe (DATE), 2007, pp. 1226–1231.</w:t>
      </w:r>
    </w:p>
    <w:p>
      <w:pPr>
        <w:tabs>
          <w:tab w:val="left" w:pos="640"/>
        </w:tabs>
        <w:spacing w:after="130" w:line="320"/>
        <w:ind w:left="640" w:hanging="640"/>
        <w:jc w:val="both"/>
      </w:pPr>
      <w:r>
        <w:rPr>
          <w:rFonts w:ascii="Times New Roman" w:cs="Times New Roman" w:eastAsia="Times New Roman" w:hAnsi="Times New Roman"/>
          <w:sz w:val="22"/>
          <w:szCs w:val="22"/>
        </w:rPr>
        <w:t xml:space="preserve">[10]	A. Mirhoseini, A. Goldie, M. Yazgan, et al., “A graph placement methodology for fast chip design,” Nature, vol. 594, pp. 207–212, 2021.</w:t>
      </w:r>
    </w:p>
    <w:p>
      <w:pPr>
        <w:tabs>
          <w:tab w:val="left" w:pos="640"/>
        </w:tabs>
        <w:spacing w:after="130" w:line="320"/>
        <w:ind w:left="640" w:hanging="640"/>
        <w:jc w:val="both"/>
      </w:pPr>
      <w:r>
        <w:rPr>
          <w:rFonts w:ascii="Times New Roman" w:cs="Times New Roman" w:eastAsia="Times New Roman" w:hAnsi="Times New Roman"/>
          <w:sz w:val="22"/>
          <w:szCs w:val="22"/>
        </w:rPr>
        <w:t xml:space="preserve">[11]	A. B. Kahng, J. Lienig, I. L. Markov, and J. Hu, VLSI Physical Design: From Graph Partitioning to Timing Closure. Springer, 2011.</w:t>
      </w:r>
    </w:p>
    <w:p>
      <w:pPr>
        <w:tabs>
          <w:tab w:val="left" w:pos="640"/>
        </w:tabs>
        <w:spacing w:after="130" w:line="320"/>
        <w:ind w:left="640" w:hanging="640"/>
        <w:jc w:val="both"/>
      </w:pPr>
      <w:r>
        <w:rPr>
          <w:rFonts w:ascii="Times New Roman" w:cs="Times New Roman" w:eastAsia="Times New Roman" w:hAnsi="Times New Roman"/>
          <w:sz w:val="22"/>
          <w:szCs w:val="22"/>
        </w:rPr>
        <w:t xml:space="preserve">[12]	Y. Lin, S. Dhar, W. Li, H. Ren, B. Khailany, and D. Z. Pan, “DREAMPlace: Deep learning toolkit-enabled GPU acceleration for modern VLSI placement,” in Proc. 56th Annu. Design Automation Conf. (DAC), 2019.</w:t>
      </w:r>
    </w:p>
    <w:p>
      <w:pPr>
        <w:tabs>
          <w:tab w:val="left" w:pos="640"/>
        </w:tabs>
        <w:spacing w:after="130" w:line="320"/>
        <w:ind w:left="640" w:hanging="640"/>
        <w:jc w:val="both"/>
      </w:pPr>
      <w:r>
        <w:rPr>
          <w:rFonts w:ascii="Times New Roman" w:cs="Times New Roman" w:eastAsia="Times New Roman" w:hAnsi="Times New Roman"/>
          <w:sz w:val="22"/>
          <w:szCs w:val="22"/>
        </w:rPr>
        <w:t xml:space="preserve">[13]	T. Ajayi, V. A. Chhabria, M. Fogaça, et al., “Toward an open-source digital flow: First learnings from the OpenROAD project,” in Proc. 56th Annu. Design Automation Conf. (DAC), 2019.</w:t>
      </w:r>
    </w:p>
    <w:p>
      <w:pPr>
        <w:tabs>
          <w:tab w:val="left" w:pos="640"/>
        </w:tabs>
        <w:spacing w:after="130" w:line="320"/>
        <w:ind w:left="640" w:hanging="640"/>
        <w:jc w:val="both"/>
      </w:pPr>
      <w:r>
        <w:rPr>
          <w:rFonts w:ascii="Times New Roman" w:cs="Times New Roman" w:eastAsia="Times New Roman" w:hAnsi="Times New Roman"/>
          <w:sz w:val="22"/>
          <w:szCs w:val="22"/>
        </w:rPr>
        <w:t xml:space="preserve">[14]	W. L. Hamilton, R. Ying, and J. Leskovec, “Inductive representation learning on large graphs,” in Advances in Neural Information Processing Systems (NeurIPS), 2017.</w:t>
      </w:r>
    </w:p>
    <w:p>
      <w:pPr>
        <w:tabs>
          <w:tab w:val="left" w:pos="640"/>
        </w:tabs>
        <w:spacing w:after="130" w:line="320"/>
        <w:ind w:left="640" w:hanging="640"/>
        <w:jc w:val="both"/>
      </w:pPr>
      <w:r>
        <w:rPr>
          <w:rFonts w:ascii="Times New Roman" w:cs="Times New Roman" w:eastAsia="Times New Roman" w:hAnsi="Times New Roman"/>
          <w:sz w:val="22"/>
          <w:szCs w:val="22"/>
        </w:rPr>
        <w:t xml:space="preserve">[15]	M. Fey and J. E. Lenssen, “Fast graph representation learning with PyTorch Geometric,” in ICLR Workshop on Representation Learning on Graphs and Manifolds, 2019.</w:t>
      </w:r>
    </w:p>
    <w:p>
      <w:pPr>
        <w:tabs>
          <w:tab w:val="left" w:pos="640"/>
        </w:tabs>
        <w:spacing w:after="130" w:line="320"/>
        <w:ind w:left="640" w:hanging="640"/>
        <w:jc w:val="both"/>
      </w:pPr>
      <w:r>
        <w:rPr>
          <w:rFonts w:ascii="Times New Roman" w:cs="Times New Roman" w:eastAsia="Times New Roman" w:hAnsi="Times New Roman"/>
          <w:sz w:val="22"/>
          <w:szCs w:val="22"/>
        </w:rPr>
        <w:t xml:space="preserve">[16]	W.-L. Chiang, X. Liu, S. Si, Y. Li, S. Bengio, and C.-J. Hsieh, “Cluster-GCN: An efficient algorithm for training deep and large graph convolutional networks,” in Proc. 25th ACM SIGKDD Int. Conf. Knowledge Discovery and Data Mining (KDD), 2019.</w:t>
      </w:r>
    </w:p>
    <w:p>
      <w:pPr>
        <w:tabs>
          <w:tab w:val="left" w:pos="640"/>
        </w:tabs>
        <w:spacing w:after="130" w:line="320"/>
        <w:ind w:left="640" w:hanging="640"/>
        <w:jc w:val="both"/>
      </w:pPr>
      <w:r>
        <w:rPr>
          <w:rFonts w:ascii="Times New Roman" w:cs="Times New Roman" w:eastAsia="Times New Roman" w:hAnsi="Times New Roman"/>
          <w:sz w:val="22"/>
          <w:szCs w:val="22"/>
        </w:rPr>
        <w:t xml:space="preserve">[17]	G. Karypis and V. Kumar, “A fast and high quality multilevel scheme for partitioning irregular graphs,” SIAM Journal on Scientific Computing, vol. 20, no. 1, pp. 359–392, 1998.</w:t>
      </w:r>
    </w:p>
    <w:p>
      <w:pPr>
        <w:tabs>
          <w:tab w:val="left" w:pos="640"/>
        </w:tabs>
        <w:spacing w:after="130" w:line="320"/>
        <w:ind w:left="640" w:hanging="640"/>
        <w:jc w:val="both"/>
      </w:pPr>
      <w:r>
        <w:rPr>
          <w:rFonts w:ascii="Times New Roman" w:cs="Times New Roman" w:eastAsia="Times New Roman" w:hAnsi="Times New Roman"/>
          <w:sz w:val="22"/>
          <w:szCs w:val="22"/>
        </w:rPr>
        <w:t xml:space="preserve">[18]	D. Sánchez, L. Servadei, G. N. Kiprit, R. Wille, and W. Ecker, “A comprehensive survey on electronic design automation and graph neural networks: Theory and applications,” ACM Transactions on Design Automation of Electronic Systems (TODAES), vol. 28, no. 2, 2023.</w:t>
      </w:r>
    </w:p>
    <w:p>
      <w:pPr>
        <w:tabs>
          <w:tab w:val="left" w:pos="640"/>
        </w:tabs>
        <w:spacing w:after="130" w:line="320"/>
        <w:ind w:left="640" w:hanging="640"/>
        <w:jc w:val="both"/>
      </w:pPr>
      <w:r>
        <w:rPr>
          <w:rFonts w:ascii="Times New Roman" w:cs="Times New Roman" w:eastAsia="Times New Roman" w:hAnsi="Times New Roman"/>
          <w:sz w:val="22"/>
          <w:szCs w:val="22"/>
        </w:rPr>
        <w:t xml:space="preserve">[19]	I. Bustany, A. B. Kahng, I. Koutis, B. Pramanik, and Z. Wang, “K-SpecPart: Supervised embedding algorithms and cut overlay for improved hypergraph partitioning,” IEEE Transactions on Computer-Aided Design of Integrated Circuits and Systems, 2024.</w:t>
      </w:r>
    </w:p>
    <w:p>
      <w:pPr>
        <w:tabs>
          <w:tab w:val="left" w:pos="640"/>
        </w:tabs>
        <w:spacing w:after="130" w:line="320"/>
        <w:ind w:left="640" w:hanging="640"/>
        <w:jc w:val="both"/>
      </w:pPr>
      <w:r>
        <w:rPr>
          <w:rFonts w:ascii="Times New Roman" w:cs="Times New Roman" w:eastAsia="Times New Roman" w:hAnsi="Times New Roman"/>
          <w:sz w:val="22"/>
          <w:szCs w:val="22"/>
        </w:rPr>
        <w:t xml:space="preserve">[20]	“VeriHGN: Heterogeneous graph-based congestion prediction for chip layout verification,” in Proc. 32nd ACM SIGKDD Conf. Knowledge Discovery and Data Mining (KDD), 2026.</w:t>
      </w:r>
    </w:p>
    <w:p>
      <w:r>
        <w:br w:type="page"/>
      </w:r>
    </w:p>
    <w:p>
      <w:pPr>
        <w:spacing w:after="260" w:before="0" w:line="360"/>
        <w:jc w:val="left"/>
      </w:pPr>
      <w:r>
        <w:rPr>
          <w:rFonts w:ascii="Times New Roman" w:cs="Times New Roman" w:eastAsia="Times New Roman" w:hAnsi="Times New Roman"/>
          <w:b/>
          <w:bCs/>
          <w:i w:val="false"/>
          <w:iCs w:val="false"/>
          <w:color w:val="000000"/>
          <w:sz w:val="30"/>
          <w:szCs w:val="30"/>
        </w:rPr>
        <w:t xml:space="preserve">Appendices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60"/>
        <w:gridCol w:w="1400"/>
      </w:tblGrid>
      <w:tr>
        <w:trPr>
          <w:tblHeader/>
        </w:trPr>
        <w:tc>
          <w:tcPr>
            <w:tcW w:type="dxa" w:w="9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
            </w:r>
          </w:p>
        </w:tc>
        <w:tc>
          <w:tcPr>
            <w:tcW w:type="dxa" w:w="706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Appendix</w:t>
            </w:r>
          </w:p>
        </w:tc>
        <w:tc>
          <w:tcPr>
            <w:tcW w:type="dxa" w:w="1400"/>
            <w:shd w:fill="E8E8E8" w:val="clear"/>
            <w:tcMar>
              <w:top w:type="dxa" w:w="60"/>
              <w:left w:type="dxa" w:w="90"/>
              <w:bottom w:type="dxa" w:w="60"/>
              <w:right w:type="dxa" w:w="90"/>
            </w:tcMar>
          </w:tcPr>
          <w:p>
            <w:pPr>
              <w:spacing w:after="20" w:line="260"/>
              <w:jc w:val="left"/>
            </w:pPr>
            <w:r>
              <w:rPr>
                <w:rFonts w:ascii="Times New Roman" w:cs="Times New Roman" w:eastAsia="Times New Roman" w:hAnsi="Times New Roman"/>
                <w:b/>
                <w:bCs/>
                <w:i w:val="false"/>
                <w:iCs w:val="false"/>
                <w:sz w:val="20"/>
                <w:szCs w:val="20"/>
              </w:rPr>
              <w:t xml:space="preserve">Page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A</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AIC Form (Mandatory)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B</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Similarity Report (Mandatory)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AI Plagiarism Report (Mandatory)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D</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Research Paper (Draft / Published)</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Certificate from Industry (if any)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F</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Project Competition Certificate (if any)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G</w:t>
            </w:r>
          </w:p>
        </w:tc>
        <w:tc>
          <w:tcPr>
            <w:tcW w:type="dxa" w:w="706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Evidence of another project outcome (if any)</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val="false"/>
                <w:bCs w:val="false"/>
                <w:i w:val="false"/>
                <w:iCs w:val="false"/>
                <w:sz w:val="20"/>
                <w:szCs w:val="20"/>
              </w:rPr>
              <w:t xml:space="preserve">—</w:t>
            </w:r>
          </w:p>
        </w:tc>
      </w:tr>
    </w:tbl>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
      </w:r>
    </w:p>
    <w:p>
      <w:pPr>
        <w:spacing w:after="110" w:before="200"/>
      </w:pPr>
      <w:r>
        <w:rPr>
          <w:rFonts w:ascii="Times New Roman" w:cs="Times New Roman" w:eastAsia="Times New Roman" w:hAnsi="Times New Roman"/>
          <w:b/>
          <w:bCs/>
          <w:color w:val="000000"/>
          <w:sz w:val="24"/>
          <w:szCs w:val="24"/>
        </w:rPr>
        <w:t xml:space="preserve">Appendix H.  Source Code Repository</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complete implementation, including one written note per phase recording method, gate criteria, measured results and reproduction commands, is publicly available at:</w:t>
      </w:r>
    </w:p>
    <w:p>
      <w:pPr>
        <w:spacing w:after="160" w:before="0" w:line="360"/>
        <w:jc w:val="both"/>
      </w:pPr>
      <w:r>
        <w:rPr>
          <w:rFonts w:ascii="Times New Roman" w:cs="Times New Roman" w:eastAsia="Times New Roman" w:hAnsi="Times New Roman"/>
          <w:b w:val="false"/>
          <w:bCs w:val="false"/>
          <w:i w:val="false"/>
          <w:iCs w:val="false"/>
          <w:color w:val="0563C1"/>
          <w:sz w:val="24"/>
          <w:szCs w:val="24"/>
        </w:rPr>
        <w:t xml:space="preserve">https://github.com/SidhantN12/Congestion-detection-gnn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repository contains the ground-truth extraction scripts that run under the OpenROAD Python interpreter, the graph construction pipeline, the model and training implementation, the synthetic benchmark generator, the spatial partitioning module, the analytical baselines, the interactive viewer, and the gate scripts for every phase. Dependency versions are pinned, and the exact command behind every quantity reported in Chapter 5 is recorded at the end of the corresponding phase note.</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f7467576af40b7c595175b99b961cafa22c998c.png"/><Relationship Id="rId10" Type="http://schemas.openxmlformats.org/officeDocument/2006/relationships/image" Target="media/f4e2f9ed51397af05d3b1ca627d82c7240cbda92.png"/><Relationship Id="rId11" Type="http://schemas.openxmlformats.org/officeDocument/2006/relationships/image" Target="media/fb553cd5eb9623c52f9a4bb82f8b8a4c4687d815.png"/><Relationship Id="rId12" Type="http://schemas.openxmlformats.org/officeDocument/2006/relationships/image" Target="media/e1cbfa6604933a01de36833e968e6832b56717e6.png"/><Relationship Id="rId13" Type="http://schemas.openxmlformats.org/officeDocument/2006/relationships/image" Target="media/9b3ccd762a8caeb6efaa63fd0cbfad14b2c81c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2026-10-22T06:33:09.051Z</dcterms:created>
  <dcterms:modified xsi:type="dcterms:W3CDTF">2026-10-22T06:33:09.051Z</dcterms:modified>
</cp:coreProperties>
</file>

<file path=docProps/custom.xml><?xml version="1.0" encoding="utf-8"?>
<Properties xmlns="http://schemas.openxmlformats.org/officeDocument/2006/custom-properties" xmlns:vt="http://schemas.openxmlformats.org/officeDocument/2006/docPropsVTypes"/>
</file>