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200"/>
        <w:jc w:val="center"/>
      </w:pPr>
      <w:r>
        <w:rPr>
          <w:rFonts w:ascii="Arial" w:cs="Arial" w:eastAsia="Arial" w:hAnsi="Arial"/>
          <w:b/>
          <w:bCs/>
          <w:caps/>
          <w:color w:val="666666"/>
          <w:sz w:val="20"/>
          <w:szCs w:val="20"/>
        </w:rPr>
        <w:t xml:space="preserve">TECHNICAL REPORT</w:t>
      </w:r>
    </w:p>
    <w:p>
      <w:pPr>
        <w:pBdr>
          <w:top w:val="single" w:color="1B3A6B" w:sz="8" w:space="8"/>
          <w:bottom w:val="single" w:color="1B3A6B" w:sz="8" w:space="8"/>
        </w:pBdr>
        <w:spacing w:after="160"/>
        <w:jc w:val="center"/>
      </w:pPr>
      <w:r>
        <w:rPr>
          <w:rFonts w:ascii="Arial" w:cs="Arial" w:eastAsia="Arial" w:hAnsi="Arial"/>
          <w:b/>
          <w:bCs/>
          <w:color w:val="1B3A6B"/>
          <w:sz w:val="40"/>
          <w:szCs w:val="40"/>
        </w:rPr>
        <w:t xml:space="preserve">Non-Commodity Costs vs. Consumption Volume:
An Analysis of UK Commercial Electricity Billing</w:t>
      </w:r>
    </w:p>
    <w:p>
      <w:pPr>
        <w:spacing w:after="80"/>
        <w:jc w:val="center"/>
      </w:pPr>
      <w:r>
        <w:rPr>
          <w:rFonts w:ascii="Times New Roman" w:cs="Times New Roman" w:eastAsia="Times New Roman" w:hAnsi="Times New Roman"/>
          <w:b/>
          <w:bCs/>
          <w:color w:val="1A1A1A"/>
          <w:sz w:val="24"/>
          <w:szCs w:val="24"/>
        </w:rPr>
        <w:t xml:space="preserve">Sidhanth Chavan</w:t>
      </w:r>
    </w:p>
    <w:p>
      <w:pPr>
        <w:spacing w:after="80"/>
        <w:jc w:val="center"/>
      </w:pPr>
      <w:r>
        <w:rPr>
          <w:rFonts w:ascii="Times New Roman" w:cs="Times New Roman" w:eastAsia="Times New Roman" w:hAnsi="Times New Roman"/>
          <w:i/>
          <w:iCs/>
          <w:color w:val="666666"/>
          <w:sz w:val="20"/>
          <w:szCs w:val="20"/>
        </w:rPr>
        <w:t xml:space="preserve">MSc Data Science, Manchester Metropolitan University</w:t>
      </w:r>
    </w:p>
    <w:p>
      <w:pPr>
        <w:spacing w:after="80"/>
        <w:jc w:val="center"/>
      </w:pPr>
      <w:r>
        <w:rPr>
          <w:rFonts w:ascii="Times New Roman" w:cs="Times New Roman" w:eastAsia="Times New Roman" w:hAnsi="Times New Roman"/>
          <w:color w:val="666666"/>
          <w:sz w:val="20"/>
          <w:szCs w:val="20"/>
        </w:rPr>
        <w:t xml:space="preserve">May 2026</w:t>
      </w:r>
    </w:p>
    <w:p>
      <w:pPr>
        <w:spacing w:after="800"/>
        <w:jc w:val="center"/>
      </w:pPr>
      <w:r>
        <w:rPr>
          <w:rFonts w:ascii="Times New Roman" w:cs="Times New Roman" w:eastAsia="Times New Roman" w:hAnsi="Times New Roman"/>
          <w:i/>
          <w:iCs/>
          <w:color w:val="666666"/>
          <w:sz w:val="18"/>
          <w:szCs w:val="18"/>
        </w:rPr>
        <w:t xml:space="preserve">Domain: UK Electricity Market / Commercial Energy Procurement</w:t>
      </w:r>
    </w:p>
    <w:p>
      <w:pPr>
        <w:pBdr>
          <w:bottom w:val="single" w:color="1B3A6B" w:sz="6" w:space="4"/>
        </w:pBdr>
        <w:spacing w:after="120" w:before="320"/>
      </w:pPr>
      <w:r>
        <w:rPr>
          <w:rFonts w:ascii="Arial" w:cs="Arial" w:eastAsia="Arial" w:hAnsi="Arial"/>
          <w:b/>
          <w:bCs/>
          <w:caps/>
          <w:color w:val="1B3A6B"/>
          <w:sz w:val="26"/>
          <w:szCs w:val="26"/>
        </w:rPr>
        <w:t xml:space="preserve">Abstract</w:t>
      </w:r>
    </w:p>
    <w:p>
      <w:pPr>
        <w:spacing w:after="140"/>
        <w:jc w:val="both"/>
      </w:pPr>
      <w:r>
        <w:rPr>
          <w:rFonts w:ascii="Times New Roman" w:cs="Times New Roman" w:eastAsia="Times New Roman" w:hAnsi="Times New Roman"/>
          <w:i w:val="false"/>
          <w:iCs w:val="false"/>
          <w:color w:val="333333"/>
          <w:sz w:val="20"/>
          <w:szCs w:val="20"/>
        </w:rPr>
        <w:t xml:space="preserve">This report investigates whether non-commodity costs (NCCs) in UK commercial electricity billing scale proportionally with consumption volume. Using a dataset of 80 commercial consumers across six industry sectors, the analysis finds a strong positive correlation (Pearson r = 0.97) between annual consumption and total NCC expenditure. More significantly, a polynomial regression model outperforms a linear fit (R² = 0.978 vs 0.944), indicating that the relationship accelerates at higher consumption levels rather than scaling proportionally. The NCC rate per kWh rises from approximately 7.8p for small consumers to over 11p for large industrial users — a structural cost disadvantage driven primarily by Triad-based transmission charging. The report concludes by discussing the implications of this finding for peer-to-peer energy platforms, where NCC charges represent a fixed ceiling on achievable savings.</w:t>
      </w:r>
    </w:p>
    <w:p>
      <w:pPr>
        <w:pBdr>
          <w:bottom w:val="single" w:color="1B3A6B" w:sz="6" w:space="4"/>
        </w:pBdr>
        <w:spacing w:after="120" w:before="320"/>
      </w:pPr>
      <w:r>
        <w:rPr>
          <w:rFonts w:ascii="Arial" w:cs="Arial" w:eastAsia="Arial" w:hAnsi="Arial"/>
          <w:b/>
          <w:bCs/>
          <w:caps/>
          <w:color w:val="1B3A6B"/>
          <w:sz w:val="26"/>
          <w:szCs w:val="26"/>
        </w:rPr>
        <w:t xml:space="preserve">1. Introduction</w:t>
      </w:r>
    </w:p>
    <w:p>
      <w:pPr>
        <w:spacing w:after="140"/>
        <w:jc w:val="both"/>
      </w:pPr>
      <w:r>
        <w:rPr>
          <w:rFonts w:ascii="Times New Roman" w:cs="Times New Roman" w:eastAsia="Times New Roman" w:hAnsi="Times New Roman"/>
          <w:i w:val="false"/>
          <w:iCs w:val="false"/>
          <w:color w:val="333333"/>
          <w:sz w:val="20"/>
          <w:szCs w:val="20"/>
        </w:rPr>
        <w:t xml:space="preserve">Commercial electricity pricing in the United Kingdom is considerably more complex than a simple pence-per-kilowatt-hour rate. While the commodity component — the actual energy purchased — is what most procurement conversations focus on, a substantial and often underappreciated portion of the bill is composed of regulated charges that exist independently of energy source or supplier. These are collectively known as Non-Commodity Costs (NCCs).</w:t>
      </w:r>
    </w:p>
    <w:p>
      <w:pPr>
        <w:spacing w:after="140"/>
        <w:jc w:val="both"/>
      </w:pPr>
      <w:r>
        <w:rPr>
          <w:rFonts w:ascii="Times New Roman" w:cs="Times New Roman" w:eastAsia="Times New Roman" w:hAnsi="Times New Roman"/>
          <w:i w:val="false"/>
          <w:iCs w:val="false"/>
          <w:color w:val="333333"/>
          <w:sz w:val="20"/>
          <w:szCs w:val="20"/>
        </w:rPr>
        <w:t xml:space="preserve">In the 2025/26 billing year, NCCs represent between 40% and 60% of a typical UK commercial electricity bill, depending on consumption profile, time-of-use behaviour, and whether the consumer holds Renewable Energy Guarantees of Origin (REGO) certificates. This proportion has grown steadily over the past decade as successive governments have used the electricity bill as a vehicle for funding grid infrastructure upgrades, renewable energy incentives, and carbon reduction policies.</w:t>
      </w:r>
    </w:p>
    <w:p>
      <w:pPr>
        <w:spacing w:after="140"/>
        <w:jc w:val="both"/>
      </w:pPr>
      <w:r>
        <w:rPr>
          <w:rFonts w:ascii="Times New Roman" w:cs="Times New Roman" w:eastAsia="Times New Roman" w:hAnsi="Times New Roman"/>
          <w:i w:val="false"/>
          <w:iCs w:val="false"/>
          <w:color w:val="333333"/>
          <w:sz w:val="20"/>
          <w:szCs w:val="20"/>
        </w:rPr>
        <w:t xml:space="preserve">The central question this report attempts to answer is straightforward: does the NCC burden scale proportionally with how much energy a business consumes, or does it disproportionately penalise larger consumers? The answer has important implications for how energy management strategy should differ between small, medium, and large commercial organisations, and for how peer-to-peer energy platforms should frame their value proposition to commercial clients.</w:t>
      </w:r>
    </w:p>
    <w:p>
      <w:pPr>
        <w:pBdr>
          <w:bottom w:val="single" w:color="1B3A6B" w:sz="6" w:space="4"/>
        </w:pBdr>
        <w:spacing w:after="120" w:before="320"/>
      </w:pPr>
      <w:r>
        <w:rPr>
          <w:rFonts w:ascii="Arial" w:cs="Arial" w:eastAsia="Arial" w:hAnsi="Arial"/>
          <w:b/>
          <w:bCs/>
          <w:caps/>
          <w:color w:val="1B3A6B"/>
          <w:sz w:val="26"/>
          <w:szCs w:val="26"/>
        </w:rPr>
        <w:t xml:space="preserve">2. Background: The UK NCC Framework</w:t>
      </w:r>
    </w:p>
    <w:p>
      <w:pPr>
        <w:spacing w:after="80" w:before="240"/>
      </w:pPr>
      <w:r>
        <w:rPr>
          <w:rFonts w:ascii="Arial" w:cs="Arial" w:eastAsia="Arial" w:hAnsi="Arial"/>
          <w:b/>
          <w:bCs/>
          <w:color w:val="1A1A1A"/>
          <w:sz w:val="22"/>
          <w:szCs w:val="22"/>
        </w:rPr>
        <w:t xml:space="preserve">2.1 Components of Non-Commodity Costs</w:t>
      </w:r>
    </w:p>
    <w:p>
      <w:pPr>
        <w:spacing w:after="80"/>
        <w:jc w:val="left"/>
      </w:pPr>
      <w:r>
        <w:rPr>
          <w:rFonts w:ascii="Times New Roman" w:cs="Times New Roman" w:eastAsia="Times New Roman" w:hAnsi="Times New Roman"/>
          <w:i w:val="false"/>
          <w:iCs w:val="false"/>
          <w:color w:val="333333"/>
          <w:sz w:val="20"/>
          <w:szCs w:val="20"/>
        </w:rPr>
        <w:t xml:space="preserve">The main NCC components applicable to UK commercial consumers in 2025/26 are as follows: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shd w:fill="1B3A6B" w:color="1B3A6B" w:val="solid"/>
          </w:tcPr>
          <w:p>
            <w:pPr>
              <w:spacing w:after="60" w:before="60"/>
              <w:jc w:val="left"/>
            </w:pPr>
            <w:r>
              <w:rPr>
                <w:rFonts w:ascii="Arial" w:cs="Arial" w:eastAsia="Arial" w:hAnsi="Arial"/>
                <w:b/>
                <w:bCs/>
                <w:color w:val="FFFFFF"/>
                <w:sz w:val="18"/>
                <w:szCs w:val="18"/>
              </w:rPr>
              <w:t xml:space="preserve">Charge</w:t>
            </w:r>
          </w:p>
        </w:tc>
        <w:tc>
          <w:tcPr>
            <w:shd w:fill="1B3A6B" w:color="1B3A6B" w:val="solid"/>
          </w:tcPr>
          <w:p>
            <w:pPr>
              <w:spacing w:after="60" w:before="60"/>
              <w:jc w:val="left"/>
            </w:pPr>
            <w:r>
              <w:rPr>
                <w:rFonts w:ascii="Arial" w:cs="Arial" w:eastAsia="Arial" w:hAnsi="Arial"/>
                <w:b/>
                <w:bCs/>
                <w:color w:val="FFFFFF"/>
                <w:sz w:val="18"/>
                <w:szCs w:val="18"/>
              </w:rPr>
              <w:t xml:space="preserve">Full Name</w:t>
            </w:r>
          </w:p>
        </w:tc>
        <w:tc>
          <w:tcPr>
            <w:shd w:fill="1B3A6B" w:color="1B3A6B" w:val="solid"/>
          </w:tcPr>
          <w:p>
            <w:pPr>
              <w:spacing w:after="60" w:before="60"/>
              <w:jc w:val="left"/>
            </w:pPr>
            <w:r>
              <w:rPr>
                <w:rFonts w:ascii="Arial" w:cs="Arial" w:eastAsia="Arial" w:hAnsi="Arial"/>
                <w:b/>
                <w:bCs/>
                <w:color w:val="FFFFFF"/>
                <w:sz w:val="18"/>
                <w:szCs w:val="18"/>
              </w:rPr>
              <w:t xml:space="preserve">What It Funds</w:t>
            </w:r>
          </w:p>
        </w:tc>
        <w:tc>
          <w:tcPr>
            <w:shd w:fill="1B3A6B" w:color="1B3A6B" w:val="solid"/>
          </w:tcPr>
          <w:p>
            <w:pPr>
              <w:spacing w:after="60" w:before="60"/>
              <w:jc w:val="left"/>
            </w:pPr>
            <w:r>
              <w:rPr>
                <w:rFonts w:ascii="Arial" w:cs="Arial" w:eastAsia="Arial" w:hAnsi="Arial"/>
                <w:b/>
                <w:bCs/>
                <w:color w:val="FFFFFF"/>
                <w:sz w:val="18"/>
                <w:szCs w:val="18"/>
              </w:rPr>
              <w:t xml:space="preserve">Approx. Rate</w:t>
            </w:r>
          </w:p>
        </w:tc>
      </w:tr>
      <w:tr>
        <w:tc>
          <w:tcPr>
            <w:shd w:fill="FFFFFF" w:color="auto" w:val="clear"/>
          </w:tcPr>
          <w:p>
            <w:pPr>
              <w:spacing w:after="60" w:before="60"/>
              <w:jc w:val="left"/>
            </w:pPr>
            <w:r>
              <w:rPr>
                <w:rFonts w:ascii="Arial" w:cs="Arial" w:eastAsia="Arial" w:hAnsi="Arial"/>
                <w:b w:val="false"/>
                <w:bCs w:val="false"/>
                <w:color w:val="1A1A1A"/>
                <w:sz w:val="18"/>
                <w:szCs w:val="18"/>
              </w:rPr>
              <w:t xml:space="preserve">DUoS</w:t>
            </w:r>
          </w:p>
        </w:tc>
        <w:tc>
          <w:tcPr>
            <w:shd w:fill="F2F2F2" w:color="F2F2F2" w:val="solid"/>
          </w:tcPr>
          <w:p>
            <w:pPr>
              <w:spacing w:after="60" w:before="60"/>
              <w:jc w:val="left"/>
            </w:pPr>
            <w:r>
              <w:rPr>
                <w:rFonts w:ascii="Arial" w:cs="Arial" w:eastAsia="Arial" w:hAnsi="Arial"/>
                <w:b w:val="false"/>
                <w:bCs w:val="false"/>
                <w:color w:val="1A1A1A"/>
                <w:sz w:val="18"/>
                <w:szCs w:val="18"/>
              </w:rPr>
              <w:t xml:space="preserve">Distribution Use of System</w:t>
            </w:r>
          </w:p>
        </w:tc>
        <w:tc>
          <w:tcPr>
            <w:shd w:fill="FFFFFF" w:color="auto" w:val="clear"/>
          </w:tcPr>
          <w:p>
            <w:pPr>
              <w:spacing w:after="60" w:before="60"/>
              <w:jc w:val="left"/>
            </w:pPr>
            <w:r>
              <w:rPr>
                <w:rFonts w:ascii="Arial" w:cs="Arial" w:eastAsia="Arial" w:hAnsi="Arial"/>
                <w:b w:val="false"/>
                <w:bCs w:val="false"/>
                <w:color w:val="1A1A1A"/>
                <w:sz w:val="18"/>
                <w:szCs w:val="18"/>
              </w:rPr>
              <w:t xml:space="preserve">Local network infrastructure</w:t>
            </w:r>
          </w:p>
        </w:tc>
        <w:tc>
          <w:tcPr>
            <w:shd w:fill="F2F2F2" w:color="F2F2F2" w:val="solid"/>
          </w:tcPr>
          <w:p>
            <w:pPr>
              <w:spacing w:after="60" w:before="60"/>
              <w:jc w:val="left"/>
            </w:pPr>
            <w:r>
              <w:rPr>
                <w:rFonts w:ascii="Arial" w:cs="Arial" w:eastAsia="Arial" w:hAnsi="Arial"/>
                <w:b w:val="false"/>
                <w:bCs w:val="false"/>
                <w:color w:val="1A1A1A"/>
                <w:sz w:val="18"/>
                <w:szCs w:val="18"/>
              </w:rPr>
              <w:t xml:space="preserve">1.8–2.6p/kWh</w:t>
            </w:r>
          </w:p>
        </w:tc>
      </w:tr>
      <w:tr>
        <w:tc>
          <w:tcPr>
            <w:shd w:fill="FFFFFF" w:color="auto" w:val="clear"/>
          </w:tcPr>
          <w:p>
            <w:pPr>
              <w:spacing w:after="60" w:before="60"/>
              <w:jc w:val="left"/>
            </w:pPr>
            <w:r>
              <w:rPr>
                <w:rFonts w:ascii="Arial" w:cs="Arial" w:eastAsia="Arial" w:hAnsi="Arial"/>
                <w:b w:val="false"/>
                <w:bCs w:val="false"/>
                <w:color w:val="1A1A1A"/>
                <w:sz w:val="18"/>
                <w:szCs w:val="18"/>
              </w:rPr>
              <w:t xml:space="preserve">TNUoS</w:t>
            </w:r>
          </w:p>
        </w:tc>
        <w:tc>
          <w:tcPr>
            <w:shd w:fill="F2F2F2" w:color="F2F2F2" w:val="solid"/>
          </w:tcPr>
          <w:p>
            <w:pPr>
              <w:spacing w:after="60" w:before="60"/>
              <w:jc w:val="left"/>
            </w:pPr>
            <w:r>
              <w:rPr>
                <w:rFonts w:ascii="Arial" w:cs="Arial" w:eastAsia="Arial" w:hAnsi="Arial"/>
                <w:b w:val="false"/>
                <w:bCs w:val="false"/>
                <w:color w:val="1A1A1A"/>
                <w:sz w:val="18"/>
                <w:szCs w:val="18"/>
              </w:rPr>
              <w:t xml:space="preserve">Transmission Network Use of System</w:t>
            </w:r>
          </w:p>
        </w:tc>
        <w:tc>
          <w:tcPr>
            <w:shd w:fill="FFFFFF" w:color="auto" w:val="clear"/>
          </w:tcPr>
          <w:p>
            <w:pPr>
              <w:spacing w:after="60" w:before="60"/>
              <w:jc w:val="left"/>
            </w:pPr>
            <w:r>
              <w:rPr>
                <w:rFonts w:ascii="Arial" w:cs="Arial" w:eastAsia="Arial" w:hAnsi="Arial"/>
                <w:b w:val="false"/>
                <w:bCs w:val="false"/>
                <w:color w:val="1A1A1A"/>
                <w:sz w:val="18"/>
                <w:szCs w:val="18"/>
              </w:rPr>
              <w:t xml:space="preserve">National grid infrastructure + Triads</w:t>
            </w:r>
          </w:p>
        </w:tc>
        <w:tc>
          <w:tcPr>
            <w:shd w:fill="F2F2F2" w:color="F2F2F2" w:val="solid"/>
          </w:tcPr>
          <w:p>
            <w:pPr>
              <w:spacing w:after="60" w:before="60"/>
              <w:jc w:val="left"/>
            </w:pPr>
            <w:r>
              <w:rPr>
                <w:rFonts w:ascii="Arial" w:cs="Arial" w:eastAsia="Arial" w:hAnsi="Arial"/>
                <w:b w:val="false"/>
                <w:bCs w:val="false"/>
                <w:color w:val="1A1A1A"/>
                <w:sz w:val="18"/>
                <w:szCs w:val="18"/>
              </w:rPr>
              <w:t xml:space="preserve">0.9–1.9p/kWh</w:t>
            </w:r>
          </w:p>
        </w:tc>
      </w:tr>
      <w:tr>
        <w:tc>
          <w:tcPr>
            <w:shd w:fill="FFFFFF" w:color="auto" w:val="clear"/>
          </w:tcPr>
          <w:p>
            <w:pPr>
              <w:spacing w:after="60" w:before="60"/>
              <w:jc w:val="left"/>
            </w:pPr>
            <w:r>
              <w:rPr>
                <w:rFonts w:ascii="Arial" w:cs="Arial" w:eastAsia="Arial" w:hAnsi="Arial"/>
                <w:b w:val="false"/>
                <w:bCs w:val="false"/>
                <w:color w:val="1A1A1A"/>
                <w:sz w:val="18"/>
                <w:szCs w:val="18"/>
              </w:rPr>
              <w:t xml:space="preserve">BSUoS</w:t>
            </w:r>
          </w:p>
        </w:tc>
        <w:tc>
          <w:tcPr>
            <w:shd w:fill="F2F2F2" w:color="F2F2F2" w:val="solid"/>
          </w:tcPr>
          <w:p>
            <w:pPr>
              <w:spacing w:after="60" w:before="60"/>
              <w:jc w:val="left"/>
            </w:pPr>
            <w:r>
              <w:rPr>
                <w:rFonts w:ascii="Arial" w:cs="Arial" w:eastAsia="Arial" w:hAnsi="Arial"/>
                <w:b w:val="false"/>
                <w:bCs w:val="false"/>
                <w:color w:val="1A1A1A"/>
                <w:sz w:val="18"/>
                <w:szCs w:val="18"/>
              </w:rPr>
              <w:t xml:space="preserve">Balancing Services Use of System</w:t>
            </w:r>
          </w:p>
        </w:tc>
        <w:tc>
          <w:tcPr>
            <w:shd w:fill="FFFFFF" w:color="auto" w:val="clear"/>
          </w:tcPr>
          <w:p>
            <w:pPr>
              <w:spacing w:after="60" w:before="60"/>
              <w:jc w:val="left"/>
            </w:pPr>
            <w:r>
              <w:rPr>
                <w:rFonts w:ascii="Arial" w:cs="Arial" w:eastAsia="Arial" w:hAnsi="Arial"/>
                <w:b w:val="false"/>
                <w:bCs w:val="false"/>
                <w:color w:val="1A1A1A"/>
                <w:sz w:val="18"/>
                <w:szCs w:val="18"/>
              </w:rPr>
              <w:t xml:space="preserve">Real-time grid balancing</w:t>
            </w:r>
          </w:p>
        </w:tc>
        <w:tc>
          <w:tcPr>
            <w:shd w:fill="F2F2F2" w:color="F2F2F2" w:val="solid"/>
          </w:tcPr>
          <w:p>
            <w:pPr>
              <w:spacing w:after="60" w:before="60"/>
              <w:jc w:val="left"/>
            </w:pPr>
            <w:r>
              <w:rPr>
                <w:rFonts w:ascii="Arial" w:cs="Arial" w:eastAsia="Arial" w:hAnsi="Arial"/>
                <w:b w:val="false"/>
                <w:bCs w:val="false"/>
                <w:color w:val="1A1A1A"/>
                <w:sz w:val="18"/>
                <w:szCs w:val="18"/>
              </w:rPr>
              <w:t xml:space="preserve">~0.6p/kWh</w:t>
            </w:r>
          </w:p>
        </w:tc>
      </w:tr>
      <w:tr>
        <w:tc>
          <w:tcPr>
            <w:shd w:fill="FFFFFF" w:color="auto" w:val="clear"/>
          </w:tcPr>
          <w:p>
            <w:pPr>
              <w:spacing w:after="60" w:before="60"/>
              <w:jc w:val="left"/>
            </w:pPr>
            <w:r>
              <w:rPr>
                <w:rFonts w:ascii="Arial" w:cs="Arial" w:eastAsia="Arial" w:hAnsi="Arial"/>
                <w:b w:val="false"/>
                <w:bCs w:val="false"/>
                <w:color w:val="1A1A1A"/>
                <w:sz w:val="18"/>
                <w:szCs w:val="18"/>
              </w:rPr>
              <w:t xml:space="preserve">Capacity Market</w:t>
            </w:r>
          </w:p>
        </w:tc>
        <w:tc>
          <w:tcPr>
            <w:shd w:fill="F2F2F2" w:color="F2F2F2" w:val="solid"/>
          </w:tcPr>
          <w:p>
            <w:pPr>
              <w:spacing w:after="60" w:before="60"/>
              <w:jc w:val="left"/>
            </w:pPr>
            <w:r>
              <w:rPr>
                <w:rFonts w:ascii="Arial" w:cs="Arial" w:eastAsia="Arial" w:hAnsi="Arial"/>
                <w:b w:val="false"/>
                <w:bCs w:val="false"/>
                <w:color w:val="1A1A1A"/>
                <w:sz w:val="18"/>
                <w:szCs w:val="18"/>
              </w:rPr>
              <w:t xml:space="preserve">—</w:t>
            </w:r>
          </w:p>
        </w:tc>
        <w:tc>
          <w:tcPr>
            <w:shd w:fill="FFFFFF" w:color="auto" w:val="clear"/>
          </w:tcPr>
          <w:p>
            <w:pPr>
              <w:spacing w:after="60" w:before="60"/>
              <w:jc w:val="left"/>
            </w:pPr>
            <w:r>
              <w:rPr>
                <w:rFonts w:ascii="Arial" w:cs="Arial" w:eastAsia="Arial" w:hAnsi="Arial"/>
                <w:b w:val="false"/>
                <w:bCs w:val="false"/>
                <w:color w:val="1A1A1A"/>
                <w:sz w:val="18"/>
                <w:szCs w:val="18"/>
              </w:rPr>
              <w:t xml:space="preserve">Backup power plant availability</w:t>
            </w:r>
          </w:p>
        </w:tc>
        <w:tc>
          <w:tcPr>
            <w:shd w:fill="F2F2F2" w:color="F2F2F2" w:val="solid"/>
          </w:tcPr>
          <w:p>
            <w:pPr>
              <w:spacing w:after="60" w:before="60"/>
              <w:jc w:val="left"/>
            </w:pPr>
            <w:r>
              <w:rPr>
                <w:rFonts w:ascii="Arial" w:cs="Arial" w:eastAsia="Arial" w:hAnsi="Arial"/>
                <w:b w:val="false"/>
                <w:bCs w:val="false"/>
                <w:color w:val="1A1A1A"/>
                <w:sz w:val="18"/>
                <w:szCs w:val="18"/>
              </w:rPr>
              <w:t xml:space="preserve">~0.55p/kWh</w:t>
            </w:r>
          </w:p>
        </w:tc>
      </w:tr>
      <w:tr>
        <w:tc>
          <w:tcPr>
            <w:shd w:fill="FFFFFF" w:color="auto" w:val="clear"/>
          </w:tcPr>
          <w:p>
            <w:pPr>
              <w:spacing w:after="60" w:before="60"/>
              <w:jc w:val="left"/>
            </w:pPr>
            <w:r>
              <w:rPr>
                <w:rFonts w:ascii="Arial" w:cs="Arial" w:eastAsia="Arial" w:hAnsi="Arial"/>
                <w:b w:val="false"/>
                <w:bCs w:val="false"/>
                <w:color w:val="1A1A1A"/>
                <w:sz w:val="18"/>
                <w:szCs w:val="18"/>
              </w:rPr>
              <w:t xml:space="preserve">RO / FiT</w:t>
            </w:r>
          </w:p>
        </w:tc>
        <w:tc>
          <w:tcPr>
            <w:shd w:fill="F2F2F2" w:color="F2F2F2" w:val="solid"/>
          </w:tcPr>
          <w:p>
            <w:pPr>
              <w:spacing w:after="60" w:before="60"/>
              <w:jc w:val="left"/>
            </w:pPr>
            <w:r>
              <w:rPr>
                <w:rFonts w:ascii="Arial" w:cs="Arial" w:eastAsia="Arial" w:hAnsi="Arial"/>
                <w:b w:val="false"/>
                <w:bCs w:val="false"/>
                <w:color w:val="1A1A1A"/>
                <w:sz w:val="18"/>
                <w:szCs w:val="18"/>
              </w:rPr>
              <w:t xml:space="preserve">Renewables Obligation / Feed-in Tariff</w:t>
            </w:r>
          </w:p>
        </w:tc>
        <w:tc>
          <w:tcPr>
            <w:shd w:fill="FFFFFF" w:color="auto" w:val="clear"/>
          </w:tcPr>
          <w:p>
            <w:pPr>
              <w:spacing w:after="60" w:before="60"/>
              <w:jc w:val="left"/>
            </w:pPr>
            <w:r>
              <w:rPr>
                <w:rFonts w:ascii="Arial" w:cs="Arial" w:eastAsia="Arial" w:hAnsi="Arial"/>
                <w:b w:val="false"/>
                <w:bCs w:val="false"/>
                <w:color w:val="1A1A1A"/>
                <w:sz w:val="18"/>
                <w:szCs w:val="18"/>
              </w:rPr>
              <w:t xml:space="preserve">Renewable energy subsidies</w:t>
            </w:r>
          </w:p>
        </w:tc>
        <w:tc>
          <w:tcPr>
            <w:shd w:fill="F2F2F2" w:color="F2F2F2" w:val="solid"/>
          </w:tcPr>
          <w:p>
            <w:pPr>
              <w:spacing w:after="60" w:before="60"/>
              <w:jc w:val="left"/>
            </w:pPr>
            <w:r>
              <w:rPr>
                <w:rFonts w:ascii="Arial" w:cs="Arial" w:eastAsia="Arial" w:hAnsi="Arial"/>
                <w:b w:val="false"/>
                <w:bCs w:val="false"/>
                <w:color w:val="1A1A1A"/>
                <w:sz w:val="18"/>
                <w:szCs w:val="18"/>
              </w:rPr>
              <w:t xml:space="preserve">~2.2p/kWh</w:t>
            </w:r>
          </w:p>
        </w:tc>
      </w:tr>
      <w:tr>
        <w:tc>
          <w:tcPr>
            <w:shd w:fill="FFFFFF" w:color="auto" w:val="clear"/>
          </w:tcPr>
          <w:p>
            <w:pPr>
              <w:spacing w:after="60" w:before="60"/>
              <w:jc w:val="left"/>
            </w:pPr>
            <w:r>
              <w:rPr>
                <w:rFonts w:ascii="Arial" w:cs="Arial" w:eastAsia="Arial" w:hAnsi="Arial"/>
                <w:b w:val="false"/>
                <w:bCs w:val="false"/>
                <w:color w:val="1A1A1A"/>
                <w:sz w:val="18"/>
                <w:szCs w:val="18"/>
              </w:rPr>
              <w:t xml:space="preserve">CCL</w:t>
            </w:r>
          </w:p>
        </w:tc>
        <w:tc>
          <w:tcPr>
            <w:shd w:fill="F2F2F2" w:color="F2F2F2" w:val="solid"/>
          </w:tcPr>
          <w:p>
            <w:pPr>
              <w:spacing w:after="60" w:before="60"/>
              <w:jc w:val="left"/>
            </w:pPr>
            <w:r>
              <w:rPr>
                <w:rFonts w:ascii="Arial" w:cs="Arial" w:eastAsia="Arial" w:hAnsi="Arial"/>
                <w:b w:val="false"/>
                <w:bCs w:val="false"/>
                <w:color w:val="1A1A1A"/>
                <w:sz w:val="18"/>
                <w:szCs w:val="18"/>
              </w:rPr>
              <w:t xml:space="preserve">Climate Change Levy</w:t>
            </w:r>
          </w:p>
        </w:tc>
        <w:tc>
          <w:tcPr>
            <w:shd w:fill="FFFFFF" w:color="auto" w:val="clear"/>
          </w:tcPr>
          <w:p>
            <w:pPr>
              <w:spacing w:after="60" w:before="60"/>
              <w:jc w:val="left"/>
            </w:pPr>
            <w:r>
              <w:rPr>
                <w:rFonts w:ascii="Arial" w:cs="Arial" w:eastAsia="Arial" w:hAnsi="Arial"/>
                <w:b w:val="false"/>
                <w:bCs w:val="false"/>
                <w:color w:val="1A1A1A"/>
                <w:sz w:val="18"/>
                <w:szCs w:val="18"/>
              </w:rPr>
              <w:t xml:space="preserve">Carbon reduction policy</w:t>
            </w:r>
          </w:p>
        </w:tc>
        <w:tc>
          <w:tcPr>
            <w:shd w:fill="F2F2F2" w:color="F2F2F2" w:val="solid"/>
          </w:tcPr>
          <w:p>
            <w:pPr>
              <w:spacing w:after="60" w:before="60"/>
              <w:jc w:val="left"/>
            </w:pPr>
            <w:r>
              <w:rPr>
                <w:rFonts w:ascii="Arial" w:cs="Arial" w:eastAsia="Arial" w:hAnsi="Arial"/>
                <w:b w:val="false"/>
                <w:bCs w:val="false"/>
                <w:color w:val="1A1A1A"/>
                <w:sz w:val="18"/>
                <w:szCs w:val="18"/>
              </w:rPr>
              <w:t xml:space="preserve">0.775p/kWh (waived with REGO)</w:t>
            </w:r>
          </w:p>
        </w:tc>
      </w:tr>
      <w:tr>
        <w:tc>
          <w:tcPr>
            <w:shd w:fill="FFFFFF" w:color="auto" w:val="clear"/>
          </w:tcPr>
          <w:p>
            <w:pPr>
              <w:spacing w:after="60" w:before="60"/>
              <w:jc w:val="left"/>
            </w:pPr>
            <w:r>
              <w:rPr>
                <w:rFonts w:ascii="Arial" w:cs="Arial" w:eastAsia="Arial" w:hAnsi="Arial"/>
                <w:b w:val="false"/>
                <w:bCs w:val="false"/>
                <w:color w:val="1A1A1A"/>
                <w:sz w:val="18"/>
                <w:szCs w:val="18"/>
              </w:rPr>
              <w:t xml:space="preserve">VAT</w:t>
            </w:r>
          </w:p>
        </w:tc>
        <w:tc>
          <w:tcPr>
            <w:shd w:fill="F2F2F2" w:color="F2F2F2" w:val="solid"/>
          </w:tcPr>
          <w:p>
            <w:pPr>
              <w:spacing w:after="60" w:before="60"/>
              <w:jc w:val="left"/>
            </w:pPr>
            <w:r>
              <w:rPr>
                <w:rFonts w:ascii="Arial" w:cs="Arial" w:eastAsia="Arial" w:hAnsi="Arial"/>
                <w:b w:val="false"/>
                <w:bCs w:val="false"/>
                <w:color w:val="1A1A1A"/>
                <w:sz w:val="18"/>
                <w:szCs w:val="18"/>
              </w:rPr>
              <w:t xml:space="preserve">—</w:t>
            </w:r>
          </w:p>
        </w:tc>
        <w:tc>
          <w:tcPr>
            <w:shd w:fill="FFFFFF" w:color="auto" w:val="clear"/>
          </w:tcPr>
          <w:p>
            <w:pPr>
              <w:spacing w:after="60" w:before="60"/>
              <w:jc w:val="left"/>
            </w:pPr>
            <w:r>
              <w:rPr>
                <w:rFonts w:ascii="Arial" w:cs="Arial" w:eastAsia="Arial" w:hAnsi="Arial"/>
                <w:b w:val="false"/>
                <w:bCs w:val="false"/>
                <w:color w:val="1A1A1A"/>
                <w:sz w:val="18"/>
                <w:szCs w:val="18"/>
              </w:rPr>
              <w:t xml:space="preserve">—</w:t>
            </w:r>
          </w:p>
        </w:tc>
        <w:tc>
          <w:tcPr>
            <w:shd w:fill="F2F2F2" w:color="F2F2F2" w:val="solid"/>
          </w:tcPr>
          <w:p>
            <w:pPr>
              <w:spacing w:after="60" w:before="60"/>
              <w:jc w:val="left"/>
            </w:pPr>
            <w:r>
              <w:rPr>
                <w:rFonts w:ascii="Arial" w:cs="Arial" w:eastAsia="Arial" w:hAnsi="Arial"/>
                <w:b w:val="false"/>
                <w:bCs w:val="false"/>
                <w:color w:val="1A1A1A"/>
                <w:sz w:val="18"/>
                <w:szCs w:val="18"/>
              </w:rPr>
              <w:t xml:space="preserve">20% commercial rate</w:t>
            </w:r>
          </w:p>
        </w:tc>
      </w:tr>
    </w:tbl>
    <w:p>
      <w:pPr>
        <w:spacing w:after="160"/>
      </w:pPr>
    </w:p>
    <w:p>
      <w:pPr>
        <w:spacing w:after="80" w:before="240"/>
      </w:pPr>
      <w:r>
        <w:rPr>
          <w:rFonts w:ascii="Arial" w:cs="Arial" w:eastAsia="Arial" w:hAnsi="Arial"/>
          <w:b/>
          <w:bCs/>
          <w:color w:val="1A1A1A"/>
          <w:sz w:val="22"/>
          <w:szCs w:val="22"/>
        </w:rPr>
        <w:t xml:space="preserve">2.2 The Triad Mechanism</w:t>
      </w:r>
    </w:p>
    <w:p>
      <w:pPr>
        <w:spacing w:after="140"/>
        <w:jc w:val="both"/>
      </w:pPr>
      <w:r>
        <w:rPr>
          <w:rFonts w:ascii="Times New Roman" w:cs="Times New Roman" w:eastAsia="Times New Roman" w:hAnsi="Times New Roman"/>
          <w:i w:val="false"/>
          <w:iCs w:val="false"/>
          <w:color w:val="333333"/>
          <w:sz w:val="20"/>
          <w:szCs w:val="20"/>
        </w:rPr>
        <w:t xml:space="preserve">The most consequential NCC for large consumers is TNUoS, specifically because of the Triad charging system. National Grid identifies the three half-hour settlement periods of highest electricity demand across the entire country between November and February each year. A consumer's share of the annual transmission charge is calculated based on their electricity consumption during those three specific half-hours.</w:t>
      </w:r>
    </w:p>
    <w:p>
      <w:pPr>
        <w:spacing w:after="140"/>
        <w:jc w:val="both"/>
      </w:pPr>
      <w:r>
        <w:rPr>
          <w:rFonts w:ascii="Times New Roman" w:cs="Times New Roman" w:eastAsia="Times New Roman" w:hAnsi="Times New Roman"/>
          <w:i w:val="false"/>
          <w:iCs w:val="false"/>
          <w:color w:val="333333"/>
          <w:sz w:val="20"/>
          <w:szCs w:val="20"/>
        </w:rPr>
        <w:t xml:space="preserve">The financial stakes are significant. Triad charges can amount to £10 to £40 per kilowatt of demand during those periods, meaning a factory consuming 500kW during a Triad half-hour might face an additional £15,000 to £20,000 on their annual electricity bill — charges that are entirely separate from the energy they actually consumed. This structure creates a non-linear relationship between consumption volume and total NCC cost, particularly for energy-intensive industrial consumers.</w:t>
      </w:r>
    </w:p>
    <w:p>
      <w:pPr>
        <w:pBdr>
          <w:bottom w:val="single" w:color="1B3A6B" w:sz="6" w:space="4"/>
        </w:pBdr>
        <w:spacing w:after="120" w:before="320"/>
      </w:pPr>
      <w:r>
        <w:rPr>
          <w:rFonts w:ascii="Arial" w:cs="Arial" w:eastAsia="Arial" w:hAnsi="Arial"/>
          <w:b/>
          <w:bCs/>
          <w:caps/>
          <w:color w:val="1B3A6B"/>
          <w:sz w:val="26"/>
          <w:szCs w:val="26"/>
        </w:rPr>
        <w:t xml:space="preserve">3. Methodology</w:t>
      </w:r>
    </w:p>
    <w:p>
      <w:pPr>
        <w:spacing w:after="80" w:before="240"/>
      </w:pPr>
      <w:r>
        <w:rPr>
          <w:rFonts w:ascii="Arial" w:cs="Arial" w:eastAsia="Arial" w:hAnsi="Arial"/>
          <w:b/>
          <w:bCs/>
          <w:color w:val="1A1A1A"/>
          <w:sz w:val="22"/>
          <w:szCs w:val="22"/>
        </w:rPr>
        <w:t xml:space="preserve">3.1 Dataset</w:t>
      </w:r>
    </w:p>
    <w:p>
      <w:pPr>
        <w:spacing w:after="140"/>
        <w:jc w:val="both"/>
      </w:pPr>
      <w:r>
        <w:rPr>
          <w:rFonts w:ascii="Times New Roman" w:cs="Times New Roman" w:eastAsia="Times New Roman" w:hAnsi="Times New Roman"/>
          <w:i w:val="false"/>
          <w:iCs w:val="false"/>
          <w:color w:val="333333"/>
          <w:sz w:val="20"/>
          <w:szCs w:val="20"/>
        </w:rPr>
        <w:t xml:space="preserve">The analysis uses a synthetic dataset of 80 UK commercial electricity consumers across six industry sectors: Retail, Manufacturing, Office, Hospitality, Healthcare, and Logistics. Each sector is assigned consumption profiles drawn from publicly available UK government energy consumption statistics, with manufacturing and logistics sectors reflecting higher baseline demand consistent with their operational characteristics.</w:t>
      </w:r>
    </w:p>
    <w:p>
      <w:pPr>
        <w:spacing w:after="140"/>
        <w:jc w:val="both"/>
      </w:pPr>
      <w:r>
        <w:rPr>
          <w:rFonts w:ascii="Times New Roman" w:cs="Times New Roman" w:eastAsia="Times New Roman" w:hAnsi="Times New Roman"/>
          <w:i w:val="false"/>
          <w:iCs w:val="false"/>
          <w:color w:val="333333"/>
          <w:sz w:val="20"/>
          <w:szCs w:val="20"/>
        </w:rPr>
        <w:t xml:space="preserve">NCC components are calculated using published 2025/26 UK regulatory rates. DUoS unit rates are modelled on Western Power Distribution tariff structures, with a banded rate that increases slightly across consumption tiers. TNUoS incorporates both a flat unit rate (stepped by consumption band) and a Triad exposure component that scales with sector-specific demand profiles. The CCL component is set to zero for the 30% of consumers assumed to hold REGO certificates, reflecting the current market penetration of renewable electricity certificates among UK commercial buyers.</w:t>
      </w:r>
    </w:p>
    <w:p>
      <w:pPr>
        <w:spacing w:after="80" w:before="240"/>
      </w:pPr>
      <w:r>
        <w:rPr>
          <w:rFonts w:ascii="Arial" w:cs="Arial" w:eastAsia="Arial" w:hAnsi="Arial"/>
          <w:b/>
          <w:bCs/>
          <w:color w:val="1A1A1A"/>
          <w:sz w:val="22"/>
          <w:szCs w:val="22"/>
        </w:rPr>
        <w:t xml:space="preserve">3.2 Analytical Approach</w:t>
      </w:r>
    </w:p>
    <w:p>
      <w:pPr>
        <w:spacing w:after="80"/>
        <w:jc w:val="left"/>
      </w:pPr>
      <w:r>
        <w:rPr>
          <w:rFonts w:ascii="Times New Roman" w:cs="Times New Roman" w:eastAsia="Times New Roman" w:hAnsi="Times New Roman"/>
          <w:i w:val="false"/>
          <w:iCs w:val="false"/>
          <w:color w:val="333333"/>
          <w:sz w:val="20"/>
          <w:szCs w:val="20"/>
        </w:rPr>
        <w:t xml:space="preserve">The analysis proceeds in five stages:</w:t>
      </w:r>
    </w:p>
    <w:p>
      <w:pPr>
        <w:pStyle w:val="ListParagraph"/>
        <w:numPr>
          <w:ilvl w:val="0"/>
          <w:numId w:val="2"/>
        </w:numPr>
        <w:spacing w:after="80"/>
      </w:pPr>
      <w:r>
        <w:rPr>
          <w:rFonts w:ascii="Times New Roman" w:cs="Times New Roman" w:eastAsia="Times New Roman" w:hAnsi="Times New Roman"/>
          <w:color w:val="333333"/>
          <w:sz w:val="20"/>
          <w:szCs w:val="20"/>
        </w:rPr>
        <w:t xml:space="preserve">Exploratory analysis of consumption distribution and NCC component breakdown by sector</w:t>
      </w:r>
    </w:p>
    <w:p>
      <w:pPr>
        <w:pStyle w:val="ListParagraph"/>
        <w:numPr>
          <w:ilvl w:val="0"/>
          <w:numId w:val="2"/>
        </w:numPr>
        <w:spacing w:after="80"/>
      </w:pPr>
      <w:r>
        <w:rPr>
          <w:rFonts w:ascii="Times New Roman" w:cs="Times New Roman" w:eastAsia="Times New Roman" w:hAnsi="Times New Roman"/>
          <w:color w:val="333333"/>
          <w:sz w:val="20"/>
          <w:szCs w:val="20"/>
        </w:rPr>
        <w:t xml:space="preserve">Scatter analysis of total NCC against annual consumption, with linear and polynomial regression fits</w:t>
      </w:r>
    </w:p>
    <w:p>
      <w:pPr>
        <w:pStyle w:val="ListParagraph"/>
        <w:numPr>
          <w:ilvl w:val="0"/>
          <w:numId w:val="2"/>
        </w:numPr>
        <w:spacing w:after="80"/>
      </w:pPr>
      <w:r>
        <w:rPr>
          <w:rFonts w:ascii="Times New Roman" w:cs="Times New Roman" w:eastAsia="Times New Roman" w:hAnsi="Times New Roman"/>
          <w:color w:val="333333"/>
          <w:sz w:val="20"/>
          <w:szCs w:val="20"/>
        </w:rPr>
        <w:t xml:space="preserve">Correlation analysis using both Pearson r (linear correlation) and Spearman ρ (rank correlation)</w:t>
      </w:r>
    </w:p>
    <w:p>
      <w:pPr>
        <w:pStyle w:val="ListParagraph"/>
        <w:numPr>
          <w:ilvl w:val="0"/>
          <w:numId w:val="2"/>
        </w:numPr>
        <w:spacing w:after="80"/>
      </w:pPr>
      <w:r>
        <w:rPr>
          <w:rFonts w:ascii="Times New Roman" w:cs="Times New Roman" w:eastAsia="Times New Roman" w:hAnsi="Times New Roman"/>
          <w:color w:val="333333"/>
          <w:sz w:val="20"/>
          <w:szCs w:val="20"/>
        </w:rPr>
        <w:t xml:space="preserve">Component-level correlation to identify which charge drives the non-linearity</w:t>
      </w:r>
    </w:p>
    <w:p>
      <w:pPr>
        <w:pStyle w:val="ListParagraph"/>
        <w:numPr>
          <w:ilvl w:val="0"/>
          <w:numId w:val="2"/>
        </w:numPr>
        <w:spacing w:after="80"/>
      </w:pPr>
      <w:r>
        <w:rPr>
          <w:rFonts w:ascii="Times New Roman" w:cs="Times New Roman" w:eastAsia="Times New Roman" w:hAnsi="Times New Roman"/>
          <w:color w:val="333333"/>
          <w:sz w:val="20"/>
          <w:szCs w:val="20"/>
        </w:rPr>
        <w:t xml:space="preserve">Practical implications for P2P energy platforms framed around the commodity vs. NCC bill split</w:t>
      </w:r>
    </w:p>
    <w:p>
      <w:pPr>
        <w:spacing w:after="80"/>
      </w:pPr>
    </w:p>
    <w:p>
      <w:pPr>
        <w:spacing w:after="140"/>
        <w:jc w:val="both"/>
      </w:pPr>
      <w:r>
        <w:rPr>
          <w:rFonts w:ascii="Times New Roman" w:cs="Times New Roman" w:eastAsia="Times New Roman" w:hAnsi="Times New Roman"/>
          <w:i w:val="false"/>
          <w:iCs w:val="false"/>
          <w:color w:val="333333"/>
          <w:sz w:val="20"/>
          <w:szCs w:val="20"/>
        </w:rPr>
        <w:t xml:space="preserve">Python was used throughout, with Pandas and NumPy for data processing, Scikit-Learn for regression modelling, SciPy for statistical tests, and Matplotlib/Seaborn for visualisation. All code is available in the accompanying Jupyter Notebook.</w:t>
      </w:r>
    </w:p>
    <w:p>
      <w:pPr>
        <w:pBdr>
          <w:bottom w:val="single" w:color="1B3A6B" w:sz="6" w:space="4"/>
        </w:pBdr>
        <w:spacing w:after="120" w:before="320"/>
      </w:pPr>
      <w:r>
        <w:rPr>
          <w:rFonts w:ascii="Arial" w:cs="Arial" w:eastAsia="Arial" w:hAnsi="Arial"/>
          <w:b/>
          <w:bCs/>
          <w:caps/>
          <w:color w:val="1B3A6B"/>
          <w:sz w:val="26"/>
          <w:szCs w:val="26"/>
        </w:rPr>
        <w:t xml:space="preserve">4. Findings</w:t>
      </w:r>
    </w:p>
    <w:p>
      <w:pPr>
        <w:spacing w:after="80" w:before="240"/>
      </w:pPr>
      <w:r>
        <w:rPr>
          <w:rFonts w:ascii="Arial" w:cs="Arial" w:eastAsia="Arial" w:hAnsi="Arial"/>
          <w:b/>
          <w:bCs/>
          <w:color w:val="1A1A1A"/>
          <w:sz w:val="22"/>
          <w:szCs w:val="22"/>
        </w:rPr>
        <w:t xml:space="preserve">4.1 Consumption and NCC Distribution</w:t>
      </w:r>
    </w:p>
    <w:p>
      <w:pPr>
        <w:spacing w:after="140"/>
        <w:jc w:val="both"/>
      </w:pPr>
      <w:r>
        <w:rPr>
          <w:rFonts w:ascii="Times New Roman" w:cs="Times New Roman" w:eastAsia="Times New Roman" w:hAnsi="Times New Roman"/>
          <w:i w:val="false"/>
          <w:iCs w:val="false"/>
          <w:color w:val="333333"/>
          <w:sz w:val="20"/>
          <w:szCs w:val="20"/>
        </w:rPr>
        <w:t xml:space="preserve">Annual consumption across the 80-consumer dataset ranges from approximately 9,600 kWh (a small retail unit) to 419,000 kWh (a large manufacturing facility), with a median of around 99,000 kWh. The distribution is right-skewed, reflecting the real-world pattern where a relatively small number of high-consumption industrial consumers account for a disproportionate share of total energy use.</w:t>
      </w:r>
    </w:p>
    <w:p>
      <w:pPr>
        <w:spacing w:after="140"/>
        <w:jc w:val="both"/>
      </w:pPr>
      <w:r>
        <w:rPr>
          <w:rFonts w:ascii="Times New Roman" w:cs="Times New Roman" w:eastAsia="Times New Roman" w:hAnsi="Times New Roman"/>
          <w:i w:val="false"/>
          <w:iCs w:val="false"/>
          <w:color w:val="333333"/>
          <w:sz w:val="20"/>
          <w:szCs w:val="20"/>
        </w:rPr>
        <w:t xml:space="preserve">In terms of NCC components, the Renewables Obligation and VAT are the two largest cost items on average. However, TNUoS exhibits the highest variance relative to its mean, confirming that Triad exposure creates significant unpredictability in transmission charges — particularly for consumers in manufacturing and logistics.</w:t>
      </w:r>
    </w:p>
    <w:p>
      <w:pPr>
        <w:spacing w:after="80" w:before="240"/>
      </w:pPr>
      <w:r>
        <w:rPr>
          <w:rFonts w:ascii="Arial" w:cs="Arial" w:eastAsia="Arial" w:hAnsi="Arial"/>
          <w:b/>
          <w:bCs/>
          <w:color w:val="1A1A1A"/>
          <w:sz w:val="22"/>
          <w:szCs w:val="22"/>
        </w:rPr>
        <w:t xml:space="preserve">4.2 Correlation: Total NCC vs Volume</w:t>
      </w:r>
    </w:p>
    <w:p>
      <w:pPr>
        <w:spacing w:after="140"/>
        <w:jc w:val="both"/>
      </w:pPr>
      <w:r>
        <w:rPr>
          <w:rFonts w:ascii="Times New Roman" w:cs="Times New Roman" w:eastAsia="Times New Roman" w:hAnsi="Times New Roman"/>
          <w:i w:val="false"/>
          <w:iCs w:val="false"/>
          <w:color w:val="333333"/>
          <w:sz w:val="20"/>
          <w:szCs w:val="20"/>
        </w:rPr>
        <w:t xml:space="preserve">The primary analysis finds a strong positive correlation between annual consumption volume and total NCC expenditure. The Pearson correlation coefficient is 0.97 (p &lt; 0.001), and the Spearman rank correlation is similarly high at 0.96. Both are statistically significant at the 0.1% level.</w:t>
      </w:r>
    </w:p>
    <w:p>
      <w:pPr>
        <w:spacing w:after="140"/>
        <w:jc w:val="both"/>
      </w:pPr>
      <w:r>
        <w:rPr>
          <w:rFonts w:ascii="Times New Roman" w:cs="Times New Roman" w:eastAsia="Times New Roman" w:hAnsi="Times New Roman"/>
          <w:i w:val="false"/>
          <w:iCs w:val="false"/>
          <w:color w:val="333333"/>
          <w:sz w:val="20"/>
          <w:szCs w:val="20"/>
        </w:rPr>
        <w:t xml:space="preserve">Critically, a second-degree polynomial regression model fits the data meaningfully better than a linear model (R² = 0.978 vs 0.944). The polynomial term is positive, indicating that costs accelerate at higher consumption levels rather than growing proportionally. This is the central finding of the analysis.</w:t>
      </w:r>
    </w:p>
    <w:p>
      <w:pPr>
        <w:spacing w:after="80" w:before="240"/>
      </w:pPr>
      <w:r>
        <w:rPr>
          <w:rFonts w:ascii="Arial" w:cs="Arial" w:eastAsia="Arial" w:hAnsi="Arial"/>
          <w:b/>
          <w:bCs/>
          <w:color w:val="1A1A1A"/>
          <w:sz w:val="22"/>
          <w:szCs w:val="22"/>
        </w:rPr>
        <w:t xml:space="preserve">4.3 The NCC Rate Non-Linearity</w:t>
      </w:r>
    </w:p>
    <w:p>
      <w:pPr>
        <w:spacing w:after="140"/>
        <w:jc w:val="both"/>
      </w:pPr>
      <w:r>
        <w:rPr>
          <w:rFonts w:ascii="Times New Roman" w:cs="Times New Roman" w:eastAsia="Times New Roman" w:hAnsi="Times New Roman"/>
          <w:i w:val="false"/>
          <w:iCs w:val="false"/>
          <w:color w:val="333333"/>
          <w:sz w:val="20"/>
          <w:szCs w:val="20"/>
        </w:rPr>
        <w:t xml:space="preserve">The most practically significant finding emerges when NCC expenditure is expressed as a rate per unit consumed (pence per kWh) rather than in absolute terms. If NCCs scaled proportionally, this rate would be roughly constant regardless of consumption level. Instead, the analysis reveals a clear upward trend: small consumers (below 50,000 kWh/year) pay an average of approximately 7.8p/kWh in NCCs, while large consumers (above 300,000 kWh/year) pay over 11p/kWh.</w:t>
      </w:r>
    </w:p>
    <w:p>
      <w:pPr>
        <w:spacing w:after="140"/>
        <w:jc w:val="both"/>
      </w:pPr>
      <w:r>
        <w:rPr>
          <w:rFonts w:ascii="Times New Roman" w:cs="Times New Roman" w:eastAsia="Times New Roman" w:hAnsi="Times New Roman"/>
          <w:i w:val="false"/>
          <w:iCs w:val="false"/>
          <w:color w:val="333333"/>
          <w:sz w:val="20"/>
          <w:szCs w:val="20"/>
        </w:rPr>
        <w:t xml:space="preserve">This represents a unit cost premium of roughly 40% for large consumers versus small ones — solely from the non-commodity component of the bill, before any commodity cost differences are considered. The implication is counter-intuitive: in UK electricity markets, larger consumption volumes attract higher unit costs in the regulated portion of the bill, inverting the economies of scale that apply in most other commercial purchasing contexts.</w:t>
      </w:r>
    </w:p>
    <w:p>
      <w:pPr>
        <w:spacing w:after="80" w:before="240"/>
      </w:pPr>
      <w:r>
        <w:rPr>
          <w:rFonts w:ascii="Arial" w:cs="Arial" w:eastAsia="Arial" w:hAnsi="Arial"/>
          <w:b/>
          <w:bCs/>
          <w:color w:val="1A1A1A"/>
          <w:sz w:val="22"/>
          <w:szCs w:val="22"/>
        </w:rPr>
        <w:t xml:space="preserve">4.4 TNUoS as the Primary Driver</w:t>
      </w:r>
    </w:p>
    <w:p>
      <w:pPr>
        <w:spacing w:after="140"/>
        <w:jc w:val="both"/>
      </w:pPr>
      <w:r>
        <w:rPr>
          <w:rFonts w:ascii="Times New Roman" w:cs="Times New Roman" w:eastAsia="Times New Roman" w:hAnsi="Times New Roman"/>
          <w:i w:val="false"/>
          <w:iCs w:val="false"/>
          <w:color w:val="333333"/>
          <w:sz w:val="20"/>
          <w:szCs w:val="20"/>
        </w:rPr>
        <w:t xml:space="preserve">Component-level correlation analysis identifies TNUoS as the primary driver of the non-linear relationship. While DUoS, BSUoS, Capacity Market, and RO/FiT all correlate strongly with consumption (r &gt; 0.95), these charges scale relatively proportionally. TNUoS, by contrast, shows the highest scatter relative to its trend line, reflecting the Triad exposure component that creates bill variability independent of absolute consumption level.</w:t>
      </w:r>
    </w:p>
    <w:p>
      <w:pPr>
        <w:spacing w:after="140"/>
        <w:jc w:val="both"/>
      </w:pPr>
      <w:r>
        <w:rPr>
          <w:rFonts w:ascii="Times New Roman" w:cs="Times New Roman" w:eastAsia="Times New Roman" w:hAnsi="Times New Roman"/>
          <w:i w:val="false"/>
          <w:iCs w:val="false"/>
          <w:color w:val="333333"/>
          <w:sz w:val="20"/>
          <w:szCs w:val="20"/>
        </w:rPr>
        <w:t xml:space="preserve">Two consumers with identical annual consumption figures can face TNUoS bills differing by thousands of pounds depending on whether they happened to be operating at capacity during the three relevant winter half-hours. This unpredictability has spawned an entire sub-industry of Triad avoidance consultancy, demand response services, and grid notification systems.</w:t>
      </w:r>
    </w:p>
    <w:p>
      <w:pPr>
        <w:spacing w:after="80" w:before="240"/>
      </w:pPr>
      <w:r>
        <w:rPr>
          <w:rFonts w:ascii="Arial" w:cs="Arial" w:eastAsia="Arial" w:hAnsi="Arial"/>
          <w:b/>
          <w:bCs/>
          <w:color w:val="1A1A1A"/>
          <w:sz w:val="22"/>
          <w:szCs w:val="22"/>
        </w:rPr>
        <w:t xml:space="preserve">4.5 The REGO Effect</w:t>
      </w:r>
    </w:p>
    <w:p>
      <w:pPr>
        <w:spacing w:after="140"/>
        <w:jc w:val="both"/>
      </w:pPr>
      <w:r>
        <w:rPr>
          <w:rFonts w:ascii="Times New Roman" w:cs="Times New Roman" w:eastAsia="Times New Roman" w:hAnsi="Times New Roman"/>
          <w:i w:val="false"/>
          <w:iCs w:val="false"/>
          <w:color w:val="333333"/>
          <w:sz w:val="20"/>
          <w:szCs w:val="20"/>
        </w:rPr>
        <w:t xml:space="preserve">Consumers holding REGO certificates are exempt from the Climate Change Levy, which currently stands at 0.775p/kWh for commercial electricity. The analysis confirms that REGO holders pay consistently lower NCC rates across all consumption levels — a saving of approximately 0.93p/kWh on average when CCL exemption and associated VAT relief are combined.</w:t>
      </w:r>
    </w:p>
    <w:p>
      <w:pPr>
        <w:spacing w:after="140"/>
        <w:jc w:val="both"/>
      </w:pPr>
      <w:r>
        <w:rPr>
          <w:rFonts w:ascii="Times New Roman" w:cs="Times New Roman" w:eastAsia="Times New Roman" w:hAnsi="Times New Roman"/>
          <w:i w:val="false"/>
          <w:iCs w:val="false"/>
          <w:color w:val="333333"/>
          <w:sz w:val="20"/>
          <w:szCs w:val="20"/>
        </w:rPr>
        <w:t xml:space="preserve">However, REGO certification does not address the Triad-driven non-linearity. The upward curve in NCC rate versus consumption is equally present in both REGO and non-REGO consumer populations. This suggests that while renewable energy certification provides a meaningful but modest NCC reduction, it is not a solution to the structural disadvantage faced by high-volume commercial consumers.</w:t>
      </w:r>
    </w:p>
    <w:p>
      <w:pPr>
        <w:spacing w:after="80" w:before="240"/>
      </w:pPr>
      <w:r>
        <w:rPr>
          <w:rFonts w:ascii="Arial" w:cs="Arial" w:eastAsia="Arial" w:hAnsi="Arial"/>
          <w:b/>
          <w:bCs/>
          <w:color w:val="1A1A1A"/>
          <w:sz w:val="22"/>
          <w:szCs w:val="22"/>
        </w:rPr>
        <w:t xml:space="preserve">4.6 Implications for P2P Energy Platforms</w:t>
      </w:r>
    </w:p>
    <w:p>
      <w:pPr>
        <w:spacing w:after="140"/>
        <w:jc w:val="both"/>
      </w:pPr>
      <w:r>
        <w:rPr>
          <w:rFonts w:ascii="Times New Roman" w:cs="Times New Roman" w:eastAsia="Times New Roman" w:hAnsi="Times New Roman"/>
          <w:i w:val="false"/>
          <w:iCs w:val="false"/>
          <w:color w:val="333333"/>
          <w:sz w:val="20"/>
          <w:szCs w:val="20"/>
        </w:rPr>
        <w:t xml:space="preserve">The bill split analysis reveals that NCCs represent approximately 47% of the average commercial electricity bill across this dataset. This figure is consistent with published industry estimates for UK commercial consumers in 2025/26.</w:t>
      </w:r>
    </w:p>
    <w:p>
      <w:pPr>
        <w:spacing w:after="140"/>
        <w:jc w:val="both"/>
      </w:pPr>
      <w:r>
        <w:rPr>
          <w:rFonts w:ascii="Times New Roman" w:cs="Times New Roman" w:eastAsia="Times New Roman" w:hAnsi="Times New Roman"/>
          <w:i w:val="false"/>
          <w:iCs w:val="false"/>
          <w:color w:val="333333"/>
          <w:sz w:val="20"/>
          <w:szCs w:val="20"/>
        </w:rPr>
        <w:t xml:space="preserve">For peer-to-peer energy platforms, this has a direct practical implication: P2P trading reduces the commodity portion of the bill but leaves the NCC portion unchanged. Regardless of whether energy is sourced from a local solar farm or the national wholesale market, the consumer still pays full DUoS, TNUoS, BSUoS, and other regulated charges on every kilowatt-hour consumed. This sets a structural ceiling on P2P savings of approximately 50–55% of the total bill.</w:t>
      </w:r>
    </w:p>
    <w:p>
      <w:pPr>
        <w:spacing w:after="140"/>
        <w:jc w:val="both"/>
      </w:pPr>
      <w:r>
        <w:rPr>
          <w:rFonts w:ascii="Times New Roman" w:cs="Times New Roman" w:eastAsia="Times New Roman" w:hAnsi="Times New Roman"/>
          <w:i w:val="false"/>
          <w:iCs w:val="false"/>
          <w:color w:val="333333"/>
          <w:sz w:val="20"/>
          <w:szCs w:val="20"/>
        </w:rPr>
        <w:t xml:space="preserve">Understanding this ceiling is important for two reasons. First, it allows P2P platforms to make accurate, defensible claims about achievable savings without overpromising to prospective clients. Second, it highlights a complementary opportunity: combining P2P commodity cost reduction with active Triad avoidance strategies (reducing consumption during predicted Triad periods) would create a more complete value proposition, particularly for the high-volume commercial and industrial clients that UrbanChain and similar platforms are increasingly targeting.</w:t>
      </w:r>
    </w:p>
    <w:p>
      <w:pPr>
        <w:pBdr>
          <w:bottom w:val="single" w:color="1B3A6B" w:sz="6" w:space="4"/>
        </w:pBdr>
        <w:spacing w:after="120" w:before="320"/>
      </w:pPr>
      <w:r>
        <w:rPr>
          <w:rFonts w:ascii="Arial" w:cs="Arial" w:eastAsia="Arial" w:hAnsi="Arial"/>
          <w:b/>
          <w:bCs/>
          <w:caps/>
          <w:color w:val="1B3A6B"/>
          <w:sz w:val="26"/>
          <w:szCs w:val="26"/>
        </w:rPr>
        <w:t xml:space="preserve">5. Conclusions</w:t>
      </w:r>
    </w:p>
    <w:p>
      <w:pPr>
        <w:spacing w:after="140"/>
        <w:jc w:val="both"/>
      </w:pPr>
      <w:r>
        <w:rPr>
          <w:rFonts w:ascii="Times New Roman" w:cs="Times New Roman" w:eastAsia="Times New Roman" w:hAnsi="Times New Roman"/>
          <w:i w:val="false"/>
          <w:iCs w:val="false"/>
          <w:color w:val="333333"/>
          <w:sz w:val="20"/>
          <w:szCs w:val="20"/>
        </w:rPr>
        <w:t xml:space="preserve">This analysis set out to determine whether non-commodity costs in UK commercial electricity billing scale proportionally with consumption volume. The answer is clearly no.</w:t>
      </w:r>
    </w:p>
    <w:p>
      <w:pPr>
        <w:spacing w:after="140"/>
        <w:jc w:val="both"/>
      </w:pPr>
      <w:r>
        <w:rPr>
          <w:rFonts w:ascii="Times New Roman" w:cs="Times New Roman" w:eastAsia="Times New Roman" w:hAnsi="Times New Roman"/>
          <w:i w:val="false"/>
          <w:iCs w:val="false"/>
          <w:color w:val="333333"/>
          <w:sz w:val="20"/>
          <w:szCs w:val="20"/>
        </w:rPr>
        <w:t xml:space="preserve">Not only do total NCCs grow strongly with volume (r = 0.97), but they grow faster than volume — a polynomial relationship that disadvantages large consumers on a per-unit basis. Small businesses pay approximately 7.8p/kWh in NCCs; large industrial consumers pay over 11p/kWh. The Triad mechanism in TNUoS is the structural driver of this non-linearity.</w:t>
      </w:r>
    </w:p>
    <w:p>
      <w:pPr>
        <w:spacing w:after="140"/>
        <w:jc w:val="both"/>
      </w:pPr>
      <w:r>
        <w:rPr>
          <w:rFonts w:ascii="Times New Roman" w:cs="Times New Roman" w:eastAsia="Times New Roman" w:hAnsi="Times New Roman"/>
          <w:i w:val="false"/>
          <w:iCs w:val="false"/>
          <w:color w:val="333333"/>
          <w:sz w:val="20"/>
          <w:szCs w:val="20"/>
        </w:rPr>
        <w:t xml:space="preserve">For P2P energy platforms, the practical upshot is that NCC charges represent a fixed ceiling on what direct trading arrangements can save a commercial client. Approximately half of a commercial electricity bill is, in effect, non-negotiable regardless of energy source. Accurate understanding of this ceiling is essential for honest client engagement and for identifying where complementary strategies — such as Triad avoidance and demand flexibility — could extend the value proposition beyond commodity cost reduction alone.</w:t>
      </w:r>
    </w:p>
    <w:p>
      <w:pPr>
        <w:pBdr>
          <w:bottom w:val="single" w:color="1B3A6B" w:sz="6" w:space="4"/>
        </w:pBdr>
        <w:spacing w:after="120" w:before="320"/>
      </w:pPr>
      <w:r>
        <w:rPr>
          <w:rFonts w:ascii="Arial" w:cs="Arial" w:eastAsia="Arial" w:hAnsi="Arial"/>
          <w:b/>
          <w:bCs/>
          <w:caps/>
          <w:color w:val="1B3A6B"/>
          <w:sz w:val="26"/>
          <w:szCs w:val="26"/>
        </w:rPr>
        <w:t xml:space="preserve">References</w:t>
      </w:r>
    </w:p>
    <w:p>
      <w:pPr>
        <w:spacing w:after="140"/>
        <w:jc w:val="left"/>
      </w:pPr>
      <w:r>
        <w:rPr>
          <w:rFonts w:ascii="Times New Roman" w:cs="Times New Roman" w:eastAsia="Times New Roman" w:hAnsi="Times New Roman"/>
          <w:i/>
          <w:iCs/>
          <w:color w:val="333333"/>
          <w:sz w:val="20"/>
          <w:szCs w:val="20"/>
        </w:rPr>
        <w:t xml:space="preserve">Ofgem (2025). ‘Electricity network charging: a summary of how charges work.’ Available at: ofgem.gov.uk</w:t>
      </w:r>
    </w:p>
    <w:p>
      <w:pPr>
        <w:spacing w:after="140"/>
        <w:jc w:val="left"/>
      </w:pPr>
      <w:r>
        <w:rPr>
          <w:rFonts w:ascii="Times New Roman" w:cs="Times New Roman" w:eastAsia="Times New Roman" w:hAnsi="Times New Roman"/>
          <w:i/>
          <w:iCs/>
          <w:color w:val="333333"/>
          <w:sz w:val="20"/>
          <w:szCs w:val="20"/>
        </w:rPr>
        <w:t xml:space="preserve">National Grid ESO (2025). ‘Triads: guidance for electricity suppliers and customers.’ Available at: nationalgrideso.com</w:t>
      </w:r>
    </w:p>
    <w:p>
      <w:pPr>
        <w:spacing w:after="140"/>
        <w:jc w:val="left"/>
      </w:pPr>
      <w:r>
        <w:rPr>
          <w:rFonts w:ascii="Times New Roman" w:cs="Times New Roman" w:eastAsia="Times New Roman" w:hAnsi="Times New Roman"/>
          <w:i/>
          <w:iCs/>
          <w:color w:val="333333"/>
          <w:sz w:val="20"/>
          <w:szCs w:val="20"/>
        </w:rPr>
        <w:t xml:space="preserve">HMRC (2025). ‘Climate Change Levy rates.’ Available at: gov.uk/guidance/climate-change-levy</w:t>
      </w:r>
    </w:p>
    <w:p>
      <w:pPr>
        <w:spacing w:after="140"/>
        <w:jc w:val="left"/>
      </w:pPr>
      <w:r>
        <w:rPr>
          <w:rFonts w:ascii="Times New Roman" w:cs="Times New Roman" w:eastAsia="Times New Roman" w:hAnsi="Times New Roman"/>
          <w:i/>
          <w:iCs/>
          <w:color w:val="333333"/>
          <w:sz w:val="20"/>
          <w:szCs w:val="20"/>
        </w:rPr>
        <w:t xml:space="preserve">Elexon (2025). ‘BSC Documentation: Settlement and balancing mechanism reporting.’ Available at: elexon.co.uk</w:t>
      </w:r>
    </w:p>
    <w:p>
      <w:pPr>
        <w:spacing w:after="140"/>
        <w:jc w:val="left"/>
      </w:pPr>
      <w:r>
        <w:rPr>
          <w:rFonts w:ascii="Times New Roman" w:cs="Times New Roman" w:eastAsia="Times New Roman" w:hAnsi="Times New Roman"/>
          <w:i/>
          <w:iCs/>
          <w:color w:val="333333"/>
          <w:sz w:val="20"/>
          <w:szCs w:val="20"/>
        </w:rPr>
        <w:t xml:space="preserve">DESNZ (2025). ‘UK Energy in Brief 2025.’ Department for Energy Security and Net Zero.</w:t>
      </w:r>
    </w:p>
    <w:sectPr>
      <w:pgSz w:w="11906" w:h="16838"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333333"/>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2026-05-05T19:01:22.343Z</dcterms:created>
  <dcterms:modified xsi:type="dcterms:W3CDTF">2026-05-05T19:01:22.343Z</dcterms:modified>
</cp:coreProperties>
</file>

<file path=docProps/custom.xml><?xml version="1.0" encoding="utf-8"?>
<Properties xmlns="http://schemas.openxmlformats.org/officeDocument/2006/custom-properties" xmlns:vt="http://schemas.openxmlformats.org/officeDocument/2006/docPropsVTypes"/>
</file>