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d4ed8"/>
          <w:sz w:val="64"/>
          <w:szCs w:val="64"/>
        </w:rPr>
        <w:t xml:space="preserve">Rapid Remedy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Product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Systematic Benchmarking of Vector Search Architectures for Medical Decision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Final — Week 15 Submission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Software Engineering — Spring 2026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 NUCES, Karachi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Hadi Armaghan (23K-0041) · Aliyan Munawwar (23I-0641) · Sidhart Sami (23I-2527) · Abdul Rafy (23P-0560)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Performance Optimization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Rapid Remedy is a Retrieval-Augmented Generation (RAG) system built for clinical decision support. A clinician inputs patient symptoms; the system queries a vector database of medical literature (PubMed abstracts, Merck Manuals), retrieves semantically relevant passages, and passes them to a large language model to generate structured clinical suggestions — covering likely conditions, diagnostic procedures, pharmacological interventions, and immediate red flags.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 project's primary contribution is not just building a working RAG system, but systematically benchmarking retrieval architectures to determine the most efficient configuration for high-stakes medical retrieval — where a false negative can mean a missed diagnosis.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Problem Statement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Deploying RAG for healthcare introduces a problem not present in general-purpose applications: the Retrieval Gap. Standard vector databases use Approximate Nearest Neighbor (ANN) search to achieve sub-linear query times, but ANN searches can produce false negatives — missing a life-saving procedure that exists in the database because the approximate search failed to surface it.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Conversely, exact search guarantees recall but is too slow for real-time clinical use. The engineering problem is: which indexing strategy and retrieval pipeline achieves the best balance of recall and latency for dense medical text?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There is currently a lack of empirical data on how chunk size, indexing type (HNSW vs IVF-Flat), and optimization layers (reranking, compression, HyDE, MMR) interact to affect the accuracy of medical recommendations. Rapid Remedy is the benchmark that fills this gap.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Goals &amp; Non-Goals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Benchmark retrieval architectures: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Empirically compare HNSW vs IVF-Flat indexing on medical corpora with real latency and recall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Benchmark chunking strategies: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Evaluate fixed-size, semantic, and recursive chunking on retrieval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Implement optimization pipeline: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Build a composable pipeline of reranking, context compression, HyDE, and MMR that can be toggled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Live comparison dashboard: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Build a Doctor's Dashboard showing naive vs optimized vs HyDE+MMR pipelines side by side with live benchmark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Quantify tradeoffs: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Produce a benchmark report with latency (P99), token usage, and recall data across all configurations.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Patient record management — Rapid Remedy is not an EHR system. It retrieves medical literature, not individual patient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Definitive diagnosis — the system explicitly disclaims diagnostic authority. It is a clinical decision support tool, not a replacement for physician judgment.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Real-time data — the corpus is a static snapshot of PubMed abstracts. Live medical database updates are out of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Mobile application — the frontend is a web dashboard. Native iOS/Android is not in scope.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Primary User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Clinicians and medical residents who need rapid access to relevant medical literature for differential diagnosis and treatment planning. They input symptoms and patient context; they receive a structured suggestion with literature backing.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Secondary User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Medical informatics researchers and software engineers evaluating RAG architectures for healthcare applications. They use the benchmarking dashboard to compare pipeline performance and understand the latency/recall tradeoffs of different configurations.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System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Rapid Remedy follows a decoupled microservices architecture with three independent services orchestrated via Docker Compose.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vector_engine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Python, Sentence Transformers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One-time ingestion: generates embeddings, creates pgvector tables, builds HNSW/IVF-Flat indexes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FastAPI, pgvector, Groq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Serves /query, /health, /stats endpoints. Runs the full RAG pipeline.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Streamlit, Plotly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Doctor's Dashboard UI with session history and benchmark charts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Stores 384-dimensional embeddings and medical abstract metadata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RAG Pipelines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Naive RAG (Baseline)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Raw symptom text is embedded using all-MiniLM-L6-v2 and used to query the vector database via HNSW approximate nearest neighbor search. The top-K results are passed directly to the LLM with no filtering or compression. Serves as the performance baseline.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Optimized 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Cross-Encoder Reranking: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Retrieves 20 candidates, reranks using cross-encoder/ms-marco-MiniLM-L-6-v2, retains the top 10 by relevance score. Eliminates false positives from vector similarity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Context Compression: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Extracts only sentences from each chunk that are semantically relevant to the query using cosine similarity. Reduces token usage sent to the LLM by 20-30%.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Token Budget: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Hard cap of 1,500 tokens for the context window. Chunks are packed greedily until the budget is reached.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6.3 HyDE + MMR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HyDE (Hypothetical Document Embedding):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The LLM first generates a hypothetical PubMed-style clinical abstract for the symptoms. That abstract — not the raw query — is embedded and used for retrieval. Bridges the semantic gap between short symptom strings and dense clinical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MMR (Maximal Marginal Relevance):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After retrieval, applies a diversity filter (lambda=0.7) that balances relevance against inter-chunk similarity. Prevents the LLM from receiving near-duplicate abstracts about the same condition.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Technical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Indexing Impact Analysis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Type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Method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Construction Time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Latency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HNSW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Graph-based ANN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High (one-time)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~12ms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~95% (ANN)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IVF-Flat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Partitioned exact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~18ms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~99% (exact)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Chunking Strategy Comparison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Chunk Size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Fixed-Size Overlay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Token count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512 tokens, 10% overlap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General retrieval baseline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Semantic Chunking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Medical headings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Structured clinical documents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Recursive Character Splitting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Character boundaries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Medical tables and mixed content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7.3 Embedding &amp;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Embedding model: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all-MiniLM-L6-v2 (384 dimensions, fast CPU inference)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Reranking model: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cross-encoder/ms-marco-MiniLM-L-6-v2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LLM: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LLaMA 3.3 70B via Groq API (max_tokens=1024, temperature=0.2)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Vector store: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PostgreSQL 15 with pgvector extension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Optimization Techniques &amp; Design Patterns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Optimization Pipeline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Solved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Cost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Gain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HNSW Indexing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Sub-linear search at scale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~12ms retrieval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 with ~95% recall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Cross-Encoder Reranking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False positives from ANN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+75ms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Higher precision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Context Compression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Excessive token usage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+0ms (CPU)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20-30% token reduction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HyDE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Short query vs dense text mismatch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+900ms (LLM call)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Better recall at scale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MMR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Duplicate chunks in context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+200ms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More diverse context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Design Patterns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Strategy Pattern: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Index type (HNSW vs IVF-Flat) and chunking strategy are interchangeable at runtime without modifying the retrieval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Pipeline Pattern: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Each optimization layer (retrieve → rerank → compress → budget → generate) is an independent, composable stage. Any layer can be toggled via API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Repository Pattern: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pgvector access is abstracted behind a consistent retrieve_chunks() interface regardless of the underlying index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Microservices Architecture: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vector_engine, backend, and dashboard are independently deployable services with no shared state.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Evaluation Metrics (KPIs)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Query Latency (P99)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&lt;150ms retrieval across 100k vectors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Automated benchmark script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Recall @ 10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ANN recall vs exact search baseline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Benchmark script comparing HNSW vs IVF-Flat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Token Savings 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&gt;20% vs naive baseline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tokens_after / tokens_before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Memory Efficiency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MB per 1,000 indexed abstracts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stats during ingestion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pipeline &lt;2,500ms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total_latency_ms from API response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10. Benchmark Results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Results on the medical abstracts dataset with HNSW indexing and semantic chunking: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(ms)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Savings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Retrieval (ms)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HyDE (ms)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Rerank (ms)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(ms)</w:t>
            </w:r>
          </w:p>
        </w:tc>
      </w:tr>
      <w:tr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Naive RAG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1,243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536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0%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12.9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1,229.8</w:t>
            </w:r>
          </w:p>
        </w:tc>
      </w:tr>
      <w:tr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Optimized RAG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1,121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408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100%*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11.8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75.2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1,033.5</w:t>
            </w:r>
          </w:p>
        </w:tc>
      </w:tr>
      <w:tr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HyDE + MMR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2,222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408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100%*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35.6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917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197.3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1,071.7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*Token savings % reflects compression relative to the retrieved candidate set, not the final LLM token count.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10.1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Optimized RAG vs Naive: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24% reduction in tokens sent to LLM, with a slight latency improvement due to more focused context window reducing LLM processing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HyDE overhead: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HyDE introduces ~900ms overhead (one extra Groq API call for hypothesis generation). At the current dataset size (5k abstracts), it retrieves similar chunks to Optimized RAG. Quality gains are expected at 100k+ vectors where short-query recall becomes a real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HNSW vs IVF-Flat: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HNSW achieves ~12ms retrieval vs ~18ms for IVF-Flat. IVF-Flat offers higher recall on exact searches at the cost of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MMR diversity: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With lambda=0.7, MMR balances relevance and diversity effectively. At small dataset sizes, diversity gains are marginal; at scale, this prevents the LLM from receiving redundant context.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11. Implementation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Research &amp; Setup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Sourcing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Cleaned PubMed dataset (5k+ abstracts), embedding generation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pgvector with HNSW/IVF-Flat dual-index, FastAPI server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Reranking, compression, HyDE, MMR layers + automated benchmark scripts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Doctor's Dashboard with 3-way pipeline comparison, session history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Final 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Benchmark report, SRS, UML diagrams, test cases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12. Resource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12.1 Compute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Containerization: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Docker + Docker Compose for service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RAM: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8GB+ recommended for model loading (embedding + reranker models)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12.2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Vector storage: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5GB+ for pgvector embeddings and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~500MB for 5,000+ PubMed abstracts (working_dataset.csv)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12.3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Groq API: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Free tier sufficient for development. Used for LLM inference (LLaMA 3.3 70B) and HyDE hypothesis generation.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13.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Patient record integration: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Extend the system to query structured patient records (allergies, current medications, history) in addition to medical literature — enabling queries like 'is this patient allergic to X given their record?'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Scale testing: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Benchmark at 100k+ vectors to validate HyDE quality gains at production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Continuous ingestion: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Automated pipeline to ingest new PubMed publications daily, with HNSW index updates without full rebuild.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Evaluation dataset: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Build a labeled medical QA dataset to measure Recall@10 against ground truth answers, enabling rigorous accuracy benchmarking.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Multi-modal retrieval: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Incorporate medical imaging metadata and clinical trial data alongside text abstracts.</w:t>
      </w:r>
    </w:p>
    <w:p>
      <w:pPr>
        <w:spacing w:after="0" w:before="400"/>
      </w:pPr>
      <w:r>
        <w:t xml:space="preserve"/>
      </w:r>
    </w:p>
    <w:p>
      <w:pPr>
        <w:pBdr>
          <w:top w:val="single" w:color="e2e8f0" w:sz="2" w:space="12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Rapid Remedy · FAST NUCES Karachi · Software Engineering Spring 2026 · For research purposes only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2026-05-02T08:16:43.881Z</dcterms:created>
  <dcterms:modified xsi:type="dcterms:W3CDTF">2026-05-02T08:16:43.883Z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