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Monitoring &amp; Observability Guide (Review III)</w:t>
      </w:r>
    </w:p>
    <w:p>
      <w:pPr>
        <w:spacing w:after="120"/>
        <w:jc w:val="left"/>
      </w:pPr>
      <w:r>
        <w:t xml:space="preserve">This document outlines the monitoring strategy for the CryptoCompanion platform using </w:t>
      </w:r>
      <w:r>
        <w:rPr>
          <w:b/>
          <w:bCs/>
        </w:rPr>
        <w:t xml:space="preserve">Azure Application Insights</w:t>
      </w:r>
      <w:r>
        <w:t xml:space="preserve"> and </w:t>
      </w:r>
      <w:r>
        <w:rPr>
          <w:b/>
          <w:bCs/>
        </w:rPr>
        <w:t xml:space="preserve">Azure Monitor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Monitoring Stack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Service</w:t>
      </w:r>
      <w:r>
        <w:t xml:space="preserve">: Azure Application Insights (integrated via SDK in </w:t>
      </w:r>
      <w:r>
        <w:rPr>
          <w:rFonts w:ascii="Courier New" w:cs="Courier New" w:eastAsia="Courier New" w:hAnsi="Courier New"/>
          <w:shd w:fill="F1F5F9" w:color="auto" w:val="clear"/>
        </w:rPr>
        <w:t xml:space="preserve">Program.cs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Target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cryptocompanion-api</w:t>
      </w:r>
      <w:r>
        <w:t xml:space="preserve"> (running on AKS).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Dashboard</w:t>
      </w:r>
      <w:r>
        <w:t xml:space="preserve">: Azure Monitor Dashboards.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Three Key Metrics (The "Golden Signals")</w:t>
      </w:r>
    </w:p>
    <w:p>
      <w:pPr>
        <w:pStyle w:val="Heading3"/>
        <w:spacing w:after="200"/>
        <w:jc w:val="left"/>
      </w:pPr>
      <w:r>
        <w:t xml:space="preserve">Metric 1: Request Success Rate (%)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Definition</w:t>
      </w:r>
      <w:r>
        <w:t xml:space="preserve">: The percentage of HTTP 200/201 responses vs 4xx/5xx errors.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Why it Matters</w:t>
      </w:r>
      <w:r>
        <w:t xml:space="preserve">: Gauges the overall health of the API. A drop here indicates a deployment failure or database connectivity issue.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Target</w:t>
      </w:r>
      <w:r>
        <w:t xml:space="preserve">: &gt;99% in production.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Metric 2: Dependency Latency (ms) - OpenAI &amp; Cosmos DB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Definition</w:t>
      </w:r>
      <w:r>
        <w:t xml:space="preserve">: The average time taken for a downstream call to the OpenAI API or Cosmos DB to return.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Why it Matters</w:t>
      </w:r>
      <w:r>
        <w:t xml:space="preserve">: Crypto intelligence relies on fast external data. High latency here directly impacts user experience in the mobile app.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Target</w:t>
      </w:r>
      <w:r>
        <w:t xml:space="preserve">: &lt;2000ms for OpenAI; &lt;10ms for Cosmos DB.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Metric 3: Exception Volume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Definition</w:t>
      </w:r>
      <w:r>
        <w:t xml:space="preserve">: Total number of unhandled exceptions logged in the background workers (</w:t>
      </w:r>
      <w:r>
        <w:rPr>
          <w:rFonts w:ascii="Courier New" w:cs="Courier New" w:eastAsia="Courier New" w:hAnsi="Courier New"/>
          <w:shd w:fill="F1F5F9" w:color="auto" w:val="clear"/>
        </w:rPr>
        <w:t xml:space="preserve">CryptoDataWorker</w:t>
      </w:r>
      <w:r>
        <w:t xml:space="preserve">, etc.).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Why it Matters</w:t>
      </w:r>
      <w:r>
        <w:t xml:space="preserve">: Ensures that our background data engine is consistently fetching new market prices without crashing.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Mocked Alerting Rule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10"/>
        <w:gridCol w:w="3890"/>
        <w:gridCol w:w="31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Alert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Condition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OpenAI Quota Alert</w:t>
            </w:r>
          </w:p>
        </w:tc>
        <w:tc>
          <w:p>
            <w:pPr>
              <w:jc w:val="left"/>
            </w:pPr>
            <w:r>
              <w:t xml:space="preserve">Status Code = 429 (Too Many Requests) OR 500 (Internal Error)</w:t>
            </w:r>
          </w:p>
        </w:tc>
        <w:tc>
          <w:p>
            <w:pPr>
              <w:jc w:val="left"/>
            </w:pPr>
            <w:r>
              <w:t xml:space="preserve">Critical e-mail notification to Team Lead.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SQL Server Timeout</w:t>
            </w:r>
          </w:p>
        </w:tc>
        <w:tc>
          <w:p>
            <w:pPr>
              <w:jc w:val="left"/>
            </w:pPr>
            <w:r>
              <w:t xml:space="preserve">Latency &gt; 30s</w:t>
            </w:r>
          </w:p>
        </w:tc>
        <w:tc>
          <w:p>
            <w:pPr>
              <w:jc w:val="left"/>
            </w:pPr>
            <w:r>
              <w:t xml:space="preserve">Metric-based alert to DevOps team.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Visualizing Data: Application Insights Map</w:t>
      </w:r>
    </w:p>
    <w:p>
      <w:pPr>
        <w:spacing w:after="120"/>
        <w:jc w:val="left"/>
      </w:pPr>
      <w:r>
        <w:t xml:space="preserve">In the Microsoft Azure Portal, the </w:t>
      </w:r>
      <w:r>
        <w:rPr>
          <w:b/>
          <w:bCs/>
        </w:rPr>
        <w:t xml:space="preserve">Application Map</w:t>
      </w:r>
      <w:r>
        <w:t xml:space="preserve"> provides a visual representation of how the CryptoCompanion API communicates with: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Azure SQL Database</w:t>
      </w:r>
      <w:r>
        <w:t xml:space="preserve"> (Structured Portfolios)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Azure Cosmos DB</w:t>
      </w:r>
      <w:r>
        <w:t xml:space="preserve"> (News Aggregator)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Azure OpenAI</w:t>
      </w:r>
      <w:r>
        <w:t xml:space="preserve"> (GenAI Advisor)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Conclusion</w:t>
      </w:r>
    </w:p>
    <w:p>
      <w:pPr>
        <w:spacing w:after="120"/>
        <w:jc w:val="left"/>
      </w:pPr>
      <w:r>
        <w:t xml:space="preserve">With Application Insights, we move from "reactive" to "proactive" engineering—identifying performance bottlenecks before the user ever sees an error.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2026-04-17T10:41:57.162Z</dcterms:created>
  <dcterms:modified xsi:type="dcterms:W3CDTF">2026-04-17T10:41:57.162Z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