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2A52"/>
          <w:sz w:val="56"/>
          <w:szCs w:val="56"/>
        </w:rPr>
        <w:t xml:space="preserve">TalentBridge</w:t>
      </w:r>
    </w:p>
    <w:p>
      <w:pPr>
        <w:spacing w:before="300"/>
        <w:jc w:val="center"/>
      </w:pPr>
      <w:r>
        <w:rPr>
          <w:b/>
          <w:bCs/>
          <w:sz w:val="32"/>
          <w:szCs w:val="32"/>
        </w:rPr>
        <w:t xml:space="preserve">Reflection Report</w:t>
      </w:r>
    </w:p>
    <w:p>
      <w:pPr>
        <w:spacing w:before="400"/>
        <w:jc w:val="center"/>
      </w:pPr>
      <w:r>
        <w:rPr>
          <w:i/>
          <w:iCs/>
          <w:sz w:val="22"/>
          <w:szCs w:val="22"/>
        </w:rPr>
        <w:t xml:space="preserve">Deliverable 5 — Web Technologies Group Project</w:t>
      </w:r>
    </w:p>
    <w:p>
      <w:pPr>
        <w:spacing w:before="100"/>
        <w:jc w:val="center"/>
      </w:pPr>
      <w:r>
        <w:rPr>
          <w:sz w:val="22"/>
          <w:szCs w:val="22"/>
        </w:rPr>
        <w:t xml:space="preserve">Group 6</w:t>
      </w:r>
    </w:p>
    <w:p>
      <w:pPr>
        <w:spacing w:before="100"/>
        <w:jc w:val="center"/>
      </w:pPr>
      <w:r>
        <w:rPr>
          <w:i/>
          <w:iCs/>
          <w:color w:val="666666"/>
          <w:sz w:val="18"/>
          <w:szCs w:val="18"/>
        </w:rPr>
        <w:t xml:space="preserve">Word count: ~1,850</w:t>
      </w:r>
    </w:p>
    <w:p>
      <w:r>
        <w:br w:type="page"/>
      </w:r>
    </w:p>
    <w:p>
      <w:pPr>
        <w:pStyle w:val="Heading1"/>
        <w:spacing w:after="200" w:before="400"/>
      </w:pPr>
      <w:r>
        <w:t xml:space="preserve">Introduction</w:t>
      </w:r>
    </w:p>
    <w:p>
      <w:pPr>
        <w:spacing w:after="200"/>
        <w:jc w:val="both"/>
      </w:pPr>
      <w:r>
        <w:t xml:space="preserve">Building TalentBridge required our team to make a series of architectural decisions under real constraints: a four-person split working across separate modules, a hard course deadline, and — as it turned out — the practical unreliability of free-tier third-party APIs. This report reflects on three decisions that shaped the system most, the tradeoffs we accepted at the time, and what we would do differently with the benefit of hindsight.</w:t>
      </w:r>
    </w:p>
    <w:p>
      <w:pPr>
        <w:pStyle w:val="Heading1"/>
        <w:spacing w:after="200" w:before="400"/>
      </w:pPr>
      <w:r>
        <w:t xml:space="preserve">Decision 1: Splitting the Backend into Four Independently-Buildable Modules</w:t>
      </w:r>
    </w:p>
    <w:p>
      <w:pPr>
        <w:spacing w:after="200"/>
        <w:jc w:val="both"/>
      </w:pPr>
      <w:r>
        <w:t xml:space="preserve">Our first major architectural choice was how to divide a single NestJS backend across four people without four people stepping on each other's code. Rather than splitting by layer (e.g. one person on controllers, one on services, one on database), we split by vertical domain: authentication and foundation, job postings and the candidate pipeline, AI integration, and the frontend. Each module was scoped so that it could be built, tested, and reasoned about largely in isolation, provided it imported a small, fixed set of shared contracts — the RolesGuard, the JWT decorators, and the entity field names — from whichever module came before it in the sequence.</w:t>
      </w:r>
    </w:p>
    <w:p>
      <w:pPr>
        <w:spacing w:after="200"/>
        <w:jc w:val="both"/>
      </w:pPr>
      <w:r>
        <w:t xml:space="preserve">The tradeoff here was between parallelism and safety. A layer-based split would have let all four of us start on day one, but it would have meant constant merge conflicts and unclear ownership of any given bug. Our domain-based split solved that problem, but at the cost of a strict build order: authentication had to be finished and merged before the pipeline module could import its guards, and the pipeline module had to expose a stable Application entity (specifically the cvExtractedText and aiScore fields) before the AI module could be built against it. In effect, we traded some parallel velocity for a predictable dependency chain, which made debugging far easier once things went live, because a failure in the AI module could almost never be traced back to a bug in authentication.</w:t>
      </w:r>
    </w:p>
    <w:p>
      <w:pPr>
        <w:spacing w:after="200"/>
        <w:jc w:val="both"/>
      </w:pPr>
      <w:r>
        <w:t xml:space="preserve">What we would change: we underestimated how much this sequencing would compress our actual working time. Because Module 2 could not meaningfully start until Module 1 was merged, and Module 3 could not start until Module 2's entity shapes were locked in, three of our four modules were effectively serial rather than parallel, even though four people were technically "available" from day one. A better approach next time would be to draft and freeze the full entity schema and shared contracts (a lightweight version of what we later formalized as CONTRACTS.md) before any code was written at all, so that all four modules could be developed in parallel against an agreed-upon interface, with integration happening at the end rather than dictating the middle of the timeline.</w:t>
      </w:r>
    </w:p>
    <w:p>
      <w:pPr>
        <w:pStyle w:val="Heading1"/>
        <w:spacing w:after="200" w:before="400"/>
      </w:pPr>
      <w:r>
        <w:t xml:space="preserve">Decision 2: Designing the AI Layer Around Provider Failure, Not Just Provider Success</w:t>
      </w:r>
    </w:p>
    <w:p>
      <w:pPr>
        <w:spacing w:after="200"/>
        <w:jc w:val="both"/>
      </w:pPr>
      <w:r>
        <w:t xml:space="preserve">The second major decision was architectural rather than organizational: how much the system should assume a third-party AI provider would actually be available when called. Early in the project we designed the AI proxy module so that every feature — the job description generator, the CV scorer, the interview question suggester, and the offer letter drafter — had an explicit, typed fallback path, distinct from a generic error. A failed AI call does not throw an unhandled exception up to the user; it returns a structured response with an isFallback flag and, where relevant, a placeholder the human can complete manually.</w:t>
      </w:r>
    </w:p>
    <w:p>
      <w:pPr>
        <w:spacing w:after="200"/>
        <w:jc w:val="both"/>
      </w:pPr>
      <w:r>
        <w:t xml:space="preserve">This decision was made speculatively, based on general caution rather than any specific incident. It turned out to be the single most valuable architectural choice in the entire project, because we later experienced, in sequence: a model being silently deprecated for new API users (gemini-2.5-flash-lite returning a 404 despite the dashboard still showing quota for it), a rate limit that reset far more slowly than expected, and — during a brief experiment switching providers to OpenRouter for its higher advertised free-token allowance — a shared, globally-contended free-tier quota that throttled us on the very first request of a session. Each of these would have been a hard outage for a system that assumed the AI call simply worked. Because we had built the fallback path in from the start, each of these incidents degraded a single feature (a form recruiter had to fill manually, a CV that needed manual review) rather than breaking the platform end-to-end.</w:t>
      </w:r>
    </w:p>
    <w:p>
      <w:pPr>
        <w:spacing w:after="200"/>
        <w:jc w:val="both"/>
      </w:pPr>
      <w:r>
        <w:t xml:space="preserve">The tradeoff we accepted was development time and code complexity: every AI feature needed a retry policy, a timeout, an error classifier distinguishing rate limits from genuine failures, and a fallback response shape, roughly doubling the code in the AI service compared to a naive direct call. It also meant our error logging initially only surfaced a generic reason string rather than the underlying error message, which cost us real debugging time later, since we could see that calls were failing without being able to see why until we patched the logging to expose the full caught error.</w:t>
      </w:r>
    </w:p>
    <w:p>
      <w:pPr>
        <w:spacing w:after="200"/>
        <w:jc w:val="both"/>
      </w:pPr>
      <w:r>
        <w:t xml:space="preserve">What we would change: we would build the detailed error logging (the full caught exception, not just a classified reason) from the very first version of the AI service, rather than retrofitting it after multiple rounds of guessing at root causes from generic log lines. We would also treat the model identifier itself as a piece of configuration to verify against the provider's live model list at startup, rather than a string we simply trusted, since two of our three outages were caused by a previously-valid model ID silently becoming invalid without any change on our side.</w:t>
      </w:r>
    </w:p>
    <w:p>
      <w:pPr>
        <w:pStyle w:val="Heading1"/>
        <w:spacing w:after="200" w:before="400"/>
      </w:pPr>
      <w:r>
        <w:t xml:space="preserve">Decision 3: Real-Time Notifications via WebSocket Rather Than Polling</w:t>
      </w:r>
    </w:p>
    <w:p>
      <w:pPr>
        <w:spacing w:after="200"/>
        <w:jc w:val="both"/>
      </w:pPr>
      <w:r>
        <w:t xml:space="preserve">The third decision concerned how candidates and hiring managers would learn about pipeline changes: a WebSocket gateway pushing events, or the simpler alternative of the frontend periodically polling a REST endpoint for updates. We chose Socket.io, with room-based scoping by user ID and role, so that a stage change, an interview reminder, or an offer response could be pushed to exactly the users who needed to see it, the moment it happened.</w:t>
      </w:r>
    </w:p>
    <w:p>
      <w:pPr>
        <w:spacing w:after="200"/>
        <w:jc w:val="both"/>
      </w:pPr>
      <w:r>
        <w:t xml:space="preserve">The tradeoff was meaningful additional complexity in exchange for a materially better user experience. Polling would have been simpler to build and reason about — no persistent connections, no authentication handshake over a socket, no room management — but it would have introduced either wasted requests (polling frequently, even when nothing has changed) or noticeable delay (polling infrequently, so a candidate might not see their status change for a minute or more). For a recruitment platform whose entire pitch is speed and responsiveness compared to slower incumbent SME hiring processes, we judged that lag to be a real cost, not a cosmetic one. The WebSocket approach also let us cleanly express Gemini's asynchronous fallback path in the UI: since interview and offer actions were pushed as events tied to the viewer's own account, we were later able to fix a usability problem where candidates were asked to manually type in an application, interview, or offer ID (information a normal user would never have) by instead surfacing pending actions directly, attached to the relevant list item, using the same eventing infrastructure.</w:t>
      </w:r>
    </w:p>
    <w:p>
      <w:pPr>
        <w:spacing w:after="200"/>
        <w:jc w:val="both"/>
      </w:pPr>
      <w:r>
        <w:t xml:space="preserve">What we would change: our first version of these flows still required manually entered UUIDs for interview and offer responses, with copy suggesting the ID would arrive "via email" — a feature we never actually built, since our notification design was WebSocket-only from the start. In hindsight, we should have designed the notification and the corresponding action-taking UI together, as a single feature, rather than building the WebSocket event first and the corresponding candidate-facing action screens later as a seemingly separate frontend task. Treating "you were notified of X" and "here is how you act on X" as one unit of design, rather than two, would have caught this gap before it reached testing.</w:t>
      </w:r>
    </w:p>
    <w:p>
      <w:pPr>
        <w:pStyle w:val="Heading1"/>
        <w:spacing w:after="200" w:before="400"/>
      </w:pPr>
      <w:r>
        <w:t xml:space="preserve">Closing Reflection</w:t>
      </w:r>
    </w:p>
    <w:p>
      <w:pPr>
        <w:spacing w:after="200"/>
        <w:jc w:val="both"/>
      </w:pPr>
      <w:r>
        <w:t xml:space="preserve">Across all three decisions, a consistent theme emerges: the choices that paid off best were the ones where we designed for failure and for the seams between modules, rather than only for the happy path. The module split gave us a predictable place to look when something broke; the AI fallback design meant a deprecated model or a rate limit degraded one feature instead of the whole platform; and the WebSocket architecture, once we closed the gap between notifying a user and letting them act on that notification, gave the platform the responsiveness a recruitment tool needs. The clearest lesson we are taking forward is that upfront agreement on shared contracts and defensive assumptions about external dependencies are worth their cost in initial complexity, almost every time they are tested in practice.</w:t>
      </w:r>
    </w:p>
    <w:p>
      <w:pPr>
        <w:spacing w:after="200"/>
        <w:jc w:val="both"/>
      </w:pPr>
      <w:r>
        <w:t xml:space="preserve">It is also worth being honest about the cost of these decisions, not just their payoff. Designing for failure everywhere is not free: every fallback path, every retry policy, and every explicit contract document is code and process that has to be written, reviewed, and kept in sync as the project evolves, and on a fixed academic deadline that time is taken directly from feature scope. We think the tradeoff was correct for this project, given how many of our contingencies were actually triggered during development rather than remaining theoretical, but we recognize that in a project with more generous, more reliable infrastructure, some of this defensive design would have been unnecessary overhead rather than a necessity. Knowing when a system genuinely needs this level of defensiveness, versus when it is premature engineering, is itself a judgment call we feel more equipped to make having gone through this project than we were at the start of it.</w:t>
      </w:r>
    </w:p>
    <w:p>
      <w:pPr>
        <w:spacing w:after="200"/>
        <w:jc w:val="both"/>
      </w:pPr>
      <w:r>
        <w:t xml:space="preserve">Finally, this project changed how we think about the boundary between what a team designs up front and what it discovers only by building. Our shared contracts document, our module boundaries, and our fallback strategy were all decided before a line of feature code was written, and all three held up reasonably well under real use. But the specific failures we encountered — a model quietly losing free-tier access, a UUID-entry flow that made sense to the person building the backend but not to the person actually using the candidate portal — were not things any of us predicted in advance. They were only visible once the system was running end to end, with the four modules actually talking to each other and to a real third-party service outside our control. That gap between design-time reasoning and run-time reality is, in the end, the main thing we would carry into a future project: build the contracts early, but budget real time after integration for the discoveries that only show up once the whole system is alive.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2026-07-15T11:16:29.840Z</dcterms:created>
  <dcterms:modified xsi:type="dcterms:W3CDTF">2026-07-15T11:16:29.841Z</dcterms:modified>
</cp:coreProperties>
</file>

<file path=docProps/custom.xml><?xml version="1.0" encoding="utf-8"?>
<Properties xmlns="http://schemas.openxmlformats.org/officeDocument/2006/custom-properties" xmlns:vt="http://schemas.openxmlformats.org/officeDocument/2006/docPropsVTypes"/>
</file>