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 Model – Day 1 Baseline Results</w:t>
      </w:r>
    </w:p>
    <w:p>
      <w:pPr/>
      <w:r>
        <w:t xml:space="preserve">Oct 26, 2026</w:t>
      </w:r>
      <w:r>
        <w:t xml:space="preserve"> · </w:t>
      </w:r>
      <w:r>
        <w:t xml:space="preserve">@Sid</w:t>
      </w:r>
    </w:p>
    <w:p>
      <w:pPr>
        <w:pStyle w:val="Heading2"/>
      </w:pPr>
      <w:r>
        <w:t xml:space="preserve">Summary</w:t>
      </w:r>
    </w:p>
    <w:p>
      <w:pPr/>
      <w:r>
        <w:t xml:space="preserve">The best model so far, LightGBM with the payer rules feature, catches 90% of PA visits by flagging about 107 of every 1,000 visits (May–Jul 2026 test).</w:t>
      </w:r>
    </w:p>
    <w:p>
      <w:pPr>
        <w:pStyle w:val="ListParagraph"/>
        <w:numPr>
          <w:ilvl w:val="0"/>
          <w:numId w:val="2"/>
        </w:numPr>
      </w:pPr>
      <w:r>
        <w:rPr>
          <w:b/>
        </w:rPr>
        <w:t xml:space="preserve">Models compared:</w:t>
      </w:r>
      <w:r>
        <w:t xml:space="preserve"> a simple lookup baseline and LightGBM, each with and without the most recent months, and LightGBM with and without the payer rules feature.</w:t>
      </w:r>
    </w:p>
    <w:p>
      <w:pPr>
        <w:pStyle w:val="ListParagraph"/>
        <w:numPr>
          <w:ilvl w:val="0"/>
          <w:numId w:val="2"/>
        </w:numPr>
      </w:pPr>
      <w:r>
        <w:rPr>
          <w:b/>
        </w:rPr>
        <w:t xml:space="preserve">Best result:</w:t>
      </w:r>
      <w:r>
        <w:t xml:space="preserve"> visit-level AP 0.707 and AUC 0.967, against a PA rate of 2.8%. That is about 25 times better than random ranking.</w:t>
      </w:r>
    </w:p>
    <w:p>
      <w:pPr>
        <w:pStyle w:val="ListParagraph"/>
        <w:numPr>
          <w:ilvl w:val="0"/>
          <w:numId w:val="2"/>
        </w:numPr>
      </w:pPr>
      <w:r>
        <w:rPr>
          <w:b/>
        </w:rPr>
        <w:t xml:space="preserve">LightGBM vs baseline:</w:t>
      </w:r>
      <w:r>
        <w:t xml:space="preserve"> LightGBM beats the lookup baseline by about 0.08 AP (0.707 vs 0.627).</w:t>
      </w:r>
    </w:p>
    <w:p>
      <w:pPr>
        <w:pStyle w:val="ListParagraph"/>
        <w:numPr>
          <w:ilvl w:val="0"/>
          <w:numId w:val="2"/>
        </w:numPr>
      </w:pPr>
      <w:r>
        <w:rPr>
          <w:b/>
        </w:rPr>
        <w:t xml:space="preserve">Recent data matters most:</w:t>
      </w:r>
      <w:r>
        <w:t xml:space="preserve"> leaving out Feb–Apr 2026 drops LightGBM + rules from 0.707 to 0.593 AP.</w:t>
      </w:r>
    </w:p>
    <w:p>
      <w:pPr>
        <w:pStyle w:val="ListParagraph"/>
        <w:numPr>
          <w:ilvl w:val="0"/>
          <w:numId w:val="2"/>
        </w:numPr>
      </w:pPr>
      <w:r>
        <w:rPr>
          <w:b/>
        </w:rPr>
        <w:t xml:space="preserve">Not ready yet:</w:t>
      </w:r>
      <w:r>
        <w:t xml:space="preserve"> auto-clearing visits as "PA not required". At the strict setting tested, 17% of PA visits would be cleared wrongly.</w:t>
      </w:r>
    </w:p>
    <w:p>
      <w:pPr>
        <w:pStyle w:val="ListParagraph"/>
        <w:numPr>
          <w:ilvl w:val="0"/>
          <w:numId w:val="2"/>
        </w:numPr>
      </w:pPr>
      <w:r>
        <w:rPr>
          <w:b/>
        </w:rPr>
        <w:t xml:space="preserve">All figures are measured against the current labels,</w:t>
      </w:r>
      <w:r>
        <w:t xml:space="preserve"> which have known issues. They compare models fairly, but the absolute numbers will move once labels are fixed.</w:t>
      </w:r>
    </w:p>
    <w:p>
      <w:pPr>
        <w:pStyle w:val="Heading2"/>
      </w:pPr>
      <w:r>
        <w:t xml:space="preserve">Setup</w:t>
      </w:r>
    </w:p>
    <w:p>
      <w:pPr/>
      <w:r>
        <w:t xml:space="preserve">All models were trained and tested on the same data, split by service date, so every result is directly comparable.</w:t>
      </w:r>
    </w:p>
    <w:p>
      <w:pPr/>
      <w:r>
        <w:rPr>
          <w:b/>
        </w:rPr>
        <w:t xml:space="preserve">Data:</w:t>
      </w:r>
      <w:r>
        <w:t xml:space="preserve"> standardised claims 2025–2026 (std_data_v4), primary claims only (FILING_ORDER_C = 1), repeated lines removed, AMBIGUOUS labels dropped. A 30% sample of visits (CSNs) was used; whole visits are sampled, never split.</w:t>
      </w:r>
    </w:p>
    <w:p>
      <w:pPr/>
      <w:r>
        <w:rPr>
          <w:b/>
        </w:rPr>
        <w:t xml:space="preserve">Label:</w:t>
      </w:r>
      <w:r>
        <w:t xml:space="preserve"> GROUP_LABEL, TRUE = PA required, FALSE = not required. A visit is TRUE if any of its lines is TRUE.</w:t>
      </w:r>
    </w:p>
    <w:p>
      <w:pPr/>
      <w:r>
        <w:rPr>
          <w:b/>
        </w:rPr>
        <w:t xml:space="preserve">Time split:</w:t>
      </w:r>
      <w:r>
        <w:t xml:space="preserve"> the test months are never used for training.</w:t>
      </w:r>
    </w:p>
    <w:tbl>
      <w:tblPr>
        <w:tblStyle w:val="TableGrid"/>
        <w:tblW w:w="0" w:type="auto"/>
        <w:tblLayout w:type="fixed"/>
        <w:tblLook w:val="04A0" w:firstRow="1" w:lastRow="0" w:firstColumn="0" w:lastColumn="0" w:noHBand="0" w:noVBand="1"/>
      </w:tblPr>
      <w:tblGrid>
        <w:gridCol w:w="1426"/>
        <w:gridCol w:w="2977"/>
        <w:gridCol w:w="1618"/>
        <w:gridCol w:w="1356"/>
        <w:gridCol w:w="1981"/>
      </w:tblGrid>
      <w:tr>
        <w:trPr>
          <w:tblHeader/>
        </w:trPr>
        <w:tc>
          <w:tcPr>
            <w:tcW w:w="1426" w:type="dxa"/>
            <w:shd w:val="clear" w:color="auto" w:fill="F2F2F2"/>
          </w:tcPr>
          <w:p>
            <w:pPr/>
            <w:r>
              <w:t xml:space="preserve">Window</w:t>
            </w:r>
          </w:p>
        </w:tc>
        <w:tc>
          <w:tcPr>
            <w:tcW w:w="2977" w:type="dxa"/>
            <w:shd w:val="clear" w:color="auto" w:fill="F2F2F2"/>
          </w:tcPr>
          <w:p>
            <w:pPr/>
            <w:r>
              <w:t xml:space="preserve">Service months</w:t>
            </w:r>
          </w:p>
        </w:tc>
        <w:tc>
          <w:tcPr>
            <w:tcW w:w="1618" w:type="dxa"/>
            <w:shd w:val="clear" w:color="auto" w:fill="F2F2F2"/>
          </w:tcPr>
          <w:p>
            <w:pPr/>
            <w:r>
              <w:t xml:space="preserve">Lines</w:t>
            </w:r>
          </w:p>
        </w:tc>
        <w:tc>
          <w:tcPr>
            <w:tcW w:w="1356" w:type="dxa"/>
            <w:shd w:val="clear" w:color="auto" w:fill="F2F2F2"/>
          </w:tcPr>
          <w:p>
            <w:pPr/>
            <w:r>
              <w:t xml:space="preserve">Visits</w:t>
            </w:r>
          </w:p>
        </w:tc>
        <w:tc>
          <w:tcPr>
            <w:tcW w:w="1981" w:type="dxa"/>
            <w:shd w:val="clear" w:color="auto" w:fill="F2F2F2"/>
          </w:tcPr>
          <w:p>
            <w:pPr/>
            <w:r>
              <w:t xml:space="preserve">PA line rate</w:t>
            </w:r>
          </w:p>
        </w:tc>
      </w:tr>
      <w:tr>
        <w:tc>
          <w:tcPr>
            <w:tcW w:w="1426" w:type="dxa"/>
          </w:tcPr>
          <w:p>
            <w:pPr/>
            <w:r>
              <w:t xml:space="preserve">Train</w:t>
            </w:r>
          </w:p>
        </w:tc>
        <w:tc>
          <w:tcPr>
            <w:tcW w:w="2977" w:type="dxa"/>
          </w:tcPr>
          <w:p>
            <w:pPr/>
            <w:r>
              <w:t xml:space="preserve">Jan 2025 – Jan 2026</w:t>
            </w:r>
          </w:p>
        </w:tc>
        <w:tc>
          <w:tcPr>
            <w:tcW w:w="1618" w:type="dxa"/>
          </w:tcPr>
          <w:p>
            <w:pPr/>
            <w:r>
              <w:t xml:space="preserve">1,511,543</w:t>
            </w:r>
          </w:p>
        </w:tc>
        <w:tc>
          <w:tcPr>
            <w:tcW w:w="1356" w:type="dxa"/>
          </w:tcPr>
          <w:p>
            <w:pPr/>
            <w:r>
              <w:t xml:space="preserve">592,851</w:t>
            </w:r>
          </w:p>
        </w:tc>
        <w:tc>
          <w:tcPr>
            <w:tcW w:w="1981" w:type="dxa"/>
          </w:tcPr>
          <w:p>
            <w:pPr/>
            <w:r>
              <w:t xml:space="preserve">4.15%</w:t>
            </w:r>
          </w:p>
        </w:tc>
      </w:tr>
      <w:tr>
        <w:tc>
          <w:tcPr>
            <w:tcW w:w="1426" w:type="dxa"/>
          </w:tcPr>
          <w:p>
            <w:pPr/>
            <w:r>
              <w:t xml:space="preserve">Update</w:t>
            </w:r>
          </w:p>
        </w:tc>
        <w:tc>
          <w:tcPr>
            <w:tcW w:w="2977" w:type="dxa"/>
          </w:tcPr>
          <w:p>
            <w:pPr/>
            <w:r>
              <w:t xml:space="preserve">Feb – Apr 2026</w:t>
            </w:r>
          </w:p>
        </w:tc>
        <w:tc>
          <w:tcPr>
            <w:tcW w:w="1618" w:type="dxa"/>
          </w:tcPr>
          <w:p>
            <w:pPr/>
            <w:r>
              <w:t xml:space="preserve">514,268</w:t>
            </w:r>
          </w:p>
        </w:tc>
        <w:tc>
          <w:tcPr>
            <w:tcW w:w="1356" w:type="dxa"/>
          </w:tcPr>
          <w:p>
            <w:pPr/>
            <w:r>
              <w:t xml:space="preserve">198,132</w:t>
            </w:r>
          </w:p>
        </w:tc>
        <w:tc>
          <w:tcPr>
            <w:tcW w:w="1981" w:type="dxa"/>
          </w:tcPr>
          <w:p>
            <w:pPr/>
            <w:r>
              <w:t xml:space="preserve">3.04%</w:t>
            </w:r>
          </w:p>
        </w:tc>
      </w:tr>
      <w:tr>
        <w:tc>
          <w:tcPr>
            <w:tcW w:w="1426" w:type="dxa"/>
          </w:tcPr>
          <w:p>
            <w:pPr/>
            <w:r>
              <w:t xml:space="preserve">Test</w:t>
            </w:r>
          </w:p>
        </w:tc>
        <w:tc>
          <w:tcPr>
            <w:tcW w:w="2977" w:type="dxa"/>
          </w:tcPr>
          <w:p>
            <w:pPr/>
            <w:r>
              <w:t xml:space="preserve">May – Jul 2026</w:t>
            </w:r>
          </w:p>
        </w:tc>
        <w:tc>
          <w:tcPr>
            <w:tcW w:w="1618" w:type="dxa"/>
          </w:tcPr>
          <w:p>
            <w:pPr/>
            <w:r>
              <w:t xml:space="preserve">582,414</w:t>
            </w:r>
          </w:p>
        </w:tc>
        <w:tc>
          <w:tcPr>
            <w:tcW w:w="1356" w:type="dxa"/>
          </w:tcPr>
          <w:p>
            <w:pPr/>
            <w:r>
              <w:t xml:space="preserve">249,526</w:t>
            </w:r>
          </w:p>
        </w:tc>
        <w:tc>
          <w:tcPr>
            <w:tcW w:w="1981" w:type="dxa"/>
          </w:tcPr>
          <w:p>
            <w:pPr/>
            <w:r>
              <w:t xml:space="preserve">2.80%</w:t>
            </w:r>
          </w:p>
        </w:tc>
      </w:tr>
    </w:tbl>
    <w:p>
      <w:pPr/>
      <w:r>
        <w:t xml:space="preserve">August 2026 is excluded because the extract ends on 12 Aug.</w:t>
      </w:r>
    </w:p>
    <w:p>
      <w:pPr/>
      <w:r>
        <w:rPr>
          <w:b/>
        </w:rPr>
        <w:t xml:space="preserve">Frozen vs full:</w:t>
      </w:r>
      <w:r>
        <w:t xml:space="preserve"> each model is trained twice. </w:t>
      </w:r>
      <w:r>
        <w:rPr>
          <w:i/>
        </w:rPr>
        <w:t xml:space="preserve">Frozen</w:t>
      </w:r>
      <w:r>
        <w:t xml:space="preserve"> uses the train window only. </w:t>
      </w:r>
      <w:r>
        <w:rPr>
          <w:i/>
        </w:rPr>
        <w:t xml:space="preserve">Full</w:t>
      </w:r>
      <w:r>
        <w:t xml:space="preserve"> uses train + update, i.e. everything before the test window; this is the production-style model. The gap between the two shows how much recent data matters.</w:t>
      </w:r>
    </w:p>
    <w:p>
      <w:pPr/>
      <w:r>
        <w:rPr>
          <w:b/>
        </w:rPr>
        <w:t xml:space="preserve">Features:</w:t>
      </w:r>
    </w:p>
    <w:p>
      <w:pPr>
        <w:pStyle w:val="ListParagraph"/>
        <w:numPr>
          <w:ilvl w:val="0"/>
          <w:numId w:val="3"/>
        </w:numPr>
      </w:pPr>
      <w:r>
        <w:rPr>
          <w:b/>
        </w:rPr>
        <w:t xml:space="preserve">CPT</w:t>
      </w:r>
      <w:r>
        <w:t xml:space="preserve"> (FINAL_CPT), </w:t>
      </w:r>
      <w:r>
        <w:rPr>
          <w:b/>
        </w:rPr>
        <w:t xml:space="preserve">modifier</w:t>
      </w:r>
      <w:r>
        <w:t xml:space="preserve">, </w:t>
      </w:r>
      <w:r>
        <w:rPr>
          <w:b/>
        </w:rPr>
        <w:t xml:space="preserve">place of service</w:t>
      </w:r>
      <w:r>
        <w:t xml:space="preserve">.</w:t>
      </w:r>
    </w:p>
    <w:p>
      <w:pPr>
        <w:pStyle w:val="ListParagraph"/>
        <w:numPr>
          <w:ilvl w:val="0"/>
          <w:numId w:val="3"/>
        </w:numPr>
      </w:pPr>
      <w:r>
        <w:rPr>
          <w:b/>
        </w:rPr>
        <w:t xml:space="preserve">Payor</w:t>
      </w:r>
      <w:r>
        <w:t xml:space="preserve"> and </w:t>
      </w:r>
      <w:r>
        <w:rPr>
          <w:b/>
        </w:rPr>
        <w:t xml:space="preserve">payor + plan</w:t>
      </w:r>
      <w:r>
        <w:t xml:space="preserve">, from the cleaned claim names. BUCKET_PAYOR_ID / BUCKET_PLAN_ID were not used, because one bucket holds hundreds of payors.</w:t>
      </w:r>
    </w:p>
    <w:p>
      <w:pPr>
        <w:pStyle w:val="ListParagraph"/>
        <w:numPr>
          <w:ilvl w:val="0"/>
          <w:numId w:val="3"/>
        </w:numPr>
      </w:pPr>
      <w:r>
        <w:rPr>
          <w:b/>
        </w:rPr>
        <w:t xml:space="preserve">Rules feature</w:t>
      </w:r>
      <w:r>
        <w:t xml:space="preserve"> (RULE_PLAN_SHARE), in the "+ rules" models: the share of the payor's plans in the new Prod_Globals rules files (686 plans) that list this CPT. It links claims to payors through the name-based master sheet, so it is provisional until the SME mapping is done. It covers 84.5% of lines. Codes listed by all of a payor's plans had a 16.4% PA rate, against 2.1% for codes listed by none.</w:t>
      </w:r>
    </w:p>
    <w:p>
      <w:pPr>
        <w:pStyle w:val="Heading2"/>
      </w:pPr>
      <w:r>
        <w:t xml:space="preserve">How to read the metrics</w:t>
      </w:r>
    </w:p>
    <w:p>
      <w:pPr/>
      <w:r>
        <w:t xml:space="preserve">Accuracy is not used to judge the model: only 2.8% of test visits need PA, so a model that always says "no PA" is 97.2% accurate and useless.</w:t>
      </w:r>
    </w:p>
    <w:p>
      <w:pPr/>
      <w:r>
        <w:rPr>
          <w:b/>
        </w:rPr>
        <w:t xml:space="preserve">Line vs visit.</w:t>
      </w:r>
      <w:r>
        <w:t xml:space="preserve"> The model scores each claim line. A </w:t>
      </w:r>
      <w:r>
        <w:rPr>
          <w:i/>
        </w:rPr>
        <w:t xml:space="preserve">visit</w:t>
      </w:r>
      <w:r>
        <w:t xml:space="preserve"> (CSN) gets the highest score among its lines. Visit level is the main measure, because the label is set per visit and copied to every line in it.</w:t>
      </w:r>
    </w:p>
    <w:tbl>
      <w:tblPr>
        <w:tblStyle w:val="TableGrid"/>
        <w:tblW w:w="0" w:type="auto"/>
        <w:tblLayout w:type="fixed"/>
        <w:tblLook w:val="04A0" w:firstRow="1" w:lastRow="0" w:firstColumn="0" w:lastColumn="0" w:noHBand="0" w:noVBand="1"/>
      </w:tblPr>
      <w:tblGrid>
        <w:gridCol w:w="1867"/>
        <w:gridCol w:w="4110"/>
        <w:gridCol w:w="3383"/>
      </w:tblGrid>
      <w:tr>
        <w:trPr>
          <w:tblHeader/>
        </w:trPr>
        <w:tc>
          <w:tcPr>
            <w:tcW w:w="1867" w:type="dxa"/>
            <w:shd w:val="clear" w:color="auto" w:fill="F2F2F2"/>
          </w:tcPr>
          <w:p>
            <w:pPr/>
            <w:r>
              <w:t xml:space="preserve">Metric</w:t>
            </w:r>
          </w:p>
        </w:tc>
        <w:tc>
          <w:tcPr>
            <w:tcW w:w="4110" w:type="dxa"/>
            <w:shd w:val="clear" w:color="auto" w:fill="F2F2F2"/>
          </w:tcPr>
          <w:p>
            <w:pPr/>
            <w:r>
              <w:t xml:space="preserve">What it measures</w:t>
            </w:r>
          </w:p>
        </w:tc>
        <w:tc>
          <w:tcPr>
            <w:tcW w:w="3383" w:type="dxa"/>
            <w:shd w:val="clear" w:color="auto" w:fill="F2F2F2"/>
          </w:tcPr>
          <w:p>
            <w:pPr/>
            <w:r>
              <w:t xml:space="preserve">How to read it</w:t>
            </w:r>
          </w:p>
        </w:tc>
      </w:tr>
      <w:tr>
        <w:tc>
          <w:tcPr>
            <w:tcW w:w="1867" w:type="dxa"/>
          </w:tcPr>
          <w:p>
            <w:pPr/>
            <w:r>
              <w:rPr>
                <w:b/>
              </w:rPr>
              <w:t xml:space="preserve">AUC</w:t>
            </w:r>
            <w:r>
              <w:t xml:space="preserve"> (AUC_enc, visit level)</w:t>
            </w:r>
          </w:p>
        </w:tc>
        <w:tc>
          <w:tcPr>
            <w:tcW w:w="4110" w:type="dxa"/>
          </w:tcPr>
          <w:p>
            <w:pPr/>
            <w:r>
              <w:t xml:space="preserve">The chance the model scores a random PA visit above a random non-PA visit</w:t>
            </w:r>
          </w:p>
        </w:tc>
        <w:tc>
          <w:tcPr>
            <w:tcW w:w="3383" w:type="dxa"/>
          </w:tcPr>
          <w:p>
            <w:pPr/>
            <w:r>
              <w:t xml:space="preserve">0.5 = coin flip, 1.0 = perfect. Looks high easily when most visits are obvious non-PA.</w:t>
            </w:r>
          </w:p>
        </w:tc>
      </w:tr>
      <w:tr>
        <w:tc>
          <w:tcPr>
            <w:tcW w:w="1867" w:type="dxa"/>
          </w:tcPr>
          <w:p>
            <w:pPr/>
            <w:r>
              <w:rPr>
                <w:b/>
              </w:rPr>
              <w:t xml:space="preserve">AP</w:t>
            </w:r>
            <w:r>
              <w:t xml:space="preserve">, average precision (AP_enc visit level, AP_line line level)</w:t>
            </w:r>
          </w:p>
        </w:tc>
        <w:tc>
          <w:tcPr>
            <w:tcW w:w="4110" w:type="dxa"/>
          </w:tcPr>
          <w:p>
            <w:pPr/>
            <w:r>
              <w:t xml:space="preserve">Ranking quality on the rare PA cases: sort visits by score and average the precision while walking down to find all PA</w:t>
            </w:r>
          </w:p>
        </w:tc>
        <w:tc>
          <w:tcPr>
            <w:tcW w:w="3383" w:type="dxa"/>
          </w:tcPr>
          <w:p>
            <w:pPr/>
            <w:r>
              <w:t xml:space="preserve">Random = the PA rate (0.028); perfect = 1.0. The main measure here.</w:t>
            </w:r>
          </w:p>
        </w:tc>
      </w:tr>
      <w:tr>
        <w:tc>
          <w:tcPr>
            <w:tcW w:w="1867" w:type="dxa"/>
          </w:tcPr>
          <w:p>
            <w:pPr/>
            <w:r>
              <w:rPr>
                <w:b/>
              </w:rPr>
              <w:t xml:space="preserve">AP lift</w:t>
            </w:r>
            <w:r>
              <w:t xml:space="preserve"> (AP_lift_line)</w:t>
            </w:r>
          </w:p>
        </w:tc>
        <w:tc>
          <w:tcPr>
            <w:tcW w:w="4110" w:type="dxa"/>
          </w:tcPr>
          <w:p>
            <w:pPr/>
            <w:r>
              <w:t xml:space="preserve">AP divided by the PA rate</w:t>
            </w:r>
          </w:p>
        </w:tc>
        <w:tc>
          <w:tcPr>
            <w:tcW w:w="3383" w:type="dxa"/>
          </w:tcPr>
          <w:p>
            <w:pPr/>
            <w:r>
              <w:t xml:space="preserve">How many times better than random, for example 23×</w:t>
            </w:r>
          </w:p>
        </w:tc>
      </w:tr>
      <w:tr>
        <w:tc>
          <w:tcPr>
            <w:tcW w:w="1867" w:type="dxa"/>
          </w:tcPr>
          <w:p>
            <w:pPr/>
            <w:r>
              <w:rPr>
                <w:b/>
              </w:rPr>
              <w:t xml:space="preserve">Precision</w:t>
            </w:r>
          </w:p>
        </w:tc>
        <w:tc>
          <w:tcPr>
            <w:tcW w:w="4110" w:type="dxa"/>
          </w:tcPr>
          <w:p>
            <w:pPr/>
            <w:r>
              <w:t xml:space="preserve">Of the visits the model flags, the share that really need PA</w:t>
            </w:r>
          </w:p>
        </w:tc>
        <w:tc>
          <w:tcPr>
            <w:tcW w:w="3383" w:type="dxa"/>
          </w:tcPr>
          <w:p>
            <w:pPr/>
            <w:r>
              <w:t xml:space="preserve">Higher = fewer false alarms</w:t>
            </w:r>
          </w:p>
        </w:tc>
      </w:tr>
      <w:tr>
        <w:tc>
          <w:tcPr>
            <w:tcW w:w="1867" w:type="dxa"/>
          </w:tcPr>
          <w:p>
            <w:pPr/>
            <w:r>
              <w:rPr>
                <w:b/>
              </w:rPr>
              <w:t xml:space="preserve">Recall</w:t>
            </w:r>
            <w:r>
              <w:t xml:space="preserve"> ("PA caught")</w:t>
            </w:r>
          </w:p>
        </w:tc>
        <w:tc>
          <w:tcPr>
            <w:tcW w:w="4110" w:type="dxa"/>
          </w:tcPr>
          <w:p>
            <w:pPr/>
            <w:r>
              <w:t xml:space="preserve">Of all visits that really need PA, the share the model flags</w:t>
            </w:r>
          </w:p>
        </w:tc>
        <w:tc>
          <w:tcPr>
            <w:tcW w:w="3383" w:type="dxa"/>
          </w:tcPr>
          <w:p>
            <w:pPr/>
            <w:r>
              <w:t xml:space="preserve">Higher = fewer PA visits missed</w:t>
            </w:r>
          </w:p>
        </w:tc>
      </w:tr>
      <w:tr>
        <w:tc>
          <w:tcPr>
            <w:tcW w:w="1867" w:type="dxa"/>
          </w:tcPr>
          <w:p>
            <w:pPr/>
            <w:r>
              <w:rPr>
                <w:b/>
              </w:rPr>
              <w:t xml:space="preserve">PA caught at 90% / 94% precision</w:t>
            </w:r>
          </w:p>
        </w:tc>
        <w:tc>
          <w:tcPr>
            <w:tcW w:w="4110" w:type="dxa"/>
          </w:tcPr>
          <w:p>
            <w:pPr/>
            <w:r>
              <w:t xml:space="preserve">Recall at the cut-off where at least 90% (or 94%) of flags are correct</w:t>
            </w:r>
          </w:p>
        </w:tc>
        <w:tc>
          <w:tcPr>
            <w:tcW w:w="3383" w:type="dxa"/>
          </w:tcPr>
          <w:p>
            <w:pPr/>
            <w:r>
              <w:t xml:space="preserve">Size of the confident "PA required" group. 90% / 94% are the PRD confidence levels.</w:t>
            </w:r>
          </w:p>
        </w:tc>
      </w:tr>
      <w:tr>
        <w:tc>
          <w:tcPr>
            <w:tcW w:w="1867" w:type="dxa"/>
          </w:tcPr>
          <w:p>
            <w:pPr/>
            <w:r>
              <w:rPr>
                <w:b/>
              </w:rPr>
              <w:t xml:space="preserve">Auto-cleared at 99.5% NPV</w:t>
            </w:r>
          </w:p>
        </w:tc>
        <w:tc>
          <w:tcPr>
            <w:tcW w:w="4110" w:type="dxa"/>
          </w:tcPr>
          <w:p>
            <w:pPr/>
            <w:r>
              <w:t xml:space="preserve">Share of visits that can be marked "not required" while 99.5% of them truly need no PA</w:t>
            </w:r>
          </w:p>
        </w:tc>
        <w:tc>
          <w:tcPr>
            <w:tcW w:w="3383" w:type="dxa"/>
          </w:tcPr>
          <w:p>
            <w:pPr/>
            <w:r>
              <w:t xml:space="preserve">NPV = share of cleared visits that truly don't need PA. My test setting, not from the PRD.</w:t>
            </w:r>
          </w:p>
        </w:tc>
      </w:tr>
      <w:tr>
        <w:tc>
          <w:tcPr>
            <w:tcW w:w="1867" w:type="dxa"/>
          </w:tcPr>
          <w:p>
            <w:pPr/>
            <w:r>
              <w:rPr>
                <w:b/>
              </w:rPr>
              <w:t xml:space="preserve">PA wrongly cleared</w:t>
            </w:r>
          </w:p>
        </w:tc>
        <w:tc>
          <w:tcPr>
            <w:tcW w:w="4110" w:type="dxa"/>
          </w:tcPr>
          <w:p>
            <w:pPr/>
            <w:r>
              <w:t xml:space="preserve">Share of all PA visits that fall into that auto-cleared group</w:t>
            </w:r>
          </w:p>
        </w:tc>
        <w:tc>
          <w:tcPr>
            <w:tcW w:w="3383" w:type="dxa"/>
          </w:tcPr>
          <w:p>
            <w:pPr/>
            <w:r>
              <w:t xml:space="preserve">The cost of auto-clearing: PA visits that would be missed</w:t>
            </w:r>
          </w:p>
        </w:tc>
      </w:tr>
      <w:tr>
        <w:tc>
          <w:tcPr>
            <w:tcW w:w="1867" w:type="dxa"/>
          </w:tcPr>
          <w:p>
            <w:pPr/>
            <w:r>
              <w:rPr>
                <w:b/>
              </w:rPr>
              <w:t xml:space="preserve">Brier score</w:t>
            </w:r>
            <w:r>
              <w:t xml:space="preserve"> (brier_enc)</w:t>
            </w:r>
          </w:p>
        </w:tc>
        <w:tc>
          <w:tcPr>
            <w:tcW w:w="4110" w:type="dxa"/>
          </w:tcPr>
          <w:p>
            <w:pPr/>
            <w:r>
              <w:t xml:space="preserve">Average squared gap between predicted probability and the outcome</w:t>
            </w:r>
          </w:p>
        </w:tc>
        <w:tc>
          <w:tcPr>
            <w:tcW w:w="3383" w:type="dxa"/>
          </w:tcPr>
          <w:p>
            <w:pPr/>
            <w:r>
              <w:t xml:space="preserve">Lower is better</w:t>
            </w:r>
          </w:p>
        </w:tc>
      </w:tr>
      <w:tr>
        <w:tc>
          <w:tcPr>
            <w:tcW w:w="1867" w:type="dxa"/>
          </w:tcPr>
          <w:p>
            <w:pPr/>
            <w:r>
              <w:rPr>
                <w:b/>
              </w:rPr>
              <w:t xml:space="preserve">Calibration error, ECE</w:t>
            </w:r>
            <w:r>
              <w:t xml:space="preserve"> (ECE_enc)</w:t>
            </w:r>
          </w:p>
        </w:tc>
        <w:tc>
          <w:tcPr>
            <w:tcW w:w="4110" w:type="dxa"/>
          </w:tcPr>
          <w:p>
            <w:pPr/>
            <w:r>
              <w:t xml:space="preserve">Average gap between predicted and actual PA rate across score bands</w:t>
            </w:r>
          </w:p>
        </w:tc>
        <w:tc>
          <w:tcPr>
            <w:tcW w:w="3383" w:type="dxa"/>
          </w:tcPr>
          <w:p>
            <w:pPr/>
            <w:r>
              <w:t xml:space="preserve">0 = scores are true probabilities. Lower is better.</w:t>
            </w:r>
          </w:p>
        </w:tc>
      </w:tr>
      <w:tr>
        <w:tc>
          <w:tcPr>
            <w:tcW w:w="1867" w:type="dxa"/>
          </w:tcPr>
          <w:p>
            <w:pPr/>
            <w:r>
              <w:rPr>
                <w:b/>
              </w:rPr>
              <w:t xml:space="preserve">mean_pred_enc vs actual_rate_enc</w:t>
            </w:r>
          </w:p>
        </w:tc>
        <w:tc>
          <w:tcPr>
            <w:tcW w:w="4110" w:type="dxa"/>
          </w:tcPr>
          <w:p>
            <w:pPr/>
            <w:r>
              <w:t xml:space="preserve">Average predicted visit PA rate vs the real one</w:t>
            </w:r>
          </w:p>
        </w:tc>
        <w:tc>
          <w:tcPr>
            <w:tcW w:w="3383" w:type="dxa"/>
          </w:tcPr>
          <w:p>
            <w:pPr/>
            <w:r>
              <w:t xml:space="preserve">Close together = well calibrated</w:t>
            </w:r>
          </w:p>
        </w:tc>
      </w:tr>
    </w:tbl>
    <w:p>
      <w:pPr/>
      <w:r>
        <w:rPr>
          <w:b/>
        </w:rPr>
        <w:t xml:space="preserve">Cut-off.</w:t>
      </w:r>
      <w:r>
        <w:t xml:space="preserve"> The score above which a visit is flagged. Moving it up gives fewer flags and higher precision, but lower recall (more PA missed). The scores are not yet calibrated, so a cut-off of 0.30 does not mean "30% likely"; it is only a point on the ranking.</w:t>
      </w:r>
    </w:p>
    <w:p>
      <w:pPr>
        <w:pStyle w:val="Heading2"/>
      </w:pPr>
      <w:r>
        <w:t xml:space="preserve">Baseline: lookup model</w:t>
      </w:r>
    </w:p>
    <w:p>
      <w:pPr/>
      <w:r>
        <w:t xml:space="preserve">The simple lookup reaches visit AP 0.627 when trained on all data before the test window. Every machine-learning model must beat this.</w:t>
      </w:r>
    </w:p>
    <w:p>
      <w:pPr/>
      <w:r>
        <w:rPr>
          <w:b/>
        </w:rPr>
        <w:t xml:space="preserve">How it works.</w:t>
      </w:r>
      <w:r>
        <w:t xml:space="preserve"> For each new line it looks up the historical PA rate of the most specific matching group with enough history:</w:t>
      </w:r>
    </w:p>
    <w:p>
      <w:pPr>
        <w:pStyle w:val="ListParagraph"/>
        <w:numPr>
          <w:ilvl w:val="0"/>
          <w:numId w:val="4"/>
        </w:numPr>
      </w:pPr>
      <w:r>
        <w:t xml:space="preserve">CPT + modifier + payor/plan + place of service (the PRD cell)</w:t>
      </w:r>
    </w:p>
    <w:p>
      <w:pPr>
        <w:pStyle w:val="ListParagraph"/>
        <w:numPr>
          <w:ilvl w:val="0"/>
          <w:numId w:val="4"/>
        </w:numPr>
      </w:pPr>
      <w:r>
        <w:t xml:space="preserve">CPT + payor/plan</w:t>
      </w:r>
    </w:p>
    <w:p>
      <w:pPr>
        <w:pStyle w:val="ListParagraph"/>
        <w:numPr>
          <w:ilvl w:val="0"/>
          <w:numId w:val="4"/>
        </w:numPr>
      </w:pPr>
      <w:r>
        <w:t xml:space="preserve">CPT + payor</w:t>
      </w:r>
    </w:p>
    <w:p>
      <w:pPr>
        <w:pStyle w:val="ListParagraph"/>
        <w:numPr>
          <w:ilvl w:val="0"/>
          <w:numId w:val="4"/>
        </w:numPr>
      </w:pPr>
      <w:r>
        <w:t xml:space="preserve">CPT alone</w:t>
      </w:r>
    </w:p>
    <w:p>
      <w:pPr/>
      <w:r>
        <w:t xml:space="preserve">Small groups are blended with their parent group (about 20 cases are needed before a group's own rate dominates). No model is trained; it is just counting.</w:t>
      </w:r>
    </w:p>
    <w:tbl>
      <w:tblPr>
        <w:tblStyle w:val="TableGrid"/>
        <w:tblW w:w="0" w:type="auto"/>
        <w:tblLayout w:type="fixed"/>
        <w:tblLook w:val="04A0" w:firstRow="1" w:lastRow="0" w:firstColumn="0" w:lastColumn="0" w:noHBand="0" w:noVBand="1"/>
      </w:tblPr>
      <w:tblGrid>
        <w:gridCol w:w="1372"/>
        <w:gridCol w:w="870"/>
        <w:gridCol w:w="870"/>
        <w:gridCol w:w="804"/>
        <w:gridCol w:w="1040"/>
        <w:gridCol w:w="956"/>
        <w:gridCol w:w="989"/>
        <w:gridCol w:w="1040"/>
        <w:gridCol w:w="1418"/>
      </w:tblGrid>
      <w:tr>
        <w:trPr>
          <w:tblHeader/>
        </w:trPr>
        <w:tc>
          <w:tcPr>
            <w:tcW w:w="1372" w:type="dxa"/>
            <w:shd w:val="clear" w:color="auto" w:fill="F2F2F2"/>
          </w:tcPr>
          <w:p>
            <w:pPr/>
            <w:r>
              <w:t xml:space="preserve">Model</w:t>
            </w:r>
          </w:p>
        </w:tc>
        <w:tc>
          <w:tcPr>
            <w:tcW w:w="870" w:type="dxa"/>
            <w:shd w:val="clear" w:color="auto" w:fill="F2F2F2"/>
          </w:tcPr>
          <w:p>
            <w:pPr/>
            <w:r>
              <w:t xml:space="preserve">AP (visit)</w:t>
            </w:r>
          </w:p>
        </w:tc>
        <w:tc>
          <w:tcPr>
            <w:tcW w:w="870" w:type="dxa"/>
            <w:shd w:val="clear" w:color="auto" w:fill="F2F2F2"/>
          </w:tcPr>
          <w:p>
            <w:pPr/>
            <w:r>
              <w:t xml:space="preserve">AUC (visit)</w:t>
            </w:r>
          </w:p>
        </w:tc>
        <w:tc>
          <w:tcPr>
            <w:tcW w:w="804" w:type="dxa"/>
            <w:shd w:val="clear" w:color="auto" w:fill="F2F2F2"/>
          </w:tcPr>
          <w:p>
            <w:pPr/>
            <w:r>
              <w:t xml:space="preserve">AP lift (line)</w:t>
            </w:r>
          </w:p>
        </w:tc>
        <w:tc>
          <w:tcPr>
            <w:tcW w:w="1040" w:type="dxa"/>
            <w:shd w:val="clear" w:color="auto" w:fill="F2F2F2"/>
          </w:tcPr>
          <w:p>
            <w:pPr/>
            <w:r>
              <w:t xml:space="preserve">PA caught at 90% precision</w:t>
            </w:r>
          </w:p>
        </w:tc>
        <w:tc>
          <w:tcPr>
            <w:tcW w:w="956" w:type="dxa"/>
            <w:shd w:val="clear" w:color="auto" w:fill="F2F2F2"/>
          </w:tcPr>
          <w:p>
            <w:pPr/>
            <w:r>
              <w:t xml:space="preserve">at 94%</w:t>
            </w:r>
          </w:p>
        </w:tc>
        <w:tc>
          <w:tcPr>
            <w:tcW w:w="989" w:type="dxa"/>
            <w:shd w:val="clear" w:color="auto" w:fill="F2F2F2"/>
          </w:tcPr>
          <w:p>
            <w:pPr/>
            <w:r>
              <w:t xml:space="preserve">Auto-cleared at 99.5% NPV</w:t>
            </w:r>
          </w:p>
        </w:tc>
        <w:tc>
          <w:tcPr>
            <w:tcW w:w="1040" w:type="dxa"/>
            <w:shd w:val="clear" w:color="auto" w:fill="F2F2F2"/>
          </w:tcPr>
          <w:p>
            <w:pPr/>
            <w:r>
              <w:t xml:space="preserve">PA wrongly cleared</w:t>
            </w:r>
          </w:p>
        </w:tc>
        <w:tc>
          <w:tcPr>
            <w:tcW w:w="1418" w:type="dxa"/>
            <w:shd w:val="clear" w:color="auto" w:fill="F2F2F2"/>
          </w:tcPr>
          <w:p>
            <w:pPr/>
            <w:r>
              <w:t xml:space="preserve">Predicted vs actual PA rate (visit)</w:t>
            </w:r>
          </w:p>
        </w:tc>
      </w:tr>
      <w:tr>
        <w:tc>
          <w:tcPr>
            <w:tcW w:w="1372" w:type="dxa"/>
          </w:tcPr>
          <w:p>
            <w:pPr/>
            <w:r>
              <w:t xml:space="preserve">Lookup, frozen (train only)</w:t>
            </w:r>
          </w:p>
        </w:tc>
        <w:tc>
          <w:tcPr>
            <w:tcW w:w="870" w:type="dxa"/>
          </w:tcPr>
          <w:p>
            <w:pPr/>
            <w:r>
              <w:t xml:space="preserve">0.522</w:t>
            </w:r>
          </w:p>
        </w:tc>
        <w:tc>
          <w:tcPr>
            <w:tcW w:w="870" w:type="dxa"/>
          </w:tcPr>
          <w:p>
            <w:pPr/>
            <w:r>
              <w:t xml:space="preserve">0.932</w:t>
            </w:r>
          </w:p>
        </w:tc>
        <w:tc>
          <w:tcPr>
            <w:tcW w:w="804" w:type="dxa"/>
          </w:tcPr>
          <w:p>
            <w:pPr/>
            <w:r>
              <w:t xml:space="preserve">16.7×</w:t>
            </w:r>
          </w:p>
        </w:tc>
        <w:tc>
          <w:tcPr>
            <w:tcW w:w="1040" w:type="dxa"/>
          </w:tcPr>
          <w:p>
            <w:pPr/>
            <w:r>
              <w:t xml:space="preserve">6.5%</w:t>
            </w:r>
          </w:p>
        </w:tc>
        <w:tc>
          <w:tcPr>
            <w:tcW w:w="956" w:type="dxa"/>
          </w:tcPr>
          <w:p>
            <w:pPr/>
            <w:r>
              <w:t xml:space="preserve">0.8%</w:t>
            </w:r>
          </w:p>
        </w:tc>
        <w:tc>
          <w:tcPr>
            <w:tcW w:w="989" w:type="dxa"/>
          </w:tcPr>
          <w:p>
            <w:pPr/>
            <w:r>
              <w:t xml:space="preserve">85.9%</w:t>
            </w:r>
          </w:p>
        </w:tc>
        <w:tc>
          <w:tcPr>
            <w:tcW w:w="1040" w:type="dxa"/>
          </w:tcPr>
          <w:p>
            <w:pPr/>
            <w:r>
              <w:t xml:space="preserve">15.4%</w:t>
            </w:r>
          </w:p>
        </w:tc>
        <w:tc>
          <w:tcPr>
            <w:tcW w:w="1418" w:type="dxa"/>
          </w:tcPr>
          <w:p>
            <w:pPr/>
            <w:r>
              <w:t xml:space="preserve">15.7% vs 2.8%</w:t>
            </w:r>
          </w:p>
        </w:tc>
      </w:tr>
      <w:tr>
        <w:tc>
          <w:tcPr>
            <w:tcW w:w="1372" w:type="dxa"/>
          </w:tcPr>
          <w:p>
            <w:pPr/>
            <w:r>
              <w:t xml:space="preserve">Lookup, full (train + update)</w:t>
            </w:r>
          </w:p>
        </w:tc>
        <w:tc>
          <w:tcPr>
            <w:tcW w:w="870" w:type="dxa"/>
          </w:tcPr>
          <w:p>
            <w:pPr/>
            <w:r>
              <w:t xml:space="preserve">0.627</w:t>
            </w:r>
          </w:p>
        </w:tc>
        <w:tc>
          <w:tcPr>
            <w:tcW w:w="870" w:type="dxa"/>
          </w:tcPr>
          <w:p>
            <w:pPr/>
            <w:r>
              <w:t xml:space="preserve">0.958</w:t>
            </w:r>
          </w:p>
        </w:tc>
        <w:tc>
          <w:tcPr>
            <w:tcW w:w="804" w:type="dxa"/>
          </w:tcPr>
          <w:p>
            <w:pPr/>
            <w:r>
              <w:t xml:space="preserve">21.2×</w:t>
            </w:r>
          </w:p>
        </w:tc>
        <w:tc>
          <w:tcPr>
            <w:tcW w:w="1040" w:type="dxa"/>
          </w:tcPr>
          <w:p>
            <w:pPr/>
            <w:r>
              <w:t xml:space="preserve">14.8%</w:t>
            </w:r>
          </w:p>
        </w:tc>
        <w:tc>
          <w:tcPr>
            <w:tcW w:w="956" w:type="dxa"/>
          </w:tcPr>
          <w:p>
            <w:pPr/>
            <w:r>
              <w:t xml:space="preserve">10.5%</w:t>
            </w:r>
          </w:p>
        </w:tc>
        <w:tc>
          <w:tcPr>
            <w:tcW w:w="989" w:type="dxa"/>
          </w:tcPr>
          <w:p>
            <w:pPr/>
            <w:r>
              <w:t xml:space="preserve">93.0%</w:t>
            </w:r>
          </w:p>
        </w:tc>
        <w:tc>
          <w:tcPr>
            <w:tcW w:w="1040" w:type="dxa"/>
          </w:tcPr>
          <w:p>
            <w:pPr/>
            <w:r>
              <w:t xml:space="preserve">16.7%</w:t>
            </w:r>
          </w:p>
        </w:tc>
        <w:tc>
          <w:tcPr>
            <w:tcW w:w="1418" w:type="dxa"/>
          </w:tcPr>
          <w:p>
            <w:pPr/>
            <w:r>
              <w:t xml:space="preserve">9.2% vs 2.8%</w:t>
            </w:r>
          </w:p>
        </w:tc>
      </w:tr>
    </w:tbl>
    <w:p>
      <w:pPr/>
      <w:r>
        <w:rPr>
          <w:b/>
        </w:rPr>
        <w:t xml:space="preserve">What it means:</w:t>
      </w:r>
    </w:p>
    <w:p>
      <w:pPr>
        <w:pStyle w:val="ListParagraph"/>
        <w:numPr>
          <w:ilvl w:val="0"/>
          <w:numId w:val="5"/>
        </w:numPr>
      </w:pPr>
      <w:r>
        <w:rPr>
          <w:b/>
        </w:rPr>
        <w:t xml:space="preserve">History alone is already strong.</w:t>
      </w:r>
      <w:r>
        <w:t xml:space="preserve"> Knowing the PA rate of each CPT + plan ranks visits about 21 times better than random.</w:t>
      </w:r>
    </w:p>
    <w:p>
      <w:pPr>
        <w:pStyle w:val="ListParagraph"/>
        <w:numPr>
          <w:ilvl w:val="0"/>
          <w:numId w:val="5"/>
        </w:numPr>
      </w:pPr>
      <w:r>
        <w:rPr>
          <w:b/>
        </w:rPr>
        <w:t xml:space="preserve">Recent months matter.</w:t>
      </w:r>
      <w:r>
        <w:t xml:space="preserve"> Adding Feb–Apr 2026 lifts AP from 0.522 to 0.627, because PA behaviour (or labelling) shifted between 2025 and 2026.</w:t>
      </w:r>
    </w:p>
    <w:p>
      <w:pPr>
        <w:pStyle w:val="ListParagraph"/>
        <w:numPr>
          <w:ilvl w:val="0"/>
          <w:numId w:val="5"/>
        </w:numPr>
      </w:pPr>
      <w:r>
        <w:rPr>
          <w:b/>
        </w:rPr>
        <w:t xml:space="preserve">Its confident tier is small:</w:t>
      </w:r>
      <w:r>
        <w:t xml:space="preserve"> at 90% precision it catches only 15% of PA visits.</w:t>
      </w:r>
    </w:p>
    <w:p>
      <w:pPr>
        <w:pStyle w:val="ListParagraph"/>
        <w:numPr>
          <w:ilvl w:val="0"/>
          <w:numId w:val="5"/>
        </w:numPr>
      </w:pPr>
      <w:r>
        <w:rPr>
          <w:b/>
        </w:rPr>
        <w:t xml:space="preserve">Its scores run high</w:t>
      </w:r>
      <w:r>
        <w:t xml:space="preserve"> (predicted 9–16% against an actual 2.8%), partly because 2025 had more PA (4.15%) than the test months.</w:t>
      </w:r>
    </w:p>
    <w:p>
      <w:pPr>
        <w:pStyle w:val="Heading2"/>
      </w:pPr>
      <w:r>
        <w:t xml:space="preserve">LightGBM models</w:t>
      </w:r>
    </w:p>
    <w:p>
      <w:pPr/>
      <w:r>
        <w:t xml:space="preserve">LightGBM + rules, trained on all data before the test window, is the best model: visit AP 0.707, catching 30% of PA visits at 90% precision.</w:t>
      </w:r>
    </w:p>
    <w:p>
      <w:pPr/>
      <w:r>
        <w:rPr>
          <w:b/>
        </w:rPr>
        <w:t xml:space="preserve">How it works.</w:t>
      </w:r>
      <w:r>
        <w:t xml:space="preserve"> LightGBM is gradient boosting: it builds hundreds of small decision trees, each correcting the errors of the ones before, and adds up their scores. Unlike the lookup, it shares information across groups. For example, it learns that a CPT tends to need PA across many payors, so it handles small and new groups better. Training stops when the score on a held-out 10% of training visits stops improving (450–560 trees here).</w:t>
      </w:r>
    </w:p>
    <w:tbl>
      <w:tblPr>
        <w:tblStyle w:val="TableGrid"/>
        <w:tblW w:w="0" w:type="auto"/>
        <w:tblLayout w:type="fixed"/>
        <w:tblLook w:val="04A0" w:firstRow="1" w:lastRow="0" w:firstColumn="0" w:lastColumn="0" w:noHBand="0" w:noVBand="1"/>
      </w:tblPr>
      <w:tblGrid>
        <w:gridCol w:w="780"/>
        <w:gridCol w:w="780"/>
        <w:gridCol w:w="780"/>
        <w:gridCol w:w="780"/>
        <w:gridCol w:w="780"/>
        <w:gridCol w:w="780"/>
        <w:gridCol w:w="780"/>
        <w:gridCol w:w="780"/>
        <w:gridCol w:w="780"/>
        <w:gridCol w:w="780"/>
        <w:gridCol w:w="780"/>
        <w:gridCol w:w="780"/>
      </w:tblGrid>
      <w:tr>
        <w:trPr>
          <w:tblHeader/>
        </w:trPr>
        <w:tc>
          <w:tcPr>
            <w:tcW w:w="780" w:type="dxa"/>
            <w:shd w:val="clear" w:color="auto" w:fill="F2F2F2"/>
          </w:tcPr>
          <w:p>
            <w:pPr/>
            <w:r>
              <w:t xml:space="preserve">Model</w:t>
            </w:r>
          </w:p>
        </w:tc>
        <w:tc>
          <w:tcPr>
            <w:tcW w:w="780" w:type="dxa"/>
            <w:shd w:val="clear" w:color="auto" w:fill="F2F2F2"/>
          </w:tcPr>
          <w:p>
            <w:pPr/>
            <w:r>
              <w:t xml:space="preserve">AP (visit)</w:t>
            </w:r>
          </w:p>
        </w:tc>
        <w:tc>
          <w:tcPr>
            <w:tcW w:w="780" w:type="dxa"/>
            <w:shd w:val="clear" w:color="auto" w:fill="F2F2F2"/>
          </w:tcPr>
          <w:p>
            <w:pPr/>
            <w:r>
              <w:t xml:space="preserve">AUC (visit)</w:t>
            </w:r>
          </w:p>
        </w:tc>
        <w:tc>
          <w:tcPr>
            <w:tcW w:w="780" w:type="dxa"/>
            <w:shd w:val="clear" w:color="auto" w:fill="F2F2F2"/>
          </w:tcPr>
          <w:p>
            <w:pPr/>
            <w:r>
              <w:t xml:space="preserve">AP (line)</w:t>
            </w:r>
          </w:p>
        </w:tc>
        <w:tc>
          <w:tcPr>
            <w:tcW w:w="780" w:type="dxa"/>
            <w:shd w:val="clear" w:color="auto" w:fill="F2F2F2"/>
          </w:tcPr>
          <w:p>
            <w:pPr/>
            <w:r>
              <w:t xml:space="preserve">AP lift (line)</w:t>
            </w:r>
          </w:p>
        </w:tc>
        <w:tc>
          <w:tcPr>
            <w:tcW w:w="780" w:type="dxa"/>
            <w:shd w:val="clear" w:color="auto" w:fill="F2F2F2"/>
          </w:tcPr>
          <w:p>
            <w:pPr/>
            <w:r>
              <w:t xml:space="preserve">PA caught at 90% precision</w:t>
            </w:r>
          </w:p>
        </w:tc>
        <w:tc>
          <w:tcPr>
            <w:tcW w:w="780" w:type="dxa"/>
            <w:shd w:val="clear" w:color="auto" w:fill="F2F2F2"/>
          </w:tcPr>
          <w:p>
            <w:pPr/>
            <w:r>
              <w:t xml:space="preserve">at 94%</w:t>
            </w:r>
          </w:p>
        </w:tc>
        <w:tc>
          <w:tcPr>
            <w:tcW w:w="780" w:type="dxa"/>
            <w:shd w:val="clear" w:color="auto" w:fill="F2F2F2"/>
          </w:tcPr>
          <w:p>
            <w:pPr/>
            <w:r>
              <w:t xml:space="preserve">Auto-cleared at 99.5% NPV</w:t>
            </w:r>
          </w:p>
        </w:tc>
        <w:tc>
          <w:tcPr>
            <w:tcW w:w="780" w:type="dxa"/>
            <w:shd w:val="clear" w:color="auto" w:fill="F2F2F2"/>
          </w:tcPr>
          <w:p>
            <w:pPr/>
            <w:r>
              <w:t xml:space="preserve">PA wrongly cleared</w:t>
            </w:r>
          </w:p>
        </w:tc>
        <w:tc>
          <w:tcPr>
            <w:tcW w:w="780" w:type="dxa"/>
            <w:shd w:val="clear" w:color="auto" w:fill="F2F2F2"/>
          </w:tcPr>
          <w:p>
            <w:pPr/>
            <w:r>
              <w:t xml:space="preserve">Brier (visit)</w:t>
            </w:r>
          </w:p>
        </w:tc>
        <w:tc>
          <w:tcPr>
            <w:tcW w:w="780" w:type="dxa"/>
            <w:shd w:val="clear" w:color="auto" w:fill="F2F2F2"/>
          </w:tcPr>
          <w:p>
            <w:pPr/>
            <w:r>
              <w:t xml:space="preserve">ECE (visit)</w:t>
            </w:r>
          </w:p>
        </w:tc>
        <w:tc>
          <w:tcPr>
            <w:tcW w:w="780" w:type="dxa"/>
            <w:shd w:val="clear" w:color="auto" w:fill="F2F2F2"/>
          </w:tcPr>
          <w:p>
            <w:pPr/>
            <w:r>
              <w:t xml:space="preserve">Predicted vs actual PA rate (visit)</w:t>
            </w:r>
          </w:p>
        </w:tc>
      </w:tr>
      <w:tr>
        <w:tc>
          <w:tcPr>
            <w:tcW w:w="780" w:type="dxa"/>
          </w:tcPr>
          <w:p>
            <w:pPr/>
            <w:r>
              <w:t xml:space="preserve">LightGBM, frozen</w:t>
            </w:r>
          </w:p>
        </w:tc>
        <w:tc>
          <w:tcPr>
            <w:tcW w:w="780" w:type="dxa"/>
          </w:tcPr>
          <w:p>
            <w:pPr/>
            <w:r>
              <w:t xml:space="preserve">0.566</w:t>
            </w:r>
          </w:p>
        </w:tc>
        <w:tc>
          <w:tcPr>
            <w:tcW w:w="780" w:type="dxa"/>
          </w:tcPr>
          <w:p>
            <w:pPr/>
            <w:r>
              <w:t xml:space="preserve">0.940</w:t>
            </w:r>
          </w:p>
        </w:tc>
        <w:tc>
          <w:tcPr>
            <w:tcW w:w="780" w:type="dxa"/>
          </w:tcPr>
          <w:p>
            <w:pPr/>
            <w:r>
              <w:t xml:space="preserve">0.502</w:t>
            </w:r>
          </w:p>
        </w:tc>
        <w:tc>
          <w:tcPr>
            <w:tcW w:w="780" w:type="dxa"/>
          </w:tcPr>
          <w:p>
            <w:pPr/>
            <w:r>
              <w:t xml:space="preserve">17.9×</w:t>
            </w:r>
          </w:p>
        </w:tc>
        <w:tc>
          <w:tcPr>
            <w:tcW w:w="780" w:type="dxa"/>
          </w:tcPr>
          <w:p>
            <w:pPr/>
            <w:r>
              <w:t xml:space="preserve">0.9%</w:t>
            </w:r>
          </w:p>
        </w:tc>
        <w:tc>
          <w:tcPr>
            <w:tcW w:w="780" w:type="dxa"/>
          </w:tcPr>
          <w:p>
            <w:pPr/>
            <w:r>
              <w:t xml:space="preserve">0.9%</w:t>
            </w:r>
          </w:p>
        </w:tc>
        <w:tc>
          <w:tcPr>
            <w:tcW w:w="780" w:type="dxa"/>
          </w:tcPr>
          <w:p>
            <w:pPr/>
            <w:r>
              <w:t xml:space="preserve">87.7%</w:t>
            </w:r>
          </w:p>
        </w:tc>
        <w:tc>
          <w:tcPr>
            <w:tcW w:w="780" w:type="dxa"/>
          </w:tcPr>
          <w:p>
            <w:pPr/>
            <w:r>
              <w:t xml:space="preserve">15.8%</w:t>
            </w:r>
          </w:p>
        </w:tc>
        <w:tc>
          <w:tcPr>
            <w:tcW w:w="780" w:type="dxa"/>
          </w:tcPr>
          <w:p>
            <w:pPr/>
            <w:r>
              <w:t xml:space="preserve">0.104</w:t>
            </w:r>
          </w:p>
        </w:tc>
        <w:tc>
          <w:tcPr>
            <w:tcW w:w="780" w:type="dxa"/>
          </w:tcPr>
          <w:p>
            <w:pPr/>
            <w:r>
              <w:t xml:space="preserve">0.162</w:t>
            </w:r>
          </w:p>
        </w:tc>
        <w:tc>
          <w:tcPr>
            <w:tcW w:w="780" w:type="dxa"/>
          </w:tcPr>
          <w:p>
            <w:pPr/>
            <w:r>
              <w:t xml:space="preserve">19.0% vs 2.8%</w:t>
            </w:r>
          </w:p>
        </w:tc>
      </w:tr>
      <w:tr>
        <w:tc>
          <w:tcPr>
            <w:tcW w:w="780" w:type="dxa"/>
          </w:tcPr>
          <w:p>
            <w:pPr/>
            <w:r>
              <w:t xml:space="preserve">LightGBM, full</w:t>
            </w:r>
          </w:p>
        </w:tc>
        <w:tc>
          <w:tcPr>
            <w:tcW w:w="780" w:type="dxa"/>
          </w:tcPr>
          <w:p>
            <w:pPr/>
            <w:r>
              <w:t xml:space="preserve">0.693</w:t>
            </w:r>
          </w:p>
        </w:tc>
        <w:tc>
          <w:tcPr>
            <w:tcW w:w="780" w:type="dxa"/>
          </w:tcPr>
          <w:p>
            <w:pPr/>
            <w:r>
              <w:t xml:space="preserve">0.966</w:t>
            </w:r>
          </w:p>
        </w:tc>
        <w:tc>
          <w:tcPr>
            <w:tcW w:w="780" w:type="dxa"/>
          </w:tcPr>
          <w:p>
            <w:pPr/>
            <w:r>
              <w:t xml:space="preserve">0.641</w:t>
            </w:r>
          </w:p>
        </w:tc>
        <w:tc>
          <w:tcPr>
            <w:tcW w:w="780" w:type="dxa"/>
          </w:tcPr>
          <w:p>
            <w:pPr/>
            <w:r>
              <w:t xml:space="preserve">22.9×</w:t>
            </w:r>
          </w:p>
        </w:tc>
        <w:tc>
          <w:tcPr>
            <w:tcW w:w="780" w:type="dxa"/>
          </w:tcPr>
          <w:p>
            <w:pPr/>
            <w:r>
              <w:t xml:space="preserve">25.8%</w:t>
            </w:r>
          </w:p>
        </w:tc>
        <w:tc>
          <w:tcPr>
            <w:tcW w:w="780" w:type="dxa"/>
          </w:tcPr>
          <w:p>
            <w:pPr/>
            <w:r>
              <w:t xml:space="preserve">15.6%</w:t>
            </w:r>
          </w:p>
        </w:tc>
        <w:tc>
          <w:tcPr>
            <w:tcW w:w="780" w:type="dxa"/>
          </w:tcPr>
          <w:p>
            <w:pPr/>
            <w:r>
              <w:t xml:space="preserve">94.1%</w:t>
            </w:r>
          </w:p>
        </w:tc>
        <w:tc>
          <w:tcPr>
            <w:tcW w:w="780" w:type="dxa"/>
          </w:tcPr>
          <w:p>
            <w:pPr/>
            <w:r>
              <w:t xml:space="preserve">16.9%</w:t>
            </w:r>
          </w:p>
        </w:tc>
        <w:tc>
          <w:tcPr>
            <w:tcW w:w="780" w:type="dxa"/>
          </w:tcPr>
          <w:p>
            <w:pPr/>
            <w:r>
              <w:t xml:space="preserve">0.039</w:t>
            </w:r>
          </w:p>
        </w:tc>
        <w:tc>
          <w:tcPr>
            <w:tcW w:w="780" w:type="dxa"/>
          </w:tcPr>
          <w:p>
            <w:pPr/>
            <w:r>
              <w:t xml:space="preserve">0.073</w:t>
            </w:r>
          </w:p>
        </w:tc>
        <w:tc>
          <w:tcPr>
            <w:tcW w:w="780" w:type="dxa"/>
          </w:tcPr>
          <w:p>
            <w:pPr/>
            <w:r>
              <w:t xml:space="preserve">10.1% vs 2.8%</w:t>
            </w:r>
          </w:p>
        </w:tc>
      </w:tr>
      <w:tr>
        <w:tc>
          <w:tcPr>
            <w:tcW w:w="780" w:type="dxa"/>
          </w:tcPr>
          <w:p>
            <w:pPr/>
            <w:r>
              <w:t xml:space="preserve">LightGBM + rules, frozen</w:t>
            </w:r>
          </w:p>
        </w:tc>
        <w:tc>
          <w:tcPr>
            <w:tcW w:w="780" w:type="dxa"/>
          </w:tcPr>
          <w:p>
            <w:pPr/>
            <w:r>
              <w:t xml:space="preserve">0.593</w:t>
            </w:r>
          </w:p>
        </w:tc>
        <w:tc>
          <w:tcPr>
            <w:tcW w:w="780" w:type="dxa"/>
          </w:tcPr>
          <w:p>
            <w:pPr/>
            <w:r>
              <w:t xml:space="preserve">0.942</w:t>
            </w:r>
          </w:p>
        </w:tc>
        <w:tc>
          <w:tcPr>
            <w:tcW w:w="780" w:type="dxa"/>
          </w:tcPr>
          <w:p>
            <w:pPr/>
            <w:r>
              <w:t xml:space="preserve">0.519</w:t>
            </w:r>
          </w:p>
        </w:tc>
        <w:tc>
          <w:tcPr>
            <w:tcW w:w="780" w:type="dxa"/>
          </w:tcPr>
          <w:p>
            <w:pPr/>
            <w:r>
              <w:t xml:space="preserve">18.5×</w:t>
            </w:r>
          </w:p>
        </w:tc>
        <w:tc>
          <w:tcPr>
            <w:tcW w:w="780" w:type="dxa"/>
          </w:tcPr>
          <w:p>
            <w:pPr/>
            <w:r>
              <w:t xml:space="preserve">4.2%</w:t>
            </w:r>
          </w:p>
        </w:tc>
        <w:tc>
          <w:tcPr>
            <w:tcW w:w="780" w:type="dxa"/>
          </w:tcPr>
          <w:p>
            <w:pPr/>
            <w:r>
              <w:t xml:space="preserve">4.0%</w:t>
            </w:r>
          </w:p>
        </w:tc>
        <w:tc>
          <w:tcPr>
            <w:tcW w:w="780" w:type="dxa"/>
          </w:tcPr>
          <w:p>
            <w:pPr/>
            <w:r>
              <w:t xml:space="preserve">88.3%</w:t>
            </w:r>
          </w:p>
        </w:tc>
        <w:tc>
          <w:tcPr>
            <w:tcW w:w="780" w:type="dxa"/>
          </w:tcPr>
          <w:p>
            <w:pPr/>
            <w:r>
              <w:t xml:space="preserve">15.9%</w:t>
            </w:r>
          </w:p>
        </w:tc>
        <w:tc>
          <w:tcPr>
            <w:tcW w:w="780" w:type="dxa"/>
          </w:tcPr>
          <w:p>
            <w:pPr/>
            <w:r>
              <w:t xml:space="preserve">0.103</w:t>
            </w:r>
          </w:p>
        </w:tc>
        <w:tc>
          <w:tcPr>
            <w:tcW w:w="780" w:type="dxa"/>
          </w:tcPr>
          <w:p>
            <w:pPr/>
            <w:r>
              <w:t xml:space="preserve">0.163</w:t>
            </w:r>
          </w:p>
        </w:tc>
        <w:tc>
          <w:tcPr>
            <w:tcW w:w="780" w:type="dxa"/>
          </w:tcPr>
          <w:p>
            <w:pPr/>
            <w:r>
              <w:t xml:space="preserve">19.1% vs 2.8%</w:t>
            </w:r>
          </w:p>
        </w:tc>
      </w:tr>
      <w:tr>
        <w:tc>
          <w:tcPr>
            <w:tcW w:w="780" w:type="dxa"/>
          </w:tcPr>
          <w:p>
            <w:pPr/>
            <w:r>
              <w:rPr>
                <w:b/>
              </w:rPr>
              <w:t xml:space="preserve">LightGBM + rules, full</w:t>
            </w:r>
          </w:p>
        </w:tc>
        <w:tc>
          <w:tcPr>
            <w:tcW w:w="780" w:type="dxa"/>
          </w:tcPr>
          <w:p>
            <w:pPr/>
            <w:r>
              <w:rPr>
                <w:b/>
              </w:rPr>
              <w:t xml:space="preserve">0.707</w:t>
            </w:r>
          </w:p>
        </w:tc>
        <w:tc>
          <w:tcPr>
            <w:tcW w:w="780" w:type="dxa"/>
          </w:tcPr>
          <w:p>
            <w:pPr/>
            <w:r>
              <w:rPr>
                <w:b/>
              </w:rPr>
              <w:t xml:space="preserve">0.967</w:t>
            </w:r>
          </w:p>
        </w:tc>
        <w:tc>
          <w:tcPr>
            <w:tcW w:w="780" w:type="dxa"/>
          </w:tcPr>
          <w:p>
            <w:pPr/>
            <w:r>
              <w:rPr>
                <w:b/>
              </w:rPr>
              <w:t xml:space="preserve">0.649</w:t>
            </w:r>
          </w:p>
        </w:tc>
        <w:tc>
          <w:tcPr>
            <w:tcW w:w="780" w:type="dxa"/>
          </w:tcPr>
          <w:p>
            <w:pPr/>
            <w:r>
              <w:rPr>
                <w:b/>
              </w:rPr>
              <w:t xml:space="preserve">23.2×</w:t>
            </w:r>
          </w:p>
        </w:tc>
        <w:tc>
          <w:tcPr>
            <w:tcW w:w="780" w:type="dxa"/>
          </w:tcPr>
          <w:p>
            <w:pPr/>
            <w:r>
              <w:rPr>
                <w:b/>
              </w:rPr>
              <w:t xml:space="preserve">30.2%</w:t>
            </w:r>
          </w:p>
        </w:tc>
        <w:tc>
          <w:tcPr>
            <w:tcW w:w="780" w:type="dxa"/>
          </w:tcPr>
          <w:p>
            <w:pPr/>
            <w:r>
              <w:rPr>
                <w:b/>
              </w:rPr>
              <w:t xml:space="preserve">20.5%</w:t>
            </w:r>
          </w:p>
        </w:tc>
        <w:tc>
          <w:tcPr>
            <w:tcW w:w="780" w:type="dxa"/>
          </w:tcPr>
          <w:p>
            <w:pPr/>
            <w:r>
              <w:t xml:space="preserve">94.5%</w:t>
            </w:r>
          </w:p>
        </w:tc>
        <w:tc>
          <w:tcPr>
            <w:tcW w:w="780" w:type="dxa"/>
          </w:tcPr>
          <w:p>
            <w:pPr/>
            <w:r>
              <w:t xml:space="preserve">17.0%</w:t>
            </w:r>
          </w:p>
        </w:tc>
        <w:tc>
          <w:tcPr>
            <w:tcW w:w="780" w:type="dxa"/>
          </w:tcPr>
          <w:p>
            <w:pPr/>
            <w:r>
              <w:t xml:space="preserve">0.038</w:t>
            </w:r>
          </w:p>
        </w:tc>
        <w:tc>
          <w:tcPr>
            <w:tcW w:w="780" w:type="dxa"/>
          </w:tcPr>
          <w:p>
            <w:pPr/>
            <w:r>
              <w:t xml:space="preserve">0.072</w:t>
            </w:r>
          </w:p>
        </w:tc>
        <w:tc>
          <w:tcPr>
            <w:tcW w:w="780" w:type="dxa"/>
          </w:tcPr>
          <w:p>
            <w:pPr/>
            <w:r>
              <w:t xml:space="preserve">10.0% vs 2.8%</w:t>
            </w:r>
          </w:p>
        </w:tc>
      </w:tr>
    </w:tbl>
    <w:p>
      <w:pPr/>
      <w:r>
        <w:rPr>
          <w:b/>
        </w:rPr>
        <w:t xml:space="preserve">What it means:</w:t>
      </w:r>
    </w:p>
    <w:p>
      <w:pPr>
        <w:pStyle w:val="ListParagraph"/>
        <w:numPr>
          <w:ilvl w:val="0"/>
          <w:numId w:val="6"/>
        </w:numPr>
      </w:pPr>
      <w:r>
        <w:rPr>
          <w:b/>
        </w:rPr>
        <w:t xml:space="preserve">LightGBM beats the lookup:</w:t>
      </w:r>
      <w:r>
        <w:t xml:space="preserve"> 0.693 vs 0.627 AP without rules, and 0.707 with rules. The bigger gain is in the confident tier: 30% of PA caught at 90% precision, against 15% for the lookup.</w:t>
      </w:r>
    </w:p>
    <w:p>
      <w:pPr>
        <w:pStyle w:val="ListParagraph"/>
        <w:numPr>
          <w:ilvl w:val="0"/>
          <w:numId w:val="6"/>
        </w:numPr>
      </w:pPr>
      <w:r>
        <w:rPr>
          <w:b/>
        </w:rPr>
        <w:t xml:space="preserve">The rules feature helps:</w:t>
      </w:r>
      <w:r>
        <w:t xml:space="preserve"> +0.028 AP for the frozen model and +0.013 for the full one. The confident tier grows from 25.8% to 30.2%. The payer rule lists carry information beyond claims history, even with the provisional payor-level mapping.</w:t>
      </w:r>
    </w:p>
    <w:p>
      <w:pPr>
        <w:pStyle w:val="ListParagraph"/>
        <w:numPr>
          <w:ilvl w:val="0"/>
          <w:numId w:val="6"/>
        </w:numPr>
      </w:pPr>
      <w:r>
        <w:rPr>
          <w:b/>
        </w:rPr>
        <w:t xml:space="preserve">Recent data matters most.</w:t>
      </w:r>
      <w:r>
        <w:t xml:space="preserve"> Without Feb–Apr 2026, AP drops by about 0.11–0.13 and the confident tier almost disappears. This is the gap the update experiments (cell weights, refit, time decay) must close without a full retrain.</w:t>
      </w:r>
    </w:p>
    <w:p>
      <w:pPr>
        <w:pStyle w:val="ListParagraph"/>
        <w:numPr>
          <w:ilvl w:val="0"/>
          <w:numId w:val="6"/>
        </w:numPr>
      </w:pPr>
      <w:r>
        <w:rPr>
          <w:b/>
        </w:rPr>
        <w:t xml:space="preserve">Auto-clearing is not ready.</w:t>
      </w:r>
      <w:r>
        <w:t xml:space="preserve"> Every model can clear about 94% of visits at 99.5% NPV, but that misses about 17% of all PA visits.</w:t>
      </w:r>
    </w:p>
    <w:p>
      <w:pPr>
        <w:pStyle w:val="ListParagraph"/>
        <w:numPr>
          <w:ilvl w:val="0"/>
          <w:numId w:val="6"/>
        </w:numPr>
      </w:pPr>
      <w:r>
        <w:rPr>
          <w:b/>
        </w:rPr>
        <w:t xml:space="preserve">Scores need calibration.</w:t>
      </w:r>
      <w:r>
        <w:t xml:space="preserve"> The full models predict a 10% visit PA rate against an actual 2.8%. Part of this is the higher 2025 PA rate; part is the visit score taking the highest line score. Ranking is unaffected; calibration is a planned step.</w:t>
      </w:r>
    </w:p>
    <w:p>
      <w:pPr>
        <w:pStyle w:val="Heading2"/>
      </w:pPr>
      <w:r>
        <w:t xml:space="preserve">What it means in practice</w:t>
      </w:r>
    </w:p>
    <w:p>
      <w:pPr/>
      <w:r>
        <w:t xml:space="preserve">With the best model, staff can catch 90% of PA visits by checking about 107 of every 1,000 visits, instead of all 1,000.</w:t>
      </w:r>
    </w:p>
    <w:p>
      <w:pPr/>
      <w:r>
        <w:t xml:space="preserve">The test window had 249,526 visits, of which 6,942 needed PA: about 28 per 1,000. Model: LightGBM + rules, full.</w:t>
      </w:r>
    </w:p>
    <w:p>
      <w:pPr/>
      <w:r>
        <w:rPr>
          <w:b/>
        </w:rPr>
        <w:t xml:space="preserve">Choosing how many PA visits to catch.</w:t>
      </w:r>
      <w:r>
        <w:t xml:space="preserve"> "Flagged" means the model marks the visit as "PA likely" and staff act on it.</w:t>
      </w:r>
    </w:p>
    <w:tbl>
      <w:tblPr>
        <w:tblStyle w:val="TableGrid"/>
        <w:tblW w:w="0" w:type="auto"/>
        <w:tblLayout w:type="fixed"/>
        <w:tblLook w:val="04A0" w:firstRow="1" w:lastRow="0" w:firstColumn="0" w:lastColumn="0" w:noHBand="0" w:noVBand="1"/>
      </w:tblPr>
      <w:tblGrid>
        <w:gridCol w:w="2233"/>
        <w:gridCol w:w="1496"/>
        <w:gridCol w:w="2246"/>
        <w:gridCol w:w="1803"/>
        <w:gridCol w:w="1582"/>
      </w:tblGrid>
      <w:tr>
        <w:trPr>
          <w:tblHeader/>
        </w:trPr>
        <w:tc>
          <w:tcPr>
            <w:tcW w:w="2233" w:type="dxa"/>
            <w:shd w:val="clear" w:color="auto" w:fill="F2F2F2"/>
          </w:tcPr>
          <w:p>
            <w:pPr/>
            <w:r>
              <w:t xml:space="preserve">Target: share of PA visits caught (recall)</w:t>
            </w:r>
          </w:p>
        </w:tc>
        <w:tc>
          <w:tcPr>
            <w:tcW w:w="1496" w:type="dxa"/>
            <w:shd w:val="clear" w:color="auto" w:fill="F2F2F2"/>
          </w:tcPr>
          <w:p>
            <w:pPr/>
            <w:r>
              <w:t xml:space="preserve">Visits flagged per 1,000</w:t>
            </w:r>
          </w:p>
        </w:tc>
        <w:tc>
          <w:tcPr>
            <w:tcW w:w="2246" w:type="dxa"/>
            <w:shd w:val="clear" w:color="auto" w:fill="F2F2F2"/>
          </w:tcPr>
          <w:p>
            <w:pPr/>
            <w:r>
              <w:t xml:space="preserve">Real PA among flags (precision)</w:t>
            </w:r>
          </w:p>
        </w:tc>
        <w:tc>
          <w:tcPr>
            <w:tcW w:w="1803" w:type="dxa"/>
            <w:shd w:val="clear" w:color="auto" w:fill="F2F2F2"/>
          </w:tcPr>
          <w:p>
            <w:pPr/>
            <w:r>
              <w:t xml:space="preserve">PA visits missed per 1,000</w:t>
            </w:r>
          </w:p>
        </w:tc>
        <w:tc>
          <w:tcPr>
            <w:tcW w:w="1582" w:type="dxa"/>
            <w:shd w:val="clear" w:color="auto" w:fill="F2F2F2"/>
          </w:tcPr>
          <w:p>
            <w:pPr/>
            <w:r>
              <w:t xml:space="preserve">Cut-off score</w:t>
            </w:r>
          </w:p>
        </w:tc>
      </w:tr>
      <w:tr>
        <w:tc>
          <w:tcPr>
            <w:tcW w:w="2233" w:type="dxa"/>
          </w:tcPr>
          <w:p>
            <w:pPr/>
            <w:r>
              <w:t xml:space="preserve">70%</w:t>
            </w:r>
          </w:p>
        </w:tc>
        <w:tc>
          <w:tcPr>
            <w:tcW w:w="1496" w:type="dxa"/>
          </w:tcPr>
          <w:p>
            <w:pPr/>
            <w:r>
              <w:t xml:space="preserve">30</w:t>
            </w:r>
          </w:p>
        </w:tc>
        <w:tc>
          <w:tcPr>
            <w:tcW w:w="2246" w:type="dxa"/>
          </w:tcPr>
          <w:p>
            <w:pPr/>
            <w:r>
              <w:t xml:space="preserve">65.9%</w:t>
            </w:r>
          </w:p>
        </w:tc>
        <w:tc>
          <w:tcPr>
            <w:tcW w:w="1803" w:type="dxa"/>
          </w:tcPr>
          <w:p>
            <w:pPr/>
            <w:r>
              <w:t xml:space="preserve">8</w:t>
            </w:r>
          </w:p>
        </w:tc>
        <w:tc>
          <w:tcPr>
            <w:tcW w:w="1582" w:type="dxa"/>
          </w:tcPr>
          <w:p>
            <w:pPr/>
            <w:r>
              <w:t xml:space="preserve">0.893</w:t>
            </w:r>
          </w:p>
        </w:tc>
      </w:tr>
      <w:tr>
        <w:tc>
          <w:tcPr>
            <w:tcW w:w="2233" w:type="dxa"/>
          </w:tcPr>
          <w:p>
            <w:pPr/>
            <w:r>
              <w:t xml:space="preserve">80%</w:t>
            </w:r>
          </w:p>
        </w:tc>
        <w:tc>
          <w:tcPr>
            <w:tcW w:w="1496" w:type="dxa"/>
          </w:tcPr>
          <w:p>
            <w:pPr/>
            <w:r>
              <w:t xml:space="preserve">46</w:t>
            </w:r>
          </w:p>
        </w:tc>
        <w:tc>
          <w:tcPr>
            <w:tcW w:w="2246" w:type="dxa"/>
          </w:tcPr>
          <w:p>
            <w:pPr/>
            <w:r>
              <w:t xml:space="preserve">48.2%</w:t>
            </w:r>
          </w:p>
        </w:tc>
        <w:tc>
          <w:tcPr>
            <w:tcW w:w="1803" w:type="dxa"/>
          </w:tcPr>
          <w:p>
            <w:pPr/>
            <w:r>
              <w:t xml:space="preserve">6</w:t>
            </w:r>
          </w:p>
        </w:tc>
        <w:tc>
          <w:tcPr>
            <w:tcW w:w="1582" w:type="dxa"/>
          </w:tcPr>
          <w:p>
            <w:pPr/>
            <w:r>
              <w:t xml:space="preserve">0.696</w:t>
            </w:r>
          </w:p>
        </w:tc>
      </w:tr>
      <w:tr>
        <w:tc>
          <w:tcPr>
            <w:tcW w:w="2233" w:type="dxa"/>
          </w:tcPr>
          <w:p>
            <w:pPr/>
            <w:r>
              <w:rPr>
                <w:b/>
              </w:rPr>
              <w:t xml:space="preserve">90%</w:t>
            </w:r>
          </w:p>
        </w:tc>
        <w:tc>
          <w:tcPr>
            <w:tcW w:w="1496" w:type="dxa"/>
          </w:tcPr>
          <w:p>
            <w:pPr/>
            <w:r>
              <w:rPr>
                <w:b/>
              </w:rPr>
              <w:t xml:space="preserve">107</w:t>
            </w:r>
          </w:p>
        </w:tc>
        <w:tc>
          <w:tcPr>
            <w:tcW w:w="2246" w:type="dxa"/>
          </w:tcPr>
          <w:p>
            <w:pPr/>
            <w:r>
              <w:rPr>
                <w:b/>
              </w:rPr>
              <w:t xml:space="preserve">23.5%</w:t>
            </w:r>
          </w:p>
        </w:tc>
        <w:tc>
          <w:tcPr>
            <w:tcW w:w="1803" w:type="dxa"/>
          </w:tcPr>
          <w:p>
            <w:pPr/>
            <w:r>
              <w:rPr>
                <w:b/>
              </w:rPr>
              <w:t xml:space="preserve">3</w:t>
            </w:r>
          </w:p>
        </w:tc>
        <w:tc>
          <w:tcPr>
            <w:tcW w:w="1582" w:type="dxa"/>
          </w:tcPr>
          <w:p>
            <w:pPr/>
            <w:r>
              <w:rPr>
                <w:b/>
              </w:rPr>
              <w:t xml:space="preserve">0.301</w:t>
            </w:r>
          </w:p>
        </w:tc>
      </w:tr>
      <w:tr>
        <w:tc>
          <w:tcPr>
            <w:tcW w:w="2233" w:type="dxa"/>
          </w:tcPr>
          <w:p>
            <w:pPr/>
            <w:r>
              <w:t xml:space="preserve">95%</w:t>
            </w:r>
          </w:p>
        </w:tc>
        <w:tc>
          <w:tcPr>
            <w:tcW w:w="1496" w:type="dxa"/>
          </w:tcPr>
          <w:p>
            <w:pPr/>
            <w:r>
              <w:t xml:space="preserve">233</w:t>
            </w:r>
          </w:p>
        </w:tc>
        <w:tc>
          <w:tcPr>
            <w:tcW w:w="2246" w:type="dxa"/>
          </w:tcPr>
          <w:p>
            <w:pPr/>
            <w:r>
              <w:t xml:space="preserve">11.4%</w:t>
            </w:r>
          </w:p>
        </w:tc>
        <w:tc>
          <w:tcPr>
            <w:tcW w:w="1803" w:type="dxa"/>
          </w:tcPr>
          <w:p>
            <w:pPr/>
            <w:r>
              <w:t xml:space="preserve">1–2</w:t>
            </w:r>
          </w:p>
        </w:tc>
        <w:tc>
          <w:tcPr>
            <w:tcW w:w="1582" w:type="dxa"/>
          </w:tcPr>
          <w:p>
            <w:pPr/>
            <w:r>
              <w:t xml:space="preserve">0.081</w:t>
            </w:r>
          </w:p>
        </w:tc>
      </w:tr>
      <w:tr>
        <w:tc>
          <w:tcPr>
            <w:tcW w:w="2233" w:type="dxa"/>
          </w:tcPr>
          <w:p>
            <w:pPr/>
            <w:r>
              <w:t xml:space="preserve">98%</w:t>
            </w:r>
          </w:p>
        </w:tc>
        <w:tc>
          <w:tcPr>
            <w:tcW w:w="1496" w:type="dxa"/>
          </w:tcPr>
          <w:p>
            <w:pPr/>
            <w:r>
              <w:t xml:space="preserve">345</w:t>
            </w:r>
          </w:p>
        </w:tc>
        <w:tc>
          <w:tcPr>
            <w:tcW w:w="2246" w:type="dxa"/>
          </w:tcPr>
          <w:p>
            <w:pPr/>
            <w:r>
              <w:t xml:space="preserve">7.9%</w:t>
            </w:r>
          </w:p>
        </w:tc>
        <w:tc>
          <w:tcPr>
            <w:tcW w:w="1803" w:type="dxa"/>
          </w:tcPr>
          <w:p>
            <w:pPr/>
            <w:r>
              <w:t xml:space="preserve">about 0.5</w:t>
            </w:r>
          </w:p>
        </w:tc>
        <w:tc>
          <w:tcPr>
            <w:tcW w:w="1582" w:type="dxa"/>
          </w:tcPr>
          <w:p>
            <w:pPr/>
            <w:r>
              <w:t xml:space="preserve">0.026</w:t>
            </w:r>
          </w:p>
        </w:tc>
      </w:tr>
      <w:tr>
        <w:tc>
          <w:tcPr>
            <w:tcW w:w="2233" w:type="dxa"/>
          </w:tcPr>
          <w:p>
            <w:pPr/>
            <w:r>
              <w:t xml:space="preserve">99%</w:t>
            </w:r>
          </w:p>
        </w:tc>
        <w:tc>
          <w:tcPr>
            <w:tcW w:w="1496" w:type="dxa"/>
          </w:tcPr>
          <w:p>
            <w:pPr/>
            <w:r>
              <w:t xml:space="preserve">494</w:t>
            </w:r>
          </w:p>
        </w:tc>
        <w:tc>
          <w:tcPr>
            <w:tcW w:w="2246" w:type="dxa"/>
          </w:tcPr>
          <w:p>
            <w:pPr/>
            <w:r>
              <w:t xml:space="preserve">5.6%</w:t>
            </w:r>
          </w:p>
        </w:tc>
        <w:tc>
          <w:tcPr>
            <w:tcW w:w="1803" w:type="dxa"/>
          </w:tcPr>
          <w:p>
            <w:pPr/>
            <w:r>
              <w:t xml:space="preserve">about 0.3</w:t>
            </w:r>
          </w:p>
        </w:tc>
        <w:tc>
          <w:tcPr>
            <w:tcW w:w="1582" w:type="dxa"/>
          </w:tcPr>
          <w:p>
            <w:pPr/>
            <w:r>
              <w:t xml:space="preserve">0.009</w:t>
            </w:r>
          </w:p>
        </w:tc>
      </w:tr>
    </w:tbl>
    <w:p>
      <w:pPr/>
      <w:r>
        <w:rPr>
          <w:b/>
        </w:rPr>
        <w:t xml:space="preserve">Fixed cut-offs, as counts on the test window:</w:t>
      </w:r>
    </w:p>
    <w:tbl>
      <w:tblPr>
        <w:tblStyle w:val="TableGrid"/>
        <w:tblW w:w="0" w:type="auto"/>
        <w:tblLayout w:type="fixed"/>
        <w:tblLook w:val="04A0" w:firstRow="1" w:lastRow="0" w:firstColumn="0" w:lastColumn="0" w:noHBand="0" w:noVBand="1"/>
      </w:tblPr>
      <w:tblGrid>
        <w:gridCol w:w="948"/>
        <w:gridCol w:w="1187"/>
        <w:gridCol w:w="1307"/>
        <w:gridCol w:w="1110"/>
        <w:gridCol w:w="1028"/>
        <w:gridCol w:w="1040"/>
        <w:gridCol w:w="909"/>
        <w:gridCol w:w="791"/>
        <w:gridCol w:w="1040"/>
      </w:tblGrid>
      <w:tr>
        <w:trPr>
          <w:tblHeader/>
        </w:trPr>
        <w:tc>
          <w:tcPr>
            <w:tcW w:w="948" w:type="dxa"/>
            <w:shd w:val="clear" w:color="auto" w:fill="F2F2F2"/>
          </w:tcPr>
          <w:p>
            <w:pPr/>
            <w:r>
              <w:t xml:space="preserve">Cut-off</w:t>
            </w:r>
          </w:p>
        </w:tc>
        <w:tc>
          <w:tcPr>
            <w:tcW w:w="1187" w:type="dxa"/>
            <w:shd w:val="clear" w:color="auto" w:fill="F2F2F2"/>
          </w:tcPr>
          <w:p>
            <w:pPr/>
            <w:r>
              <w:t xml:space="preserve">TP (PA caught)</w:t>
            </w:r>
          </w:p>
        </w:tc>
        <w:tc>
          <w:tcPr>
            <w:tcW w:w="1307" w:type="dxa"/>
            <w:shd w:val="clear" w:color="auto" w:fill="F2F2F2"/>
          </w:tcPr>
          <w:p>
            <w:pPr/>
            <w:r>
              <w:t xml:space="preserve">FP (false alarms)</w:t>
            </w:r>
          </w:p>
        </w:tc>
        <w:tc>
          <w:tcPr>
            <w:tcW w:w="1110" w:type="dxa"/>
            <w:shd w:val="clear" w:color="auto" w:fill="F2F2F2"/>
          </w:tcPr>
          <w:p>
            <w:pPr/>
            <w:r>
              <w:t xml:space="preserve">FN (PA missed)</w:t>
            </w:r>
          </w:p>
        </w:tc>
        <w:tc>
          <w:tcPr>
            <w:tcW w:w="1028" w:type="dxa"/>
            <w:shd w:val="clear" w:color="auto" w:fill="F2F2F2"/>
          </w:tcPr>
          <w:p>
            <w:pPr/>
            <w:r>
              <w:t xml:space="preserve">TN</w:t>
            </w:r>
          </w:p>
        </w:tc>
        <w:tc>
          <w:tcPr>
            <w:tcW w:w="1040" w:type="dxa"/>
            <w:shd w:val="clear" w:color="auto" w:fill="F2F2F2"/>
          </w:tcPr>
          <w:p>
            <w:pPr/>
            <w:r>
              <w:t xml:space="preserve">Precision</w:t>
            </w:r>
          </w:p>
        </w:tc>
        <w:tc>
          <w:tcPr>
            <w:tcW w:w="909" w:type="dxa"/>
            <w:shd w:val="clear" w:color="auto" w:fill="F2F2F2"/>
          </w:tcPr>
          <w:p>
            <w:pPr/>
            <w:r>
              <w:t xml:space="preserve">Recall</w:t>
            </w:r>
          </w:p>
        </w:tc>
        <w:tc>
          <w:tcPr>
            <w:tcW w:w="791" w:type="dxa"/>
            <w:shd w:val="clear" w:color="auto" w:fill="F2F2F2"/>
          </w:tcPr>
          <w:p>
            <w:pPr/>
            <w:r>
              <w:t xml:space="preserve">F1</w:t>
            </w:r>
          </w:p>
        </w:tc>
        <w:tc>
          <w:tcPr>
            <w:tcW w:w="1040" w:type="dxa"/>
            <w:shd w:val="clear" w:color="auto" w:fill="F2F2F2"/>
          </w:tcPr>
          <w:p>
            <w:pPr/>
            <w:r>
              <w:t xml:space="preserve">Accuracy</w:t>
            </w:r>
          </w:p>
        </w:tc>
      </w:tr>
      <w:tr>
        <w:tc>
          <w:tcPr>
            <w:tcW w:w="948" w:type="dxa"/>
          </w:tcPr>
          <w:p>
            <w:pPr/>
            <w:r>
              <w:t xml:space="preserve">0.3</w:t>
            </w:r>
          </w:p>
        </w:tc>
        <w:tc>
          <w:tcPr>
            <w:tcW w:w="1187" w:type="dxa"/>
          </w:tcPr>
          <w:p>
            <w:pPr/>
            <w:r>
              <w:t xml:space="preserve">6,252</w:t>
            </w:r>
          </w:p>
        </w:tc>
        <w:tc>
          <w:tcPr>
            <w:tcW w:w="1307" w:type="dxa"/>
          </w:tcPr>
          <w:p>
            <w:pPr/>
            <w:r>
              <w:t xml:space="preserve">20,357</w:t>
            </w:r>
          </w:p>
        </w:tc>
        <w:tc>
          <w:tcPr>
            <w:tcW w:w="1110" w:type="dxa"/>
          </w:tcPr>
          <w:p>
            <w:pPr/>
            <w:r>
              <w:t xml:space="preserve">690</w:t>
            </w:r>
          </w:p>
        </w:tc>
        <w:tc>
          <w:tcPr>
            <w:tcW w:w="1028" w:type="dxa"/>
          </w:tcPr>
          <w:p>
            <w:pPr/>
            <w:r>
              <w:t xml:space="preserve">222,227</w:t>
            </w:r>
          </w:p>
        </w:tc>
        <w:tc>
          <w:tcPr>
            <w:tcW w:w="1040" w:type="dxa"/>
          </w:tcPr>
          <w:p>
            <w:pPr/>
            <w:r>
              <w:t xml:space="preserve">0.235</w:t>
            </w:r>
          </w:p>
        </w:tc>
        <w:tc>
          <w:tcPr>
            <w:tcW w:w="909" w:type="dxa"/>
          </w:tcPr>
          <w:p>
            <w:pPr/>
            <w:r>
              <w:t xml:space="preserve">0.901</w:t>
            </w:r>
          </w:p>
        </w:tc>
        <w:tc>
          <w:tcPr>
            <w:tcW w:w="791" w:type="dxa"/>
          </w:tcPr>
          <w:p>
            <w:pPr/>
            <w:r>
              <w:t xml:space="preserve">0.373</w:t>
            </w:r>
          </w:p>
        </w:tc>
        <w:tc>
          <w:tcPr>
            <w:tcW w:w="1040" w:type="dxa"/>
          </w:tcPr>
          <w:p>
            <w:pPr/>
            <w:r>
              <w:t xml:space="preserve">0.916</w:t>
            </w:r>
          </w:p>
        </w:tc>
      </w:tr>
      <w:tr>
        <w:tc>
          <w:tcPr>
            <w:tcW w:w="948" w:type="dxa"/>
          </w:tcPr>
          <w:p>
            <w:pPr/>
            <w:r>
              <w:t xml:space="preserve">0.5</w:t>
            </w:r>
          </w:p>
        </w:tc>
        <w:tc>
          <w:tcPr>
            <w:tcW w:w="1187" w:type="dxa"/>
          </w:tcPr>
          <w:p>
            <w:pPr/>
            <w:r>
              <w:t xml:space="preserve">5,994</w:t>
            </w:r>
          </w:p>
        </w:tc>
        <w:tc>
          <w:tcPr>
            <w:tcW w:w="1307" w:type="dxa"/>
          </w:tcPr>
          <w:p>
            <w:pPr/>
            <w:r>
              <w:t xml:space="preserve">11,716</w:t>
            </w:r>
          </w:p>
        </w:tc>
        <w:tc>
          <w:tcPr>
            <w:tcW w:w="1110" w:type="dxa"/>
          </w:tcPr>
          <w:p>
            <w:pPr/>
            <w:r>
              <w:t xml:space="preserve">948</w:t>
            </w:r>
          </w:p>
        </w:tc>
        <w:tc>
          <w:tcPr>
            <w:tcW w:w="1028" w:type="dxa"/>
          </w:tcPr>
          <w:p>
            <w:pPr/>
            <w:r>
              <w:t xml:space="preserve">230,868</w:t>
            </w:r>
          </w:p>
        </w:tc>
        <w:tc>
          <w:tcPr>
            <w:tcW w:w="1040" w:type="dxa"/>
          </w:tcPr>
          <w:p>
            <w:pPr/>
            <w:r>
              <w:t xml:space="preserve">0.338</w:t>
            </w:r>
          </w:p>
        </w:tc>
        <w:tc>
          <w:tcPr>
            <w:tcW w:w="909" w:type="dxa"/>
          </w:tcPr>
          <w:p>
            <w:pPr/>
            <w:r>
              <w:t xml:space="preserve">0.863</w:t>
            </w:r>
          </w:p>
        </w:tc>
        <w:tc>
          <w:tcPr>
            <w:tcW w:w="791" w:type="dxa"/>
          </w:tcPr>
          <w:p>
            <w:pPr/>
            <w:r>
              <w:t xml:space="preserve">0.486</w:t>
            </w:r>
          </w:p>
        </w:tc>
        <w:tc>
          <w:tcPr>
            <w:tcW w:w="1040" w:type="dxa"/>
          </w:tcPr>
          <w:p>
            <w:pPr/>
            <w:r>
              <w:t xml:space="preserve">0.949</w:t>
            </w:r>
          </w:p>
        </w:tc>
      </w:tr>
      <w:tr>
        <w:tc>
          <w:tcPr>
            <w:tcW w:w="948" w:type="dxa"/>
          </w:tcPr>
          <w:p>
            <w:pPr/>
            <w:r>
              <w:t xml:space="preserve">0.7</w:t>
            </w:r>
          </w:p>
        </w:tc>
        <w:tc>
          <w:tcPr>
            <w:tcW w:w="1187" w:type="dxa"/>
          </w:tcPr>
          <w:p>
            <w:pPr/>
            <w:r>
              <w:t xml:space="preserve">5,544</w:t>
            </w:r>
          </w:p>
        </w:tc>
        <w:tc>
          <w:tcPr>
            <w:tcW w:w="1307" w:type="dxa"/>
          </w:tcPr>
          <w:p>
            <w:pPr/>
            <w:r>
              <w:t xml:space="preserve">5,942</w:t>
            </w:r>
          </w:p>
        </w:tc>
        <w:tc>
          <w:tcPr>
            <w:tcW w:w="1110" w:type="dxa"/>
          </w:tcPr>
          <w:p>
            <w:pPr/>
            <w:r>
              <w:t xml:space="preserve">1,398</w:t>
            </w:r>
          </w:p>
        </w:tc>
        <w:tc>
          <w:tcPr>
            <w:tcW w:w="1028" w:type="dxa"/>
          </w:tcPr>
          <w:p>
            <w:pPr/>
            <w:r>
              <w:t xml:space="preserve">236,642</w:t>
            </w:r>
          </w:p>
        </w:tc>
        <w:tc>
          <w:tcPr>
            <w:tcW w:w="1040" w:type="dxa"/>
          </w:tcPr>
          <w:p>
            <w:pPr/>
            <w:r>
              <w:t xml:space="preserve">0.483</w:t>
            </w:r>
          </w:p>
        </w:tc>
        <w:tc>
          <w:tcPr>
            <w:tcW w:w="909" w:type="dxa"/>
          </w:tcPr>
          <w:p>
            <w:pPr/>
            <w:r>
              <w:t xml:space="preserve">0.799</w:t>
            </w:r>
          </w:p>
        </w:tc>
        <w:tc>
          <w:tcPr>
            <w:tcW w:w="791" w:type="dxa"/>
          </w:tcPr>
          <w:p>
            <w:pPr/>
            <w:r>
              <w:t xml:space="preserve">0.602</w:t>
            </w:r>
          </w:p>
        </w:tc>
        <w:tc>
          <w:tcPr>
            <w:tcW w:w="1040" w:type="dxa"/>
          </w:tcPr>
          <w:p>
            <w:pPr/>
            <w:r>
              <w:t xml:space="preserve">0.971</w:t>
            </w:r>
          </w:p>
        </w:tc>
      </w:tr>
      <w:tr>
        <w:tc>
          <w:tcPr>
            <w:tcW w:w="948" w:type="dxa"/>
          </w:tcPr>
          <w:p>
            <w:pPr/>
            <w:r>
              <w:t xml:space="preserve">0.9</w:t>
            </w:r>
          </w:p>
        </w:tc>
        <w:tc>
          <w:tcPr>
            <w:tcW w:w="1187" w:type="dxa"/>
          </w:tcPr>
          <w:p>
            <w:pPr/>
            <w:r>
              <w:t xml:space="preserve">4,826</w:t>
            </w:r>
          </w:p>
        </w:tc>
        <w:tc>
          <w:tcPr>
            <w:tcW w:w="1307" w:type="dxa"/>
          </w:tcPr>
          <w:p>
            <w:pPr/>
            <w:r>
              <w:t xml:space="preserve">2,422</w:t>
            </w:r>
          </w:p>
        </w:tc>
        <w:tc>
          <w:tcPr>
            <w:tcW w:w="1110" w:type="dxa"/>
          </w:tcPr>
          <w:p>
            <w:pPr/>
            <w:r>
              <w:t xml:space="preserve">2,116</w:t>
            </w:r>
          </w:p>
        </w:tc>
        <w:tc>
          <w:tcPr>
            <w:tcW w:w="1028" w:type="dxa"/>
          </w:tcPr>
          <w:p>
            <w:pPr/>
            <w:r>
              <w:t xml:space="preserve">240,162</w:t>
            </w:r>
          </w:p>
        </w:tc>
        <w:tc>
          <w:tcPr>
            <w:tcW w:w="1040" w:type="dxa"/>
          </w:tcPr>
          <w:p>
            <w:pPr/>
            <w:r>
              <w:t xml:space="preserve">0.666</w:t>
            </w:r>
          </w:p>
        </w:tc>
        <w:tc>
          <w:tcPr>
            <w:tcW w:w="909" w:type="dxa"/>
          </w:tcPr>
          <w:p>
            <w:pPr/>
            <w:r>
              <w:t xml:space="preserve">0.695</w:t>
            </w:r>
          </w:p>
        </w:tc>
        <w:tc>
          <w:tcPr>
            <w:tcW w:w="791" w:type="dxa"/>
          </w:tcPr>
          <w:p>
            <w:pPr/>
            <w:r>
              <w:t xml:space="preserve">0.680</w:t>
            </w:r>
          </w:p>
        </w:tc>
        <w:tc>
          <w:tcPr>
            <w:tcW w:w="1040" w:type="dxa"/>
          </w:tcPr>
          <w:p>
            <w:pPr/>
            <w:r>
              <w:t xml:space="preserve">0.982</w:t>
            </w:r>
          </w:p>
        </w:tc>
      </w:tr>
    </w:tbl>
    <w:p>
      <w:pPr/>
      <w:r>
        <w:t xml:space="preserve">TP = flagged and needed PA; FP = flagged but did not; FN = not flagged but needed PA; TN = not flagged and did not. F1 balances precision and recall in one number.</w:t>
      </w:r>
    </w:p>
    <w:p>
      <w:pPr/>
      <w:r>
        <w:rPr>
          <w:b/>
        </w:rPr>
        <w:t xml:space="preserve">How to read it:</w:t>
      </w:r>
    </w:p>
    <w:p>
      <w:pPr>
        <w:pStyle w:val="ListParagraph"/>
        <w:numPr>
          <w:ilvl w:val="0"/>
          <w:numId w:val="7"/>
        </w:numPr>
      </w:pPr>
      <w:r>
        <w:rPr>
          <w:b/>
        </w:rPr>
        <w:t xml:space="preserve">A missed PA costs more than an extra check</w:t>
      </w:r>
      <w:r>
        <w:t xml:space="preserve">, so we lean towards flagging. About 90% recall is the sweet spot: 107 flags per 1,000, 3 PA visits missed.</w:t>
      </w:r>
    </w:p>
    <w:p>
      <w:pPr>
        <w:pStyle w:val="ListParagraph"/>
        <w:numPr>
          <w:ilvl w:val="0"/>
          <w:numId w:val="7"/>
        </w:numPr>
      </w:pPr>
      <w:r>
        <w:rPr>
          <w:b/>
        </w:rPr>
        <w:t xml:space="preserve">The last 10% is expensive.</w:t>
      </w:r>
      <w:r>
        <w:t xml:space="preserve"> Going from 90% to 95% roughly doubles the visits flagged.</w:t>
      </w:r>
    </w:p>
    <w:p>
      <w:pPr>
        <w:pStyle w:val="ListParagraph"/>
        <w:numPr>
          <w:ilvl w:val="0"/>
          <w:numId w:val="7"/>
        </w:numPr>
      </w:pPr>
      <w:r>
        <w:rPr>
          <w:b/>
        </w:rPr>
        <w:t xml:space="preserve">Accuracy rises as fewer visits are flagged</w:t>
      </w:r>
      <w:r>
        <w:t xml:space="preserve"> (0.916 → 0.982), even though more PA is missed. That is why accuracy is not used.</w:t>
      </w:r>
    </w:p>
    <w:p>
      <w:pPr>
        <w:pStyle w:val="ListParagraph"/>
        <w:numPr>
          <w:ilvl w:val="0"/>
          <w:numId w:val="7"/>
        </w:numPr>
      </w:pPr>
      <w:r>
        <w:rPr>
          <w:b/>
        </w:rPr>
        <w:t xml:space="preserve">Reducing the noise:</w:t>
      </w:r>
      <w:r>
        <w:t xml:space="preserve"> split flags into a high band (scores near the top, about two-thirds real PA) treated as "PA required", and a lower band given a quick check.</w:t>
      </w:r>
    </w:p>
    <w:p>
      <w:pPr>
        <w:pStyle w:val="Heading2"/>
      </w:pPr>
      <w:r>
        <w:t xml:space="preserve">Caveats and next steps</w:t>
      </w:r>
    </w:p>
    <w:p>
      <w:pPr/>
      <w:r>
        <w:t xml:space="preserve">The model comparisons are fair, but the absolute numbers should not be promised to the business until the labels are fixed.</w:t>
      </w:r>
    </w:p>
    <w:p>
      <w:pPr/>
      <w:r>
        <w:rPr>
          <w:b/>
        </w:rPr>
        <w:t xml:space="preserve">Caveats:</w:t>
      </w:r>
    </w:p>
    <w:p>
      <w:pPr>
        <w:pStyle w:val="ListParagraph"/>
        <w:numPr>
          <w:ilvl w:val="0"/>
          <w:numId w:val="8"/>
        </w:numPr>
      </w:pPr>
      <w:r>
        <w:rPr>
          <w:b/>
        </w:rPr>
        <w:t xml:space="preserve">Labels.</w:t>
      </w:r>
      <w:r>
        <w:t xml:space="preserve"> FALSE includes visits with no evidence either way, and the segment override turns about 1.6M AMBIGUOUS lines into FALSE. These issues have been sent to the SME through Raghu.</w:t>
      </w:r>
    </w:p>
    <w:p>
      <w:pPr>
        <w:pStyle w:val="ListParagraph"/>
        <w:numPr>
          <w:ilvl w:val="0"/>
          <w:numId w:val="8"/>
        </w:numPr>
      </w:pPr>
      <w:r>
        <w:rPr>
          <w:b/>
        </w:rPr>
        <w:t xml:space="preserve">Recent months are less mature.</w:t>
      </w:r>
      <w:r>
        <w:t xml:space="preserve"> The extract holds only closed claims, so May–Jul may be missing slow, often denied claims.</w:t>
      </w:r>
    </w:p>
    <w:p>
      <w:pPr>
        <w:pStyle w:val="ListParagraph"/>
        <w:numPr>
          <w:ilvl w:val="0"/>
          <w:numId w:val="8"/>
        </w:numPr>
      </w:pPr>
      <w:r>
        <w:rPr>
          <w:b/>
        </w:rPr>
        <w:t xml:space="preserve">One test window, 30% sample.</w:t>
      </w:r>
      <w:r>
        <w:t xml:space="preserve"> The results should be confirmed on the full data.</w:t>
      </w:r>
    </w:p>
    <w:p>
      <w:pPr>
        <w:pStyle w:val="ListParagraph"/>
        <w:numPr>
          <w:ilvl w:val="0"/>
          <w:numId w:val="8"/>
        </w:numPr>
      </w:pPr>
      <w:r>
        <w:rPr>
          <w:b/>
        </w:rPr>
        <w:t xml:space="preserve">The rules feature is provisional:</w:t>
      </w:r>
      <w:r>
        <w:t xml:space="preserve"> a payor-level, name-based mapping until the SME plan mapping arrives.</w:t>
      </w:r>
    </w:p>
    <w:p>
      <w:pPr/>
      <w:r>
        <w:rPr>
          <w:b/>
        </w:rPr>
        <w:t xml:space="preserve">Next steps:</w:t>
      </w:r>
    </w:p>
    <w:p>
      <w:pPr>
        <w:pStyle w:val="ListParagraph"/>
        <w:numPr>
          <w:ilvl w:val="0"/>
          <w:numId w:val="9"/>
        </w:numPr>
      </w:pPr>
      <w:r>
        <w:t xml:space="preserve">Update experiments starting from the frozen model (0.593 AP): cell weights, refit and time-decay weights, each judged on how much of the gap to the full model (0.707) it closes without a full retrain.</w:t>
      </w:r>
    </w:p>
    <w:p>
      <w:pPr>
        <w:pStyle w:val="ListParagraph"/>
        <w:numPr>
          <w:ilvl w:val="0"/>
          <w:numId w:val="9"/>
        </w:numPr>
      </w:pPr>
      <w:r>
        <w:t xml:space="preserve">Calibrate the scores so the 90% / 94% thresholds mean real probabilities.</w:t>
      </w:r>
    </w:p>
    <w:p>
      <w:pPr>
        <w:pStyle w:val="ListParagraph"/>
        <w:numPr>
          <w:ilvl w:val="0"/>
          <w:numId w:val="9"/>
        </w:numPr>
      </w:pPr>
      <w:r>
        <w:t xml:space="preserve">Agree with the business the acceptable PA-miss rate and review capacity; these set the cut-offs.</w:t>
      </w:r>
    </w:p>
    <w:p>
      <w:pPr>
        <w:pStyle w:val="ListParagraph"/>
        <w:numPr>
          <w:ilvl w:val="0"/>
          <w:numId w:val="9"/>
        </w:numPr>
      </w:pPr>
      <w:r>
        <w:t xml:space="preserve">Re-run all models once the labels and plan-level rules are fixed.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 Model – Day 1 Baseline Results</dc:title>
  <dc:description>Claude Docs node/e1ac116e-50e9@8 docx-w7</dc:description>
  <cp:revision>8</cp:revision>
</cp:coreProperties>
</file>