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4E79"/>
          <w:sz w:val="52"/>
          <w:szCs w:val="52"/>
        </w:rPr>
        <w:t xml:space="preserve">AI Resume Screening System</w:t>
      </w:r>
    </w:p>
    <w:p>
      <w:pPr>
        <w:spacing w:after="400"/>
        <w:jc w:val="center"/>
      </w:pPr>
      <w:r>
        <w:rPr>
          <w:b/>
          <w:bCs/>
          <w:color w:val="595959"/>
          <w:sz w:val="34"/>
          <w:szCs w:val="34"/>
        </w:rPr>
        <w:t xml:space="preserve">Week 3: Exploratory Data Analysis and Visualization Strategy</w:t>
      </w:r>
    </w:p>
    <w:p>
      <w:pPr>
        <w:pBdr>
          <w:top w:val="single" w:color="2E7D32" w:sz="6"/>
          <w:bottom w:val="single" w:color="2E7D32" w:sz="6"/>
        </w:pBdr>
        <w:spacing w:after="120" w:before="120"/>
        <w:jc w:val="center"/>
      </w:pPr>
      <w:r>
        <w:rPr>
          <w:b/>
          <w:bCs/>
          <w:color w:val="2E7D32"/>
          <w:sz w:val="26"/>
          <w:szCs w:val="26"/>
        </w:rPr>
        <w:t xml:space="preserve">Task 3 of 4</w:t>
      </w:r>
    </w:p>
    <w:p>
      <w:pPr>
        <w:spacing w:before="800"/>
        <w:jc w:val="center"/>
      </w:pPr>
      <w:r>
        <w:rPr>
          <w:color w:val="595959"/>
          <w:sz w:val="22"/>
          <w:szCs w:val="22"/>
        </w:rPr>
        <w:t xml:space="preserve">Virtual Data Science Apprentice — Python Specialist Intern</w:t>
      </w:r>
    </w:p>
    <w:p>
      <w:pPr>
        <w:jc w:val="center"/>
      </w:pPr>
      <w:r>
        <w:rPr>
          <w:color w:val="595959"/>
          <w:sz w:val="22"/>
          <w:szCs w:val="22"/>
        </w:rPr>
        <w:t xml:space="preserve">Intern: [Your Name]</w:t>
      </w:r>
    </w:p>
    <w:p>
      <w:pPr>
        <w:jc w:val="center"/>
      </w:pPr>
      <w:r>
        <w:rPr>
          <w:color w:val="595959"/>
          <w:sz w:val="22"/>
          <w:szCs w:val="22"/>
        </w:rPr>
        <w:t xml:space="preserve">Duration: 18-Sep-2026 to 16-Oct-2026</w:t>
      </w:r>
    </w:p>
    <w:p>
      <w:r>
        <w:br w:type="page"/>
      </w:r>
    </w:p>
    <w:p>
      <w:pPr>
        <w:pStyle w:val="Heading1"/>
        <w:pBdr>
          <w:bottom w:val="single" w:color="1F4E79" w:sz="6"/>
        </w:pBdr>
        <w:spacing w:after="180" w:before="360"/>
      </w:pPr>
      <w:r>
        <w:rPr>
          <w:b/>
          <w:bCs/>
          <w:color w:val="1F4E79"/>
          <w:sz w:val="30"/>
          <w:szCs w:val="30"/>
        </w:rPr>
        <w:t xml:space="preserve">1. Introduction</w:t>
      </w:r>
    </w:p>
    <w:p>
      <w:pPr>
        <w:spacing w:after="160" w:line="276"/>
      </w:pPr>
      <w:r>
        <w:rPr>
          <w:sz w:val="22"/>
          <w:szCs w:val="22"/>
        </w:rPr>
        <w:t xml:space="preserve">With the resume dataset cleaned and transformed in Week 2, this task defines the exploratory data analysis (EDA) strategy for the AI Resume Screening System. The goal of EDA is to understand the shape of the data before modeling: how job categories are distributed, which skills and terms characterize each category, how resume length and quality vary, and which visualizations will communicate these findings clearly to both a technical reviewer and a non-technical recruiting audience.</w:t>
      </w:r>
    </w:p>
    <w:p>
      <w:pPr>
        <w:pStyle w:val="Heading1"/>
        <w:pBdr>
          <w:bottom w:val="single" w:color="1F4E79" w:sz="6"/>
        </w:pBdr>
        <w:spacing w:after="180" w:before="360"/>
      </w:pPr>
      <w:r>
        <w:rPr>
          <w:b/>
          <w:bCs/>
          <w:color w:val="1F4E79"/>
          <w:sz w:val="30"/>
          <w:szCs w:val="30"/>
        </w:rPr>
        <w:t xml:space="preserve">2. Objectives of the EDA Phase</w:t>
      </w:r>
    </w:p>
    <w:p>
      <w:pPr>
        <w:pStyle w:val="ListParagraph"/>
        <w:numPr>
          <w:ilvl w:val="0"/>
          <w:numId w:val="2"/>
        </w:numPr>
        <w:spacing w:after="90" w:line="276"/>
      </w:pPr>
      <w:r>
        <w:rPr>
          <w:sz w:val="22"/>
          <w:szCs w:val="22"/>
        </w:rPr>
        <w:t xml:space="preserve">Quantify class balance across job categories to anticipate the need for stratified sampling or class weighting in Week 4.</w:t>
      </w:r>
    </w:p>
    <w:p>
      <w:pPr>
        <w:pStyle w:val="ListParagraph"/>
        <w:numPr>
          <w:ilvl w:val="0"/>
          <w:numId w:val="2"/>
        </w:numPr>
        <w:spacing w:after="90" w:line="276"/>
      </w:pPr>
      <w:r>
        <w:rPr>
          <w:sz w:val="22"/>
          <w:szCs w:val="22"/>
        </w:rPr>
        <w:t xml:space="preserve">Identify the most frequent and most distinctive skills/keywords per category to validate that categories are separable.</w:t>
      </w:r>
    </w:p>
    <w:p>
      <w:pPr>
        <w:pStyle w:val="ListParagraph"/>
        <w:numPr>
          <w:ilvl w:val="0"/>
          <w:numId w:val="2"/>
        </w:numPr>
        <w:spacing w:after="90" w:line="276"/>
      </w:pPr>
      <w:r>
        <w:rPr>
          <w:sz w:val="22"/>
          <w:szCs w:val="22"/>
        </w:rPr>
        <w:t xml:space="preserve">Characterize resume length and structural completeness, since these may correlate with data quality issues identified in Week 2.</w:t>
      </w:r>
    </w:p>
    <w:p>
      <w:pPr>
        <w:pStyle w:val="ListParagraph"/>
        <w:numPr>
          <w:ilvl w:val="0"/>
          <w:numId w:val="2"/>
        </w:numPr>
        <w:spacing w:after="90" w:line="276"/>
      </w:pPr>
      <w:r>
        <w:rPr>
          <w:sz w:val="22"/>
          <w:szCs w:val="22"/>
        </w:rPr>
        <w:t xml:space="preserve">Surface any residual data-quality anomalies (e.g., near-duplicate clusters, mislabeled categories) before they propagate into modeling.</w:t>
      </w:r>
    </w:p>
    <w:p>
      <w:pPr>
        <w:pStyle w:val="ListParagraph"/>
        <w:numPr>
          <w:ilvl w:val="0"/>
          <w:numId w:val="2"/>
        </w:numPr>
        <w:spacing w:after="90" w:line="276"/>
      </w:pPr>
      <w:r>
        <w:rPr>
          <w:sz w:val="22"/>
          <w:szCs w:val="22"/>
        </w:rPr>
        <w:t xml:space="preserve">Translate every chart into a plain-language insight or action point relevant to the resume-screening use case.</w:t>
      </w:r>
    </w:p>
    <w:p>
      <w:pPr>
        <w:pStyle w:val="Heading1"/>
        <w:pBdr>
          <w:bottom w:val="single" w:color="1F4E79" w:sz="6"/>
        </w:pBdr>
        <w:spacing w:after="180" w:before="360"/>
      </w:pPr>
      <w:r>
        <w:rPr>
          <w:b/>
          <w:bCs/>
          <w:color w:val="1F4E79"/>
          <w:sz w:val="30"/>
          <w:szCs w:val="30"/>
        </w:rPr>
        <w:t xml:space="preserve">3. Planned Visualizations and Libraries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00"/>
      </w:tblGrid>
      <w:tr>
        <w:trPr>
          <w:tblHeader/>
        </w:trPr>
        <w:tc>
          <w:tcPr>
            <w:tcW w:type="dxa" w:w="3000"/>
            <w:shd w:fill="1F4E79" w:color="auto" w:val="clear"/>
            <w:tcMar>
              <w:top w:type="dxa" w:w="80"/>
              <w:left w:type="dxa" w:w="120"/>
              <w:bottom w:type="dxa" w:w="80"/>
              <w:right w:type="dxa" w:w="120"/>
            </w:tcMar>
            <w:vAlign w:val="center"/>
          </w:tcPr>
          <w:p>
            <w:pPr>
              <w:jc w:val="left"/>
            </w:pPr>
            <w:r>
              <w:rPr>
                <w:b/>
                <w:bCs/>
                <w:color w:val="FFFFFF"/>
                <w:sz w:val="20"/>
                <w:szCs w:val="20"/>
              </w:rPr>
              <w:t xml:space="preserve">Visualization</w:t>
            </w:r>
          </w:p>
        </w:tc>
        <w:tc>
          <w:tcPr>
            <w:tcW w:type="dxa" w:w="3900"/>
            <w:shd w:fill="1F4E79"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400"/>
            <w:shd w:fill="1F4E79" w:color="auto" w:val="clear"/>
            <w:tcMar>
              <w:top w:type="dxa" w:w="80"/>
              <w:left w:type="dxa" w:w="120"/>
              <w:bottom w:type="dxa" w:w="80"/>
              <w:right w:type="dxa" w:w="120"/>
            </w:tcMar>
            <w:vAlign w:val="center"/>
          </w:tcPr>
          <w:p>
            <w:pPr>
              <w:jc w:val="left"/>
            </w:pPr>
            <w:r>
              <w:rPr>
                <w:b/>
                <w:bCs/>
                <w:color w:val="FFFFFF"/>
                <w:sz w:val="20"/>
                <w:szCs w:val="20"/>
              </w:rPr>
              <w:t xml:space="preserve">Library</w:t>
            </w:r>
          </w:p>
        </w:tc>
      </w:tr>
      <w:tr>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Bar chart of resumes per job category</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Reveal class imbalance across categories</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matplotlib / seaborn (seaborn.countplot)</w:t>
            </w:r>
          </w:p>
        </w:tc>
      </w:tr>
      <w:tr>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Histogram / KDE of resume word count</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Show the distribution of resume length and flag outliers</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matplotlib / seaborn (seaborn.histplot)</w:t>
            </w:r>
          </w:p>
        </w:tc>
      </w:tr>
      <w:tr>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Box plots of word count by category</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Compare length distributions across categories to spot category-specific norms or anomalies</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seaborn.boxplot</w:t>
            </w:r>
          </w:p>
        </w:tc>
      </w:tr>
      <w:tr>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Word clouds per top categories</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Visually surface the most frequent terms/skills that define each category</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wordcloud + matplotlib</w:t>
            </w:r>
          </w:p>
        </w:tc>
      </w:tr>
      <w:tr>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Horizontal bar chart of top-N TF-IDF terms per category</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Identify the most distinctive (not just frequent) terms per category using TF-IDF weighting</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scikit-learn (TfidfVectorizer) + matplotlib</w:t>
            </w:r>
          </w:p>
        </w:tc>
      </w:tr>
      <w:tr>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Heatmap of skill co-occurrence</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Show which skills commonly appear together, useful for feature engineering</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seaborn.heatmap</w:t>
            </w:r>
          </w:p>
        </w:tc>
      </w:tr>
      <w:tr>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Scatter plot of 2D embedding (t-SNE / UMAP of TF-IDF or sentence embeddings)</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Visually assess how separable job categories are in feature space before modeling</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scikit-learn (TSNE) or umap-learn + matplotlib</w:t>
            </w:r>
          </w:p>
        </w:tc>
      </w:tr>
      <w:tr>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Missing-data / completeness bar chart</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Confirm the Week 2 cleaning improved field completeness</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pandas + matplotlib</w:t>
            </w:r>
          </w:p>
        </w:tc>
      </w:tr>
    </w:tbl>
    <w:p>
      <w:pPr>
        <w:pStyle w:val="Heading1"/>
        <w:pBdr>
          <w:bottom w:val="single" w:color="1F4E79" w:sz="6"/>
        </w:pBdr>
        <w:spacing w:after="180" w:before="360"/>
      </w:pPr>
      <w:r>
        <w:rPr>
          <w:b/>
          <w:bCs/>
          <w:color w:val="1F4E79"/>
          <w:sz w:val="30"/>
          <w:szCs w:val="30"/>
        </w:rPr>
        <w:t xml:space="preserve">4. EDA Workflow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Pipeline Stage</w:t>
            </w:r>
          </w:p>
        </w:tc>
        <w:tc>
          <w:tcPr>
            <w:tcW w:type="dxa" w:w="6700"/>
            <w:shd w:fill="1F4E79"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1. Load Cleaned Data</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Read the Week 2 cleaned dataset into pandas; confirm row counts and schema match expectations.</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2. Univariate Analysis</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Category counts, word-count distribution, skill-count distribution — one variable at a time.</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3. Bivariate / Category-Level Analysis</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Word count, skill count, and years-of-experience broken down by job category, using box plots and grouped bar charts.</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4. Text-Specific Analysis</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Top TF-IDF terms per category, word clouds, and n-gram frequency tables to confirm categories are linguistically distinguishable.</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5. Dimensionality Reduction &amp; Visualization</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Project TF-IDF/embedding vectors into 2D with t-SNE or UMAP and color by category to visually sanity-check class separability.</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6. Insight Synthesis</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Summarize findings into a short written narrative per chart, and translate each into an implication for feature engineering or modeling choices in Week 4.</w:t>
            </w:r>
          </w:p>
        </w:tc>
      </w:tr>
    </w:tbl>
    <w:p>
      <w:pPr>
        <w:pStyle w:val="Heading1"/>
        <w:pBdr>
          <w:bottom w:val="single" w:color="1F4E79" w:sz="6"/>
        </w:pBdr>
        <w:spacing w:after="180" w:before="360"/>
      </w:pPr>
      <w:r>
        <w:rPr>
          <w:b/>
          <w:bCs/>
          <w:color w:val="1F4E79"/>
          <w:sz w:val="30"/>
          <w:szCs w:val="30"/>
        </w:rPr>
        <w:t xml:space="preserve">5. Expected Insights and How They Will Be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800"/>
        <w:gridCol w:w="4500"/>
      </w:tblGrid>
      <w:tr>
        <w:trPr>
          <w:tblHeader/>
        </w:trPr>
        <w:tc>
          <w:tcPr>
            <w:tcW w:type="dxa" w:w="4800"/>
            <w:shd w:fill="1F4E79" w:color="auto" w:val="clear"/>
            <w:tcMar>
              <w:top w:type="dxa" w:w="80"/>
              <w:left w:type="dxa" w:w="120"/>
              <w:bottom w:type="dxa" w:w="80"/>
              <w:right w:type="dxa" w:w="120"/>
            </w:tcMar>
            <w:vAlign w:val="center"/>
          </w:tcPr>
          <w:p>
            <w:pPr>
              <w:jc w:val="left"/>
            </w:pPr>
            <w:r>
              <w:rPr>
                <w:b/>
                <w:bCs/>
                <w:color w:val="FFFFFF"/>
                <w:sz w:val="20"/>
                <w:szCs w:val="20"/>
              </w:rPr>
              <w:t xml:space="preserve">Insight (hypothesis to test)</w:t>
            </w:r>
          </w:p>
        </w:tc>
        <w:tc>
          <w:tcPr>
            <w:tcW w:type="dxa" w:w="4500"/>
            <w:shd w:fill="1F4E79" w:color="auto" w:val="clear"/>
            <w:tcMar>
              <w:top w:type="dxa" w:w="80"/>
              <w:left w:type="dxa" w:w="120"/>
              <w:bottom w:type="dxa" w:w="80"/>
              <w:right w:type="dxa" w:w="120"/>
            </w:tcMar>
            <w:vAlign w:val="center"/>
          </w:tcPr>
          <w:p>
            <w:pPr>
              <w:jc w:val="left"/>
            </w:pPr>
            <w:r>
              <w:rPr>
                <w:b/>
                <w:bCs/>
                <w:color w:val="FFFFFF"/>
                <w:sz w:val="20"/>
                <w:szCs w:val="20"/>
              </w:rPr>
              <w:t xml:space="preserve">Action if confirmed</w:t>
            </w:r>
          </w:p>
        </w:tc>
      </w:tr>
      <w:tr>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Some job categories (e.g., Information Technology, Business Development) are over-represented relative to niche categories (e.g., Aviation, BPO).</w:t>
            </w:r>
          </w:p>
        </w:tc>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Apply class-weighted loss or stratified train/test splitting in Week 4 rather than assuming a balanced dataset.</w:t>
            </w:r>
          </w:p>
        </w:tc>
      </w:tr>
      <w:tr>
        <w:tc>
          <w:tcPr>
            <w:tcW w:type="dxa" w:w="48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Certain categories have highly distinctive vocabulary (e.g., "Java", "SQL" for IT roles) while others overlap more with general business language.</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Expect higher classification accuracy for technically distinctive categories, and treat overlapping categories separately in the evaluation, e.g., via a confusion matrix breakdown.</w:t>
            </w:r>
          </w:p>
        </w:tc>
      </w:tr>
      <w:tr>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Resume length correlates weakly with category but more strongly with seniority language.</w:t>
            </w:r>
          </w:p>
        </w:tc>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Prioritize word-count and skill-count as engineered features rather than relying on category alone.</w:t>
            </w:r>
          </w:p>
        </w:tc>
      </w:tr>
      <w:tr>
        <w:tc>
          <w:tcPr>
            <w:tcW w:type="dxa" w:w="48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 small number of near-duplicate resumes remain even after Week 2 cleaning.</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Re-run the near-duplicate detection threshold and remove any remaining leakage risk before the train/test split.</w:t>
            </w:r>
          </w:p>
        </w:tc>
      </w:tr>
    </w:tbl>
    <w:p>
      <w:pPr>
        <w:pStyle w:val="Heading1"/>
        <w:pBdr>
          <w:bottom w:val="single" w:color="1F4E79" w:sz="6"/>
        </w:pBdr>
        <w:spacing w:after="180" w:before="360"/>
      </w:pPr>
      <w:r>
        <w:rPr>
          <w:b/>
          <w:bCs/>
          <w:color w:val="1F4E79"/>
          <w:sz w:val="30"/>
          <w:szCs w:val="30"/>
        </w:rPr>
        <w:t xml:space="preserve">6. Mock-up / Pseudo-Visualization Description</w:t>
      </w:r>
    </w:p>
    <w:p>
      <w:pPr>
        <w:spacing w:after="160" w:line="276"/>
      </w:pPr>
      <w:r>
        <w:rPr>
          <w:sz w:val="22"/>
          <w:szCs w:val="22"/>
        </w:rPr>
        <w:t xml:space="preserve">Because this task is a planning and documentation exercise, the following describes the intended layout of the final EDA report rather than embedding the rendered charts themselves:</w:t>
      </w:r>
    </w:p>
    <w:p>
      <w:pPr>
        <w:pStyle w:val="ListParagraph"/>
        <w:numPr>
          <w:ilvl w:val="0"/>
          <w:numId w:val="3"/>
        </w:numPr>
        <w:spacing w:after="90" w:line="276"/>
      </w:pPr>
      <w:r>
        <w:rPr>
          <w:sz w:val="22"/>
          <w:szCs w:val="22"/>
        </w:rPr>
        <w:t xml:space="preserve">Section A — Class Distribution: a horizontal bar chart ranking job categories by resume count, annotated with the exact count and percentage of the total dataset for each category.</w:t>
      </w:r>
    </w:p>
    <w:p>
      <w:pPr>
        <w:pStyle w:val="ListParagraph"/>
        <w:numPr>
          <w:ilvl w:val="0"/>
          <w:numId w:val="3"/>
        </w:numPr>
        <w:spacing w:after="90" w:line="276"/>
      </w:pPr>
      <w:r>
        <w:rPr>
          <w:sz w:val="22"/>
          <w:szCs w:val="22"/>
        </w:rPr>
        <w:t xml:space="preserve">Section B — Resume Length Profile: a histogram of word counts overlaid with a KDE curve, plus a box plot faceted by category on the same page for direct comparison.</w:t>
      </w:r>
    </w:p>
    <w:p>
      <w:pPr>
        <w:pStyle w:val="ListParagraph"/>
        <w:numPr>
          <w:ilvl w:val="0"/>
          <w:numId w:val="3"/>
        </w:numPr>
        <w:spacing w:after="90" w:line="276"/>
      </w:pPr>
      <w:r>
        <w:rPr>
          <w:sz w:val="22"/>
          <w:szCs w:val="22"/>
        </w:rPr>
        <w:t xml:space="preserve">Section C — Vocabulary Fingerprints: a 2x2 grid of word clouds for the four largest categories, followed by a table of the top 10 TF-IDF terms for every category.</w:t>
      </w:r>
    </w:p>
    <w:p>
      <w:pPr>
        <w:pStyle w:val="ListParagraph"/>
        <w:numPr>
          <w:ilvl w:val="0"/>
          <w:numId w:val="3"/>
        </w:numPr>
        <w:spacing w:after="90" w:line="276"/>
      </w:pPr>
      <w:r>
        <w:rPr>
          <w:sz w:val="22"/>
          <w:szCs w:val="22"/>
        </w:rPr>
        <w:t xml:space="preserve">Section D — Category Separability: a single 2D scatter plot (t-SNE projection of TF-IDF vectors), color-coded by category, with a short caption interpreting cluster overlap.</w:t>
      </w:r>
    </w:p>
    <w:p>
      <w:pPr>
        <w:pStyle w:val="ListParagraph"/>
        <w:numPr>
          <w:ilvl w:val="0"/>
          <w:numId w:val="3"/>
        </w:numPr>
        <w:spacing w:after="90" w:line="276"/>
      </w:pPr>
      <w:r>
        <w:rPr>
          <w:sz w:val="22"/>
          <w:szCs w:val="22"/>
        </w:rPr>
        <w:t xml:space="preserve">Section E — Data Quality Recap: a before/after bar chart comparing the Week 2 cleaning's effect on missing-value rates and duplicate counts.</w:t>
      </w:r>
    </w:p>
    <w:p>
      <w:pPr>
        <w:pStyle w:val="Heading1"/>
        <w:pBdr>
          <w:bottom w:val="single" w:color="1F4E79" w:sz="6"/>
        </w:pBdr>
        <w:spacing w:after="180" w:before="360"/>
      </w:pPr>
      <w:r>
        <w:rPr>
          <w:b/>
          <w:bCs/>
          <w:color w:val="1F4E79"/>
          <w:sz w:val="30"/>
          <w:szCs w:val="30"/>
        </w:rPr>
        <w:t xml:space="preserve">7. Documenting Findings</w:t>
      </w:r>
    </w:p>
    <w:p>
      <w:pPr>
        <w:spacing w:after="160" w:line="276"/>
      </w:pPr>
      <w:r>
        <w:rPr>
          <w:sz w:val="22"/>
          <w:szCs w:val="22"/>
        </w:rPr>
        <w:t xml:space="preserve">Each visualization produced will be accompanied by a three-part caption in the final EDA notebook/report: (1) what the chart shows, in one sentence; (2) the specific numeric takeaway (e.g., "the top 3 categories account for 42% of all resumes"); and (3) the implication for the modeling task in Week 4 (e.g., feature selection, class balancing, or further cleaning). This structure ensures the EDA output is directly actionable rather than purely descriptive.</w:t>
      </w:r>
    </w:p>
    <w:p>
      <w:pPr>
        <w:pStyle w:val="Heading1"/>
        <w:pBdr>
          <w:bottom w:val="single" w:color="1F4E79" w:sz="6"/>
        </w:pBdr>
        <w:spacing w:after="180" w:before="360"/>
      </w:pPr>
      <w:r>
        <w:rPr>
          <w:b/>
          <w:bCs/>
          <w:color w:val="1F4E79"/>
          <w:sz w:val="30"/>
          <w:szCs w:val="30"/>
        </w:rPr>
        <w:t xml:space="preserve">8. Anticipated Challenges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4E79" w:color="auto" w:val="clear"/>
            <w:tcMar>
              <w:top w:type="dxa" w:w="80"/>
              <w:left w:type="dxa" w:w="120"/>
              <w:bottom w:type="dxa" w:w="80"/>
              <w:right w:type="dxa" w:w="120"/>
            </w:tcMar>
            <w:vAlign w:val="center"/>
          </w:tcPr>
          <w:p>
            <w:pPr>
              <w:jc w:val="left"/>
            </w:pPr>
            <w:r>
              <w:rPr>
                <w:b/>
                <w:bCs/>
                <w:color w:val="FFFFFF"/>
                <w:sz w:val="20"/>
                <w:szCs w:val="20"/>
              </w:rPr>
              <w:t xml:space="preserve">Challenge</w:t>
            </w:r>
          </w:p>
        </w:tc>
        <w:tc>
          <w:tcPr>
            <w:tcW w:type="dxa" w:w="4800"/>
            <w:shd w:fill="1F4E79" w:color="auto"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Word clouds can overrepresent common but low-information words even after stop-word removal.</w:t>
            </w:r>
          </w:p>
        </w:tc>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Weight word clouds by TF-IDF score rather than raw frequency so category-distinctive terms are emphasized.</w:t>
            </w:r>
          </w:p>
        </w:tc>
      </w:tr>
      <w:tr>
        <w:tc>
          <w:tcPr>
            <w:tcW w:type="dxa" w:w="45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t-SNE/UMAP projections can be misleading if hyperparameters (perplexity, n_neighbors) are not tuned.</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Run the projection at 2–3 different parameter settings and visually confirm cluster patterns are stable before drawing conclusions.</w:t>
            </w:r>
          </w:p>
        </w:tc>
      </w:tr>
      <w:tr>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Category overlap may make some classes inherently hard to separate (e.g., "Sales" vs. "Business Development").</w:t>
            </w:r>
          </w:p>
        </w:tc>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Explicitly flag these pairs as an expected source of misclassification ahead of Week 4, rather than treating it as a modeling failure.</w:t>
            </w:r>
          </w:p>
        </w:tc>
      </w:tr>
    </w:tbl>
    <w:p>
      <w:pPr>
        <w:pStyle w:val="Heading1"/>
        <w:pBdr>
          <w:bottom w:val="single" w:color="1F4E79" w:sz="6"/>
        </w:pBdr>
        <w:spacing w:after="180" w:before="360"/>
      </w:pPr>
      <w:r>
        <w:rPr>
          <w:b/>
          <w:bCs/>
          <w:color w:val="1F4E79"/>
          <w:sz w:val="30"/>
          <w:szCs w:val="30"/>
        </w:rPr>
        <w:t xml:space="preserve">9. Estimated Effort</w:t>
      </w:r>
    </w:p>
    <w:p>
      <w:pPr>
        <w:spacing w:after="160" w:line="276"/>
      </w:pPr>
      <w:r>
        <w:rPr>
          <w:sz w:val="22"/>
          <w:szCs w:val="22"/>
        </w:rPr>
        <w:t xml:space="preserve">This task is estimated at 30–35 hours: 6 hours reviewing standard EDA and text-visualization practices; 10 hours drafting and structuring the visualization plan and mock-up layout; 8 hours writing the detailed rationale for each chart and its Python implementation; and 6–8 hours on review, refinement, and ensuring the plan aligns cleanly with the Week 2 cleaned dataset and the Week 4 modeling plan.</w:t>
      </w:r>
    </w:p>
    <w:p>
      <w:pPr>
        <w:pStyle w:val="Heading1"/>
        <w:pBdr>
          <w:bottom w:val="single" w:color="1F4E79" w:sz="6"/>
        </w:pBdr>
        <w:spacing w:after="180" w:before="360"/>
      </w:pPr>
      <w:r>
        <w:rPr>
          <w:b/>
          <w:bCs/>
          <w:color w:val="1F4E79"/>
          <w:sz w:val="30"/>
          <w:szCs w:val="30"/>
        </w:rPr>
        <w:t xml:space="preserve">10. Conclusion</w:t>
      </w:r>
    </w:p>
    <w:p>
      <w:pPr>
        <w:spacing w:after="160" w:line="276"/>
      </w:pPr>
      <w:r>
        <w:rPr>
          <w:sz w:val="22"/>
          <w:szCs w:val="22"/>
        </w:rPr>
        <w:t xml:space="preserve">This EDA and visualization strategy turns the cleaned resume dataset into a set of concrete, interpretable charts and a structured process for extracting insight from them. By tying every visualization to a specific hypothesis and a specific downstream modeling decision, the plan ensures that Week 3's analysis directly informs — rather than merely illustrates — the feature engineering and model selection work carried out in Week 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2026-09-18T04:58:36.277Z</dcterms:created>
  <dcterms:modified xsi:type="dcterms:W3CDTF">2026-09-18T04:58:36.278Z</dcterms:modified>
</cp:coreProperties>
</file>

<file path=docProps/custom.xml><?xml version="1.0" encoding="utf-8"?>
<Properties xmlns="http://schemas.openxmlformats.org/officeDocument/2006/custom-properties" xmlns:vt="http://schemas.openxmlformats.org/officeDocument/2006/docPropsVTypes"/>
</file>