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F4E79"/>
          <w:sz w:val="52"/>
          <w:szCs w:val="52"/>
        </w:rPr>
        <w:t xml:space="preserve">AI Resume Screening System</w:t>
      </w:r>
    </w:p>
    <w:p>
      <w:pPr>
        <w:spacing w:after="400"/>
        <w:jc w:val="center"/>
      </w:pPr>
      <w:r>
        <w:rPr>
          <w:b/>
          <w:bCs/>
          <w:color w:val="595959"/>
          <w:sz w:val="34"/>
          <w:szCs w:val="34"/>
        </w:rPr>
        <w:t xml:space="preserve">Week 4: Machine Learning Model Selection and Evaluation Plan</w:t>
      </w:r>
    </w:p>
    <w:p>
      <w:pPr>
        <w:pBdr>
          <w:top w:val="single" w:color="2E7D32" w:sz="6"/>
          <w:bottom w:val="single" w:color="2E7D32" w:sz="6"/>
        </w:pBdr>
        <w:spacing w:after="120" w:before="120"/>
        <w:jc w:val="center"/>
      </w:pPr>
      <w:r>
        <w:rPr>
          <w:b/>
          <w:bCs/>
          <w:color w:val="2E7D32"/>
          <w:sz w:val="26"/>
          <w:szCs w:val="26"/>
        </w:rPr>
        <w:t xml:space="preserve">Task 4 of 4</w:t>
      </w:r>
    </w:p>
    <w:p>
      <w:pPr>
        <w:spacing w:before="800"/>
        <w:jc w:val="center"/>
      </w:pPr>
      <w:r>
        <w:rPr>
          <w:color w:val="595959"/>
          <w:sz w:val="22"/>
          <w:szCs w:val="22"/>
        </w:rPr>
        <w:t xml:space="preserve">Virtual Data Science Apprentice — Python Specialist Intern</w:t>
      </w:r>
    </w:p>
    <w:p>
      <w:pPr>
        <w:jc w:val="center"/>
      </w:pPr>
      <w:r>
        <w:rPr>
          <w:color w:val="595959"/>
          <w:sz w:val="22"/>
          <w:szCs w:val="22"/>
        </w:rPr>
        <w:t xml:space="preserve">Intern: [Your Name]</w:t>
      </w:r>
    </w:p>
    <w:p>
      <w:pPr>
        <w:jc w:val="center"/>
      </w:pPr>
      <w:r>
        <w:rPr>
          <w:color w:val="595959"/>
          <w:sz w:val="22"/>
          <w:szCs w:val="22"/>
        </w:rPr>
        <w:t xml:space="preserve">Duration: 18-Sep-2026 to 16-Oct-2026</w:t>
      </w:r>
    </w:p>
    <w:p>
      <w:r>
        <w:br w:type="page"/>
      </w:r>
    </w:p>
    <w:p>
      <w:pPr>
        <w:pStyle w:val="Heading1"/>
        <w:pBdr>
          <w:bottom w:val="single" w:color="1F4E79" w:sz="6"/>
        </w:pBdr>
        <w:spacing w:after="180" w:before="360"/>
      </w:pPr>
      <w:r>
        <w:rPr>
          <w:b/>
          <w:bCs/>
          <w:color w:val="1F4E79"/>
          <w:sz w:val="30"/>
          <w:szCs w:val="30"/>
        </w:rPr>
        <w:t xml:space="preserve">1. Introduction</w:t>
      </w:r>
    </w:p>
    <w:p>
      <w:pPr>
        <w:spacing w:after="160" w:line="276"/>
      </w:pPr>
      <w:r>
        <w:rPr>
          <w:sz w:val="22"/>
          <w:szCs w:val="22"/>
        </w:rPr>
        <w:t xml:space="preserve">The first three weeks scoped the AI Resume Screening System, cleaned and transformed the resume dataset, and explored the data to understand class balance and vocabulary structure. This final task defines the plan for selecting, training, and evaluating machine learning models that classify a resume into a job category and, as a stretch goal, score its similarity to a target job description. The document covers candidate model families, the rationale for each, evaluation metrics, and a validation strategy.</w:t>
      </w:r>
    </w:p>
    <w:p>
      <w:pPr>
        <w:pStyle w:val="Heading1"/>
        <w:pBdr>
          <w:bottom w:val="single" w:color="1F4E79" w:sz="6"/>
        </w:pBdr>
        <w:spacing w:after="180" w:before="360"/>
      </w:pPr>
      <w:r>
        <w:rPr>
          <w:b/>
          <w:bCs/>
          <w:color w:val="1F4E79"/>
          <w:sz w:val="30"/>
          <w:szCs w:val="30"/>
        </w:rPr>
        <w:t xml:space="preserve">2. Framing the Modeling Problem</w:t>
      </w:r>
    </w:p>
    <w:p>
      <w:pPr>
        <w:spacing w:after="160" w:line="276"/>
      </w:pPr>
      <w:r>
        <w:rPr>
          <w:sz w:val="22"/>
          <w:szCs w:val="22"/>
        </w:rPr>
        <w:t xml:space="preserve">The core modeling task is multi-class text classification: given a cleaned resume (represented as TF-IDF vectors and/or embeddings, plus engineered numeric features from Weeks 2-3), predict its job category from the set of labels present in the dataset. A secondary, related task — resume-to-job-description similarity scoring — is framed as an unsupervised similarity problem using cosine similarity over vector representations, and is treated as a stretch goal beyond the core classification pipeline.</w:t>
      </w:r>
    </w:p>
    <w:p>
      <w:pPr>
        <w:pStyle w:val="Heading1"/>
        <w:pBdr>
          <w:bottom w:val="single" w:color="1F4E79" w:sz="6"/>
        </w:pBdr>
        <w:spacing w:after="180" w:before="360"/>
      </w:pPr>
      <w:r>
        <w:rPr>
          <w:b/>
          <w:bCs/>
          <w:color w:val="1F4E79"/>
          <w:sz w:val="30"/>
          <w:szCs w:val="30"/>
        </w:rPr>
        <w:t xml:space="preserve">3. Candidate Machine Learning Approaches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700"/>
      </w:tblGrid>
      <w:tr>
        <w:trPr>
          <w:tblHeader/>
        </w:trPr>
        <w:tc>
          <w:tcPr>
            <w:tcW w:type="dxa" w:w="2700"/>
            <w:shd w:fill="1F4E79" w:color="auto" w:val="clear"/>
            <w:tcMar>
              <w:top w:type="dxa" w:w="80"/>
              <w:left w:type="dxa" w:w="120"/>
              <w:bottom w:type="dxa" w:w="80"/>
              <w:right w:type="dxa" w:w="120"/>
            </w:tcMar>
            <w:vAlign w:val="center"/>
          </w:tcPr>
          <w:p>
            <w:pPr>
              <w:jc w:val="left"/>
            </w:pPr>
            <w:r>
              <w:rPr>
                <w:b/>
                <w:bCs/>
                <w:color w:val="FFFFFF"/>
                <w:sz w:val="20"/>
                <w:szCs w:val="20"/>
              </w:rPr>
              <w:t xml:space="preserve">Model</w:t>
            </w:r>
          </w:p>
        </w:tc>
        <w:tc>
          <w:tcPr>
            <w:tcW w:type="dxa" w:w="3900"/>
            <w:shd w:fill="1F4E79" w:color="auto" w:val="clear"/>
            <w:tcMar>
              <w:top w:type="dxa" w:w="80"/>
              <w:left w:type="dxa" w:w="120"/>
              <w:bottom w:type="dxa" w:w="80"/>
              <w:right w:type="dxa" w:w="120"/>
            </w:tcMar>
            <w:vAlign w:val="center"/>
          </w:tcPr>
          <w:p>
            <w:pPr>
              <w:jc w:val="left"/>
            </w:pPr>
            <w:r>
              <w:rPr>
                <w:b/>
                <w:bCs/>
                <w:color w:val="FFFFFF"/>
                <w:sz w:val="20"/>
                <w:szCs w:val="20"/>
              </w:rPr>
              <w:t xml:space="preserve">How it fits this problem</w:t>
            </w:r>
          </w:p>
        </w:tc>
        <w:tc>
          <w:tcPr>
            <w:tcW w:type="dxa" w:w="2700"/>
            <w:shd w:fill="1F4E79" w:color="auto" w:val="clear"/>
            <w:tcMar>
              <w:top w:type="dxa" w:w="80"/>
              <w:left w:type="dxa" w:w="120"/>
              <w:bottom w:type="dxa" w:w="80"/>
              <w:right w:type="dxa" w:w="120"/>
            </w:tcMar>
            <w:vAlign w:val="center"/>
          </w:tcPr>
          <w:p>
            <w:pPr>
              <w:jc w:val="left"/>
            </w:pPr>
            <w:r>
              <w:rPr>
                <w:b/>
                <w:bCs/>
                <w:color w:val="FFFFFF"/>
                <w:sz w:val="20"/>
                <w:szCs w:val="20"/>
              </w:rPr>
              <w:t xml:space="preserve">Key trade-off</w:t>
            </w:r>
          </w:p>
        </w:tc>
      </w:tr>
      <w:tr>
        <w:tc>
          <w:tcPr>
            <w:tcW w:type="dxa" w:w="2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Logistic Regression (multinomial)</w:t>
            </w:r>
          </w:p>
        </w:tc>
        <w:tc>
          <w:tcPr>
            <w:tcW w:type="dxa" w:w="39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A strong, fast, interpretable baseline for TF-IDF text classification; coefficients can be inspected to see which terms drive each category.</w:t>
            </w:r>
          </w:p>
        </w:tc>
        <w:tc>
          <w:tcPr>
            <w:tcW w:type="dxa" w:w="2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May underfit if category boundaries are non-linear in the feature space.</w:t>
            </w:r>
          </w:p>
        </w:tc>
      </w:tr>
      <w:tr>
        <w:tc>
          <w:tcPr>
            <w:tcW w:type="dxa" w:w="2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Linear Support Vector Machine (SVM)</w:t>
            </w:r>
          </w:p>
        </w:tc>
        <w:tc>
          <w:tcPr>
            <w:tcW w:type="dxa" w:w="39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Historically a very strong performer for high-dimensional sparse text data such as TF-IDF vectors.</w:t>
            </w:r>
          </w:p>
        </w:tc>
        <w:tc>
          <w:tcPr>
            <w:tcW w:type="dxa" w:w="2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Less naturally interpretable than logistic regression; probability outputs require extra calibration.</w:t>
            </w:r>
          </w:p>
        </w:tc>
      </w:tr>
      <w:tr>
        <w:tc>
          <w:tcPr>
            <w:tcW w:type="dxa" w:w="2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tcW w:type="dxa" w:w="39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Captures non-linear interactions between engineered numeric features (experience, skill count) and can rank feature importance.</w:t>
            </w:r>
          </w:p>
        </w:tc>
        <w:tc>
          <w:tcPr>
            <w:tcW w:type="dxa" w:w="2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Less effective on very high-dimensional sparse TF-IDF input; typically paired with engineered features rather than raw text vectors.</w:t>
            </w:r>
          </w:p>
        </w:tc>
      </w:tr>
      <w:tr>
        <w:tc>
          <w:tcPr>
            <w:tcW w:type="dxa" w:w="2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Gradient Boosting (XGBoost / LightGBM)</w:t>
            </w:r>
          </w:p>
        </w:tc>
        <w:tc>
          <w:tcPr>
            <w:tcW w:type="dxa" w:w="39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Often achieves the best accuracy on structured/engineered features and can combine text-derived and numeric features.</w:t>
            </w:r>
          </w:p>
        </w:tc>
        <w:tc>
          <w:tcPr>
            <w:tcW w:type="dxa" w:w="2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More hyperparameters to tune; higher risk of overfitting on a modestly sized dataset (~2,400 resumes).</w:t>
            </w:r>
          </w:p>
        </w:tc>
      </w:tr>
      <w:tr>
        <w:tc>
          <w:tcPr>
            <w:tcW w:type="dxa" w:w="2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Neural / transformer-based embeddings + classifier (e.g., sentence-transformers + logistic regression head)</w:t>
            </w:r>
          </w:p>
        </w:tc>
        <w:tc>
          <w:tcPr>
            <w:tcW w:type="dxa" w:w="39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Captures semantic similarity beyond exact keyword overlap (e.g., "led a team" vs. "managed staff").</w:t>
            </w:r>
          </w:p>
        </w:tc>
        <w:tc>
          <w:tcPr>
            <w:tcW w:type="dxa" w:w="2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Higher compute cost and complexity; treated as a comparison/stretch model rather than the primary baseline given the internship timeline.</w:t>
            </w:r>
          </w:p>
        </w:tc>
      </w:tr>
    </w:tbl>
    <w:p>
      <w:pPr>
        <w:pStyle w:val="Heading2"/>
        <w:spacing w:after="120" w:before="260"/>
      </w:pPr>
      <w:r>
        <w:rPr>
          <w:b/>
          <w:bCs/>
          <w:color w:val="1F4E79"/>
          <w:sz w:val="24"/>
          <w:szCs w:val="24"/>
        </w:rPr>
        <w:t xml:space="preserve">3.1 Model Selection Criteria</w:t>
      </w:r>
    </w:p>
    <w:p>
      <w:pPr>
        <w:pStyle w:val="ListParagraph"/>
        <w:numPr>
          <w:ilvl w:val="0"/>
          <w:numId w:val="2"/>
        </w:numPr>
        <w:spacing w:after="90" w:line="276"/>
      </w:pPr>
      <w:r>
        <w:rPr>
          <w:sz w:val="22"/>
          <w:szCs w:val="22"/>
        </w:rPr>
        <w:t xml:space="preserve">Performance: weighted F1-score on a held-out test set, since categories are imbalanced (see Week 3 EDA).</w:t>
      </w:r>
    </w:p>
    <w:p>
      <w:pPr>
        <w:pStyle w:val="ListParagraph"/>
        <w:numPr>
          <w:ilvl w:val="0"/>
          <w:numId w:val="2"/>
        </w:numPr>
        <w:spacing w:after="90" w:line="276"/>
      </w:pPr>
      <w:r>
        <w:rPr>
          <w:sz w:val="22"/>
          <w:szCs w:val="22"/>
        </w:rPr>
        <w:t xml:space="preserve">Interpretability: ability to explain why a resume was classified into a category — important for recruiter trust and fairness auditing.</w:t>
      </w:r>
    </w:p>
    <w:p>
      <w:pPr>
        <w:pStyle w:val="ListParagraph"/>
        <w:numPr>
          <w:ilvl w:val="0"/>
          <w:numId w:val="2"/>
        </w:numPr>
        <w:spacing w:after="90" w:line="276"/>
      </w:pPr>
      <w:r>
        <w:rPr>
          <w:sz w:val="22"/>
          <w:szCs w:val="22"/>
        </w:rPr>
        <w:t xml:space="preserve">Training cost and complexity: must be trainable within the internship's compute/time budget.</w:t>
      </w:r>
    </w:p>
    <w:p>
      <w:pPr>
        <w:pStyle w:val="ListParagraph"/>
        <w:numPr>
          <w:ilvl w:val="0"/>
          <w:numId w:val="2"/>
        </w:numPr>
        <w:spacing w:after="90" w:line="276"/>
      </w:pPr>
      <w:r>
        <w:rPr>
          <w:sz w:val="22"/>
          <w:szCs w:val="22"/>
        </w:rPr>
        <w:t xml:space="preserve">Robustness to class imbalance: models must support class weighting or resampling.</w:t>
      </w:r>
    </w:p>
    <w:p>
      <w:pPr>
        <w:pStyle w:val="Heading1"/>
        <w:pBdr>
          <w:bottom w:val="single" w:color="1F4E79" w:sz="6"/>
        </w:pBdr>
        <w:spacing w:after="180" w:before="360"/>
      </w:pPr>
      <w:r>
        <w:rPr>
          <w:b/>
          <w:bCs/>
          <w:color w:val="1F4E79"/>
          <w:sz w:val="30"/>
          <w:szCs w:val="30"/>
        </w:rPr>
        <w:t xml:space="preserve">4. Evaluation Metrics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00"/>
      </w:tblGrid>
      <w:tr>
        <w:trPr>
          <w:tblHeader/>
        </w:trPr>
        <w:tc>
          <w:tcPr>
            <w:tcW w:type="dxa" w:w="2600"/>
            <w:shd w:fill="1F4E79" w:color="auto"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3400"/>
            <w:shd w:fill="1F4E79" w:color="auto" w:val="clear"/>
            <w:tcMar>
              <w:top w:type="dxa" w:w="80"/>
              <w:left w:type="dxa" w:w="120"/>
              <w:bottom w:type="dxa" w:w="80"/>
              <w:right w:type="dxa" w:w="120"/>
            </w:tcMar>
            <w:vAlign w:val="center"/>
          </w:tcPr>
          <w:p>
            <w:pPr>
              <w:jc w:val="left"/>
            </w:pPr>
            <w:r>
              <w:rPr>
                <w:b/>
                <w:bCs/>
                <w:color w:val="FFFFFF"/>
                <w:sz w:val="20"/>
                <w:szCs w:val="20"/>
              </w:rPr>
              <w:t xml:space="preserve">Definition (brief)</w:t>
            </w:r>
          </w:p>
        </w:tc>
        <w:tc>
          <w:tcPr>
            <w:tcW w:type="dxa" w:w="3300"/>
            <w:shd w:fill="1F4E79" w:color="auto" w:val="clear"/>
            <w:tcMar>
              <w:top w:type="dxa" w:w="80"/>
              <w:left w:type="dxa" w:w="120"/>
              <w:bottom w:type="dxa" w:w="80"/>
              <w:right w:type="dxa" w:w="120"/>
            </w:tcMar>
            <w:vAlign w:val="center"/>
          </w:tcPr>
          <w:p>
            <w:pPr>
              <w:jc w:val="left"/>
            </w:pPr>
            <w:r>
              <w:rPr>
                <w:b/>
                <w:bCs/>
                <w:color w:val="FFFFFF"/>
                <w:sz w:val="20"/>
                <w:szCs w:val="20"/>
              </w:rPr>
              <w:t xml:space="preserve">Why it matters here</w:t>
            </w:r>
          </w:p>
        </w:tc>
      </w:tr>
      <w:tr>
        <w:tc>
          <w:tcPr>
            <w:tcW w:type="dxa" w:w="2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Accuracy</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Proportion of resumes correctly classified overall.</w:t>
            </w:r>
          </w:p>
        </w:tc>
        <w:tc>
          <w:tcPr>
            <w:tcW w:type="dxa" w:w="33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Easy to communicate to non-technical stakeholders, but misleading alone given class imbalance.</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Precision (per class &amp; macro/weighted average)</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Of the resumes predicted into a category, the proportion that truly belong to it.</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High precision matters so recruiters aren't shown irrelevant candidates for a role.</w:t>
            </w:r>
          </w:p>
        </w:tc>
      </w:tr>
      <w:tr>
        <w:tc>
          <w:tcPr>
            <w:tcW w:type="dxa" w:w="2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Recall (per class &amp; macro/weighted average)</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Of the resumes that truly belong to a category, the proportion the model correctly finds.</w:t>
            </w:r>
          </w:p>
        </w:tc>
        <w:tc>
          <w:tcPr>
            <w:tcW w:type="dxa" w:w="33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High recall matters so qualified candidates are not missed/filtered out unfairly.</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F1-score (macro &amp; weighted)</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Harmonic mean of precision and recall.</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The primary model-selection metric, since it balances precision and recall and the weighted variant accounts for class imbalance.</w:t>
            </w:r>
          </w:p>
        </w:tc>
      </w:tr>
      <w:tr>
        <w:tc>
          <w:tcPr>
            <w:tcW w:type="dxa" w:w="2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Confusion matrix</w:t>
            </w:r>
          </w:p>
        </w:tc>
        <w:tc>
          <w:tcPr>
            <w:tcW w:type="dxa" w:w="3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Table of predicted vs. actual category counts.</w:t>
            </w:r>
          </w:p>
        </w:tc>
        <w:tc>
          <w:tcPr>
            <w:tcW w:type="dxa" w:w="33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Shows exactly which categories are confused with each other (e.g., Sales vs. Business Development), guiding feature or data improvements.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ROC-AUC (one-vs-rest, where applicable)</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Ability to rank true positives above false positives per class.</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Useful for a ranking-oriented use case such as "top-N candidate shortlisting."</w:t>
            </w:r>
          </w:p>
        </w:tc>
      </w:tr>
    </w:tbl>
    <w:p>
      <w:pPr>
        <w:pStyle w:val="Heading1"/>
        <w:pBdr>
          <w:bottom w:val="single" w:color="1F4E79" w:sz="6"/>
        </w:pBdr>
        <w:spacing w:after="180" w:before="360"/>
      </w:pPr>
      <w:r>
        <w:rPr>
          <w:b/>
          <w:bCs/>
          <w:color w:val="1F4E79"/>
          <w:sz w:val="30"/>
          <w:szCs w:val="30"/>
        </w:rPr>
        <w:t xml:space="preserve">5. Model Selection and Evaluation Process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4E79" w:color="auto" w:val="clear"/>
            <w:tcMar>
              <w:top w:type="dxa" w:w="80"/>
              <w:left w:type="dxa" w:w="120"/>
              <w:bottom w:type="dxa" w:w="80"/>
              <w:right w:type="dxa" w:w="120"/>
            </w:tcMar>
            <w:vAlign w:val="center"/>
          </w:tcPr>
          <w:p>
            <w:pPr>
              <w:jc w:val="left"/>
            </w:pPr>
            <w:r>
              <w:rPr>
                <w:b/>
                <w:bCs/>
                <w:color w:val="FFFFFF"/>
                <w:sz w:val="20"/>
                <w:szCs w:val="20"/>
              </w:rPr>
              <w:t xml:space="preserve">Pipeline Stage</w:t>
            </w:r>
          </w:p>
        </w:tc>
        <w:tc>
          <w:tcPr>
            <w:tcW w:type="dxa" w:w="6700"/>
            <w:shd w:fill="1F4E79" w:color="auto"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1. Train/Test Split</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Stratified 80/20 split by job category to preserve class proportions in both sets; a further validation split or k-fold cross-validation used for hyperparameter tuning.</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2. Baseline Training</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Train Logistic Regression and Linear SVM on TF-IDF features as fast, interpretable baselines.</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3. Feature-Augmented Training</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Train Random Forest and XGBoost on a combined feature set (TF-IDF/embeddings + engineered numeric features from Weeks 2-3).</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4. Stretch Model</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If time permits, train a sentence-embedding-based classifier and compare against the classical baselines.</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5. Hyperparameter Tuning</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Use scikit-learn's GridSearchCV / RandomizedSearchCV with stratified k-fold cross-validation on the training set only, to avoid test-set leakage.</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6. Model Comparison</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Compare all trained models on the held-out test set using the metrics table above; select the best-performing model as the recommended approach.</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7. Model Tuning / Error Analysis</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Inspect the confusion matrix and misclassified examples for the selected model to identify systematic errors (e.g., overlapping categories) for future improvement.</w:t>
            </w:r>
          </w:p>
        </w:tc>
      </w:tr>
    </w:tbl>
    <w:p>
      <w:pPr>
        <w:pStyle w:val="Heading1"/>
        <w:pBdr>
          <w:bottom w:val="single" w:color="1F4E79" w:sz="6"/>
        </w:pBdr>
        <w:spacing w:after="180" w:before="360"/>
      </w:pPr>
      <w:r>
        <w:rPr>
          <w:b/>
          <w:bCs/>
          <w:color w:val="1F4E79"/>
          <w:sz w:val="30"/>
          <w:szCs w:val="30"/>
        </w:rPr>
        <w:t xml:space="preserve">6. Model Selection Decision Flow</w:t>
      </w:r>
    </w:p>
    <w:p>
      <w:pPr>
        <w:spacing w:after="160" w:line="276"/>
      </w:pPr>
      <w:r>
        <w:rPr>
          <w:sz w:val="22"/>
          <w:szCs w:val="22"/>
        </w:rPr>
        <w:t xml:space="preserve">The process for choosing the final recommended model follows a simple decision sequence: (1) eliminate any model whose weighted F1-score is meaningfully below the strongest baseline; (2) among remaining candidates, prefer the more interpretable model unless the performance gap is substantial (a common threshold is requiring at least a 3-5 percentage-point F1 improvement to justify a less interpretable model); (3) confirm the chosen model's error pattern (via the confusion matrix) does not disproportionately disadvantage any single job category; (4) document the final choice along with its measured trade-offs.</w:t>
      </w:r>
    </w:p>
    <w:p>
      <w:pPr>
        <w:pStyle w:val="Heading1"/>
        <w:pBdr>
          <w:bottom w:val="single" w:color="1F4E79" w:sz="6"/>
        </w:pBdr>
        <w:spacing w:after="180" w:before="360"/>
      </w:pPr>
      <w:r>
        <w:rPr>
          <w:b/>
          <w:bCs/>
          <w:color w:val="1F4E79"/>
          <w:sz w:val="30"/>
          <w:szCs w:val="30"/>
        </w:rPr>
        <w:t xml:space="preserve">7. Cross-Validation and Testing Strategy</w:t>
      </w:r>
    </w:p>
    <w:p>
      <w:pPr>
        <w:pStyle w:val="ListParagraph"/>
        <w:numPr>
          <w:ilvl w:val="0"/>
          <w:numId w:val="3"/>
        </w:numPr>
        <w:spacing w:after="90" w:line="276"/>
      </w:pPr>
      <w:r>
        <w:rPr>
          <w:sz w:val="22"/>
          <w:szCs w:val="22"/>
        </w:rPr>
        <w:t xml:space="preserve">Use stratified k-fold cross-validation (k=5) during model development to get a stable estimate of performance and reduce the risk of a lucky/unlucky single split.</w:t>
      </w:r>
    </w:p>
    <w:p>
      <w:pPr>
        <w:pStyle w:val="ListParagraph"/>
        <w:numPr>
          <w:ilvl w:val="0"/>
          <w:numId w:val="3"/>
        </w:numPr>
        <w:spacing w:after="90" w:line="276"/>
      </w:pPr>
      <w:r>
        <w:rPr>
          <w:sz w:val="22"/>
          <w:szCs w:val="22"/>
        </w:rPr>
        <w:t xml:space="preserve">Reserve a single held-out test set, untouched during any tuning, for the final reported comparison between model families.</w:t>
      </w:r>
    </w:p>
    <w:p>
      <w:pPr>
        <w:pStyle w:val="ListParagraph"/>
        <w:numPr>
          <w:ilvl w:val="0"/>
          <w:numId w:val="3"/>
        </w:numPr>
        <w:spacing w:after="90" w:line="276"/>
      </w:pPr>
      <w:r>
        <w:rPr>
          <w:sz w:val="22"/>
          <w:szCs w:val="22"/>
        </w:rPr>
        <w:t xml:space="preserve">Track both the mean and standard deviation of cross-validation scores to understand model stability, not just average performance.</w:t>
      </w:r>
    </w:p>
    <w:p>
      <w:pPr>
        <w:pStyle w:val="ListParagraph"/>
        <w:numPr>
          <w:ilvl w:val="0"/>
          <w:numId w:val="3"/>
        </w:numPr>
        <w:spacing w:after="90" w:line="276"/>
      </w:pPr>
      <w:r>
        <w:rPr>
          <w:sz w:val="22"/>
          <w:szCs w:val="22"/>
        </w:rPr>
        <w:t xml:space="preserve">Re-verify that TF-IDF vectorizers and scalers are fit only on the training fold in each cross-validation split, to avoid data leakage from the test data.</w:t>
      </w:r>
    </w:p>
    <w:p>
      <w:pPr>
        <w:pStyle w:val="Heading1"/>
        <w:pBdr>
          <w:bottom w:val="single" w:color="1F4E79" w:sz="6"/>
        </w:pBdr>
        <w:spacing w:after="180" w:before="360"/>
      </w:pPr>
      <w:r>
        <w:rPr>
          <w:b/>
          <w:bCs/>
          <w:color w:val="1F4E79"/>
          <w:sz w:val="30"/>
          <w:szCs w:val="30"/>
        </w:rPr>
        <w:t xml:space="preserve">8. Fairness and Bias Considerations</w:t>
      </w:r>
    </w:p>
    <w:p>
      <w:pPr>
        <w:spacing w:after="160" w:line="276"/>
      </w:pPr>
      <w:r>
        <w:rPr>
          <w:sz w:val="22"/>
          <w:szCs w:val="22"/>
        </w:rPr>
        <w:t xml:space="preserve">Because resume screening directly affects people's employment opportunities, the evaluation plan explicitly includes a check for whether misclassification rates or fit-scores vary in ways that are not justified by job-relevant content. As part of error analysis, the plan calls for reviewing whether features correlated with protected characteristics (such as certain university names, geographic regions, or gendered language patterns) contribute disproportionately to the model's decisions, and documenting this as a known limitation of the prototype rather than treating the model as ready for real hiring decisions.</w:t>
      </w:r>
    </w:p>
    <w:p>
      <w:pPr>
        <w:pStyle w:val="Heading1"/>
        <w:pBdr>
          <w:bottom w:val="single" w:color="1F4E79" w:sz="6"/>
        </w:pBdr>
        <w:spacing w:after="180" w:before="360"/>
      </w:pPr>
      <w:r>
        <w:rPr>
          <w:b/>
          <w:bCs/>
          <w:color w:val="1F4E79"/>
          <w:sz w:val="30"/>
          <w:szCs w:val="30"/>
        </w:rPr>
        <w:t xml:space="preserve">9. Anticipated Challenges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rPr>
          <w:tblHeader/>
        </w:trPr>
        <w:tc>
          <w:tcPr>
            <w:tcW w:type="dxa" w:w="4500"/>
            <w:shd w:fill="1F4E79" w:color="auto" w:val="clear"/>
            <w:tcMar>
              <w:top w:type="dxa" w:w="80"/>
              <w:left w:type="dxa" w:w="120"/>
              <w:bottom w:type="dxa" w:w="80"/>
              <w:right w:type="dxa" w:w="120"/>
            </w:tcMar>
            <w:vAlign w:val="center"/>
          </w:tcPr>
          <w:p>
            <w:pPr>
              <w:jc w:val="left"/>
            </w:pPr>
            <w:r>
              <w:rPr>
                <w:b/>
                <w:bCs/>
                <w:color w:val="FFFFFF"/>
                <w:sz w:val="20"/>
                <w:szCs w:val="20"/>
              </w:rPr>
              <w:t xml:space="preserve">Challenge</w:t>
            </w:r>
          </w:p>
        </w:tc>
        <w:tc>
          <w:tcPr>
            <w:tcW w:type="dxa" w:w="4800"/>
            <w:shd w:fill="1F4E79" w:color="auto"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45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Dataset size (~2,400 resumes) is modest for training high-capacity models like gradient boosting or transformers.</w:t>
            </w:r>
          </w:p>
        </w:tc>
        <w:tc>
          <w:tcPr>
            <w:tcW w:type="dxa" w:w="48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Favor simpler models as the primary recommendation; treat complex models as exploratory comparisons with wider cross-validation variance reported.</w:t>
            </w:r>
          </w:p>
        </w:tc>
      </w:tr>
      <w:tr>
        <w:tc>
          <w:tcPr>
            <w:tcW w:type="dxa" w:w="45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Overlapping categories (identified in Week 3 EDA) will cause irreducible misclassification.</w:t>
            </w:r>
          </w:p>
        </w:tc>
        <w:tc>
          <w:tcPr>
            <w:tcW w:type="dxa" w:w="48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Report per-category metrics and explicitly call out expected confusion pairs rather than treating all errors as model failures.</w:t>
            </w:r>
          </w:p>
        </w:tc>
      </w:tr>
      <w:tr>
        <w:tc>
          <w:tcPr>
            <w:tcW w:type="dxa" w:w="45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Risk of overfitting during hyperparameter search on a small dataset.</w:t>
            </w:r>
          </w:p>
        </w:tc>
        <w:tc>
          <w:tcPr>
            <w:tcW w:type="dxa" w:w="48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Use nested cross-validation or a clearly separated validation set for tuning, distinct from the final test set.</w:t>
            </w:r>
          </w:p>
        </w:tc>
      </w:tr>
      <w:tr>
        <w:tc>
          <w:tcPr>
            <w:tcW w:type="dxa" w:w="45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Combining sparse TF-IDF vectors with dense numeric features requires careful preprocessing.</w:t>
            </w:r>
          </w:p>
        </w:tc>
        <w:tc>
          <w:tcPr>
            <w:tcW w:type="dxa" w:w="48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Use scikit-learn's ColumnTransformer / FeatureUnion to combine feature types cleanly within a single pipeline object.</w:t>
            </w:r>
          </w:p>
        </w:tc>
      </w:tr>
    </w:tbl>
    <w:p>
      <w:pPr>
        <w:pStyle w:val="Heading1"/>
        <w:pBdr>
          <w:bottom w:val="single" w:color="1F4E79" w:sz="6"/>
        </w:pBdr>
        <w:spacing w:after="180" w:before="360"/>
      </w:pPr>
      <w:r>
        <w:rPr>
          <w:b/>
          <w:bCs/>
          <w:color w:val="1F4E79"/>
          <w:sz w:val="30"/>
          <w:szCs w:val="30"/>
        </w:rPr>
        <w:t xml:space="preserve">10. Estimated Effort</w:t>
      </w:r>
    </w:p>
    <w:p>
      <w:pPr>
        <w:spacing w:after="160" w:line="276"/>
      </w:pPr>
      <w:r>
        <w:rPr>
          <w:sz w:val="22"/>
          <w:szCs w:val="22"/>
        </w:rPr>
        <w:t xml:space="preserve">This task is estimated at 30–35 hours: 8 hours reviewing literature and best practices on text classification model selection; 10 hours drafting the model comparison framework and evaluation metric rationale; 8 hours detailing the cross-validation, tuning, and fairness-review process; and 6-9 hours structuring, writing, and revising this document.</w:t>
      </w:r>
    </w:p>
    <w:p>
      <w:pPr>
        <w:pStyle w:val="Heading1"/>
        <w:pBdr>
          <w:bottom w:val="single" w:color="1F4E79" w:sz="6"/>
        </w:pBdr>
        <w:spacing w:after="180" w:before="360"/>
      </w:pPr>
      <w:r>
        <w:rPr>
          <w:b/>
          <w:bCs/>
          <w:color w:val="1F4E79"/>
          <w:sz w:val="30"/>
          <w:szCs w:val="30"/>
        </w:rPr>
        <w:t xml:space="preserve">11. Conclusion</w:t>
      </w:r>
    </w:p>
    <w:p>
      <w:pPr>
        <w:spacing w:after="160" w:line="276"/>
      </w:pPr>
      <w:r>
        <w:rPr>
          <w:sz w:val="22"/>
          <w:szCs w:val="22"/>
        </w:rPr>
        <w:t xml:space="preserve">This plan lays out a disciplined path from a shortlist of candidate machine learning models to a single, well-justified recommendation for the AI Resume Screening System's classification component. By pairing interpretable baselines with more complex alternatives, insisting on class-imbalance-aware metrics, and building in an explicit fairness review, the plan aims to produce a model choice that is not just accurate, but also transparent and defensible as a decision-support tool for recruiters — while being clear that further validation would be required before any real-world hiring use.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2026-09-18T04:59:18.800Z</dcterms:created>
  <dcterms:modified xsi:type="dcterms:W3CDTF">2026-09-18T04:59:18.800Z</dcterms:modified>
</cp:coreProperties>
</file>

<file path=docProps/custom.xml><?xml version="1.0" encoding="utf-8"?>
<Properties xmlns="http://schemas.openxmlformats.org/officeDocument/2006/custom-properties" xmlns:vt="http://schemas.openxmlformats.org/officeDocument/2006/docPropsVTypes"/>
</file>