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40"/>
        <w:jc w:val="center"/>
      </w:pPr>
      <w:r>
        <w:rPr>
          <w:b/>
          <w:bCs/>
          <w:color w:val="1F4E79"/>
          <w:sz w:val="52"/>
          <w:szCs w:val="52"/>
        </w:rPr>
        <w:t xml:space="preserve">AI Resume Screening System</w:t>
      </w:r>
    </w:p>
    <w:p>
      <w:pPr>
        <w:spacing w:after="400"/>
        <w:jc w:val="center"/>
      </w:pPr>
      <w:r>
        <w:rPr>
          <w:b/>
          <w:bCs/>
          <w:color w:val="595959"/>
          <w:sz w:val="34"/>
          <w:szCs w:val="34"/>
        </w:rPr>
        <w:t xml:space="preserve">Week 1: Project Planning and Dataset Scoping</w:t>
      </w:r>
    </w:p>
    <w:p>
      <w:pPr>
        <w:pBdr>
          <w:top w:val="single" w:color="2E7D32" w:sz="6"/>
          <w:bottom w:val="single" w:color="2E7D32" w:sz="6"/>
        </w:pBdr>
        <w:spacing w:after="120" w:before="120"/>
        <w:jc w:val="center"/>
      </w:pPr>
      <w:r>
        <w:rPr>
          <w:b/>
          <w:bCs/>
          <w:color w:val="2E7D32"/>
          <w:sz w:val="26"/>
          <w:szCs w:val="26"/>
        </w:rPr>
        <w:t xml:space="preserve">Task 1 of 4</w:t>
      </w:r>
    </w:p>
    <w:p>
      <w:pPr>
        <w:spacing w:before="800"/>
        <w:jc w:val="center"/>
      </w:pPr>
      <w:r>
        <w:rPr>
          <w:color w:val="595959"/>
          <w:sz w:val="22"/>
          <w:szCs w:val="22"/>
        </w:rPr>
        <w:t xml:space="preserve">Virtual Data Science Apprentice — Python Specialist Intern</w:t>
      </w:r>
    </w:p>
    <w:p>
      <w:pPr>
        <w:jc w:val="center"/>
      </w:pPr>
      <w:r>
        <w:rPr>
          <w:color w:val="595959"/>
          <w:sz w:val="22"/>
          <w:szCs w:val="22"/>
        </w:rPr>
        <w:t xml:space="preserve">Intern: [Your Name]</w:t>
      </w:r>
    </w:p>
    <w:p>
      <w:pPr>
        <w:jc w:val="center"/>
      </w:pPr>
      <w:r>
        <w:rPr>
          <w:color w:val="595959"/>
          <w:sz w:val="22"/>
          <w:szCs w:val="22"/>
        </w:rPr>
        <w:t xml:space="preserve">Duration: 18-Sep-2026 to 16-Oct-2026</w:t>
      </w:r>
    </w:p>
    <w:p>
      <w:r>
        <w:br w:type="page"/>
      </w:r>
    </w:p>
    <w:p>
      <w:pPr>
        <w:pStyle w:val="Heading1"/>
        <w:pBdr>
          <w:bottom w:val="single" w:color="1F4E79" w:sz="6"/>
        </w:pBdr>
        <w:spacing w:after="180" w:before="360"/>
      </w:pPr>
      <w:r>
        <w:rPr>
          <w:b/>
          <w:bCs/>
          <w:color w:val="1F4E79"/>
          <w:sz w:val="30"/>
          <w:szCs w:val="30"/>
        </w:rPr>
        <w:t xml:space="preserve">1. Introduction</w:t>
      </w:r>
    </w:p>
    <w:p>
      <w:pPr>
        <w:spacing w:after="160" w:line="276"/>
      </w:pPr>
      <w:r>
        <w:rPr>
          <w:sz w:val="22"/>
          <w:szCs w:val="22"/>
        </w:rPr>
        <w:t xml:space="preserve">Recruitment teams routinely receive hundreds of resumes for a single job opening, and manually screening every application for relevant skills, experience, and qualifications is slow and inconsistent. The AI Resume Screening System is a Python-based data science project that aims to automatically read, parse, and score resumes against a target job description, ranking candidates by fit and surfacing the most relevant applicants to a recruiter. This document sets out the project plan for the four-week internship engagement: the problem statement, objectives, scope, candidate datasets, methodology, and workflow that will guide the subsequent weekly tasks (data cleaning, exploratory analysis, and model selection).</w:t>
      </w:r>
    </w:p>
    <w:p>
      <w:pPr>
        <w:pStyle w:val="Heading1"/>
        <w:pBdr>
          <w:bottom w:val="single" w:color="1F4E79" w:sz="6"/>
        </w:pBdr>
        <w:spacing w:after="180" w:before="360"/>
      </w:pPr>
      <w:r>
        <w:rPr>
          <w:b/>
          <w:bCs/>
          <w:color w:val="1F4E79"/>
          <w:sz w:val="30"/>
          <w:szCs w:val="30"/>
        </w:rPr>
        <w:t xml:space="preserve">2. Problem Statement</w:t>
      </w:r>
    </w:p>
    <w:p>
      <w:pPr>
        <w:spacing w:after="160" w:line="276"/>
      </w:pPr>
      <w:r>
        <w:rPr>
          <w:sz w:val="22"/>
          <w:szCs w:val="22"/>
        </w:rPr>
        <w:t xml:space="preserve">Hiring teams need a repeatable, unbiased, and fast way to shortlist candidates from a large pool of resumes. A rules-based keyword search is brittle because resumes vary widely in format, terminology, and structure. The project frames resume screening as a text classification and similarity-ranking problem: given a corpus of resumes and one or more job descriptions, build a Python pipeline that extracts structured features from unstructured resume text and predicts a fit score or job-category label for each resume.</w:t>
      </w:r>
    </w:p>
    <w:p>
      <w:pPr>
        <w:pStyle w:val="Heading1"/>
        <w:pBdr>
          <w:bottom w:val="single" w:color="1F4E79" w:sz="6"/>
        </w:pBdr>
        <w:spacing w:after="180" w:before="360"/>
      </w:pPr>
      <w:r>
        <w:rPr>
          <w:b/>
          <w:bCs/>
          <w:color w:val="1F4E79"/>
          <w:sz w:val="30"/>
          <w:szCs w:val="30"/>
        </w:rPr>
        <w:t xml:space="preserve">3. Project Objectives</w:t>
      </w:r>
    </w:p>
    <w:p>
      <w:pPr>
        <w:pStyle w:val="ListParagraph"/>
        <w:numPr>
          <w:ilvl w:val="0"/>
          <w:numId w:val="2"/>
        </w:numPr>
        <w:spacing w:after="90" w:line="276"/>
      </w:pPr>
      <w:r>
        <w:rPr>
          <w:sz w:val="22"/>
          <w:szCs w:val="22"/>
        </w:rPr>
        <w:t xml:space="preserve">Build an end-to-end Python pipeline that ingests raw resume text (PDF/DOCX/plain text) and outputs a ranked list of candidates for a given job description.</w:t>
      </w:r>
    </w:p>
    <w:p>
      <w:pPr>
        <w:pStyle w:val="ListParagraph"/>
        <w:numPr>
          <w:ilvl w:val="0"/>
          <w:numId w:val="2"/>
        </w:numPr>
        <w:spacing w:after="90" w:line="276"/>
      </w:pPr>
      <w:r>
        <w:rPr>
          <w:sz w:val="22"/>
          <w:szCs w:val="22"/>
        </w:rPr>
        <w:t xml:space="preserve">Establish a clean, labeled dataset of resumes and job categories suitable for supervised learning.</w:t>
      </w:r>
    </w:p>
    <w:p>
      <w:pPr>
        <w:pStyle w:val="ListParagraph"/>
        <w:numPr>
          <w:ilvl w:val="0"/>
          <w:numId w:val="2"/>
        </w:numPr>
        <w:spacing w:after="90" w:line="276"/>
      </w:pPr>
      <w:r>
        <w:rPr>
          <w:sz w:val="22"/>
          <w:szCs w:val="22"/>
        </w:rPr>
        <w:t xml:space="preserve">Design a reproducible workflow covering data acquisition, cleaning, feature engineering, exploratory analysis, model training, and evaluation.</w:t>
      </w:r>
    </w:p>
    <w:p>
      <w:pPr>
        <w:pStyle w:val="ListParagraph"/>
        <w:numPr>
          <w:ilvl w:val="0"/>
          <w:numId w:val="2"/>
        </w:numPr>
        <w:spacing w:after="90" w:line="276"/>
      </w:pPr>
      <w:r>
        <w:rPr>
          <w:sz w:val="22"/>
          <w:szCs w:val="22"/>
        </w:rPr>
        <w:t xml:space="preserve">Quantify model performance with well-understood classification metrics and present results in a way a non-technical recruiter can interpret.</w:t>
      </w:r>
    </w:p>
    <w:p>
      <w:pPr>
        <w:pStyle w:val="ListParagraph"/>
        <w:numPr>
          <w:ilvl w:val="0"/>
          <w:numId w:val="2"/>
        </w:numPr>
        <w:spacing w:after="90" w:line="276"/>
      </w:pPr>
      <w:r>
        <w:rPr>
          <w:sz w:val="22"/>
          <w:szCs w:val="22"/>
        </w:rPr>
        <w:t xml:space="preserve">Document design decisions, assumptions, and limitations (including fairness and bias considerations) at every stage.</w:t>
      </w:r>
    </w:p>
    <w:p>
      <w:pPr>
        <w:pStyle w:val="Heading1"/>
        <w:pBdr>
          <w:bottom w:val="single" w:color="1F4E79" w:sz="6"/>
        </w:pBdr>
        <w:spacing w:after="180" w:before="360"/>
      </w:pPr>
      <w:r>
        <w:rPr>
          <w:b/>
          <w:bCs/>
          <w:color w:val="1F4E79"/>
          <w:sz w:val="30"/>
          <w:szCs w:val="30"/>
        </w:rPr>
        <w:t xml:space="preserve">4. Scope of the Analysis</w:t>
      </w:r>
    </w:p>
    <w:p>
      <w:pPr>
        <w:pStyle w:val="Heading2"/>
        <w:spacing w:after="120" w:before="260"/>
      </w:pPr>
      <w:r>
        <w:rPr>
          <w:b/>
          <w:bCs/>
          <w:color w:val="1F4E79"/>
          <w:sz w:val="24"/>
          <w:szCs w:val="24"/>
        </w:rPr>
        <w:t xml:space="preserve">4.1 In Scope</w:t>
      </w:r>
    </w:p>
    <w:p>
      <w:pPr>
        <w:pStyle w:val="ListParagraph"/>
        <w:numPr>
          <w:ilvl w:val="0"/>
          <w:numId w:val="2"/>
        </w:numPr>
        <w:spacing w:after="90" w:line="276"/>
      </w:pPr>
      <w:r>
        <w:rPr>
          <w:sz w:val="22"/>
          <w:szCs w:val="22"/>
        </w:rPr>
        <w:t xml:space="preserve">Screening of resumes in English, submitted as structured text (converted from PDF/DOCX where required).</w:t>
      </w:r>
    </w:p>
    <w:p>
      <w:pPr>
        <w:pStyle w:val="ListParagraph"/>
        <w:numPr>
          <w:ilvl w:val="0"/>
          <w:numId w:val="2"/>
        </w:numPr>
        <w:spacing w:after="90" w:line="276"/>
      </w:pPr>
      <w:r>
        <w:rPr>
          <w:sz w:val="22"/>
          <w:szCs w:val="22"/>
        </w:rPr>
        <w:t xml:space="preserve">Classification of resumes into broad job/industry categories (e.g., Data Science, HR, Sales, Engineering) as a proxy for job-fit.</w:t>
      </w:r>
    </w:p>
    <w:p>
      <w:pPr>
        <w:pStyle w:val="ListParagraph"/>
        <w:numPr>
          <w:ilvl w:val="0"/>
          <w:numId w:val="2"/>
        </w:numPr>
        <w:spacing w:after="90" w:line="276"/>
      </w:pPr>
      <w:r>
        <w:rPr>
          <w:sz w:val="22"/>
          <w:szCs w:val="22"/>
        </w:rPr>
        <w:t xml:space="preserve">A resume-to-job-description similarity score using text-vectorization techniques (TF-IDF and/or embeddings).</w:t>
      </w:r>
    </w:p>
    <w:p>
      <w:pPr>
        <w:pStyle w:val="ListParagraph"/>
        <w:numPr>
          <w:ilvl w:val="0"/>
          <w:numId w:val="2"/>
        </w:numPr>
        <w:spacing w:after="90" w:line="276"/>
      </w:pPr>
      <w:r>
        <w:rPr>
          <w:sz w:val="22"/>
          <w:szCs w:val="22"/>
        </w:rPr>
        <w:t xml:space="preserve">Exploratory analysis of skill frequency, category balance, and resume length/quality signals.</w:t>
      </w:r>
    </w:p>
    <w:p>
      <w:pPr>
        <w:pStyle w:val="ListParagraph"/>
        <w:numPr>
          <w:ilvl w:val="0"/>
          <w:numId w:val="2"/>
        </w:numPr>
        <w:spacing w:after="90" w:line="276"/>
      </w:pPr>
      <w:r>
        <w:rPr>
          <w:sz w:val="22"/>
          <w:szCs w:val="22"/>
        </w:rPr>
        <w:t xml:space="preserve">Baseline and comparative machine learning models with an evaluation report.</w:t>
      </w:r>
    </w:p>
    <w:p>
      <w:pPr>
        <w:pStyle w:val="Heading2"/>
        <w:spacing w:after="120" w:before="260"/>
      </w:pPr>
      <w:r>
        <w:rPr>
          <w:b/>
          <w:bCs/>
          <w:color w:val="1F4E79"/>
          <w:sz w:val="24"/>
          <w:szCs w:val="24"/>
        </w:rPr>
        <w:t xml:space="preserve">4.2 Out of Scope</w:t>
      </w:r>
    </w:p>
    <w:p>
      <w:pPr>
        <w:pStyle w:val="ListParagraph"/>
        <w:numPr>
          <w:ilvl w:val="0"/>
          <w:numId w:val="2"/>
        </w:numPr>
        <w:spacing w:after="90" w:line="276"/>
      </w:pPr>
      <w:r>
        <w:rPr>
          <w:sz w:val="22"/>
          <w:szCs w:val="22"/>
        </w:rPr>
        <w:t xml:space="preserve">Real-time integration with an Applicant Tracking System (ATS) or production deployment.</w:t>
      </w:r>
    </w:p>
    <w:p>
      <w:pPr>
        <w:pStyle w:val="ListParagraph"/>
        <w:numPr>
          <w:ilvl w:val="0"/>
          <w:numId w:val="2"/>
        </w:numPr>
        <w:spacing w:after="90" w:line="276"/>
      </w:pPr>
      <w:r>
        <w:rPr>
          <w:sz w:val="22"/>
          <w:szCs w:val="22"/>
        </w:rPr>
        <w:t xml:space="preserve">Resumes in non-English languages or scanned image resumes requiring OCR.</w:t>
      </w:r>
    </w:p>
    <w:p>
      <w:pPr>
        <w:pStyle w:val="ListParagraph"/>
        <w:numPr>
          <w:ilvl w:val="0"/>
          <w:numId w:val="2"/>
        </w:numPr>
        <w:spacing w:after="90" w:line="276"/>
      </w:pPr>
      <w:r>
        <w:rPr>
          <w:sz w:val="22"/>
          <w:szCs w:val="22"/>
        </w:rPr>
        <w:t xml:space="preserve">Legal/compliance certification of the model for real hiring decisions — this is an educational prototype, not a production hiring tool.</w:t>
      </w:r>
    </w:p>
    <w:p>
      <w:pPr>
        <w:pStyle w:val="Heading1"/>
        <w:pBdr>
          <w:bottom w:val="single" w:color="1F4E79" w:sz="6"/>
        </w:pBdr>
        <w:spacing w:after="180" w:before="360"/>
      </w:pPr>
      <w:r>
        <w:rPr>
          <w:b/>
          <w:bCs/>
          <w:color w:val="1F4E79"/>
          <w:sz w:val="30"/>
          <w:szCs w:val="30"/>
        </w:rPr>
        <w:t xml:space="preserve">5. Candidate Public Datasets</w:t>
      </w:r>
    </w:p>
    <w:p>
      <w:pPr>
        <w:spacing w:after="160" w:line="276"/>
      </w:pPr>
      <w:r>
        <w:rPr>
          <w:sz w:val="22"/>
          <w:szCs w:val="22"/>
        </w:rPr>
        <w:t xml:space="preserve">Several publicly available resume/job datasets are suitable candidates for this project. The table below compares them against the project's requirements.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400"/>
        <w:gridCol w:w="1700"/>
      </w:tblGrid>
      <w:tr>
        <w:trPr>
          <w:tblHeader/>
        </w:trPr>
        <w:tc>
          <w:tcPr>
            <w:tcW w:type="dxa" w:w="2600"/>
            <w:shd w:fill="1F4E79" w:color="auto" w:val="clear"/>
            <w:tcMar>
              <w:top w:type="dxa" w:w="80"/>
              <w:left w:type="dxa" w:w="120"/>
              <w:bottom w:type="dxa" w:w="80"/>
              <w:right w:type="dxa" w:w="120"/>
            </w:tcMar>
            <w:vAlign w:val="center"/>
          </w:tcPr>
          <w:p>
            <w:pPr>
              <w:jc w:val="left"/>
            </w:pPr>
            <w:r>
              <w:rPr>
                <w:b/>
                <w:bCs/>
                <w:color w:val="FFFFFF"/>
                <w:sz w:val="20"/>
                <w:szCs w:val="20"/>
              </w:rPr>
              <w:t xml:space="preserve">Dataset</w:t>
            </w:r>
          </w:p>
        </w:tc>
        <w:tc>
          <w:tcPr>
            <w:tcW w:type="dxa" w:w="2600"/>
            <w:shd w:fill="1F4E79" w:color="auto" w:val="clear"/>
            <w:tcMar>
              <w:top w:type="dxa" w:w="80"/>
              <w:left w:type="dxa" w:w="120"/>
              <w:bottom w:type="dxa" w:w="80"/>
              <w:right w:type="dxa" w:w="120"/>
            </w:tcMar>
            <w:vAlign w:val="center"/>
          </w:tcPr>
          <w:p>
            <w:pPr>
              <w:jc w:val="left"/>
            </w:pPr>
            <w:r>
              <w:rPr>
                <w:b/>
                <w:bCs/>
                <w:color w:val="FFFFFF"/>
                <w:sz w:val="20"/>
                <w:szCs w:val="20"/>
              </w:rPr>
              <w:t xml:space="preserve">Source</w:t>
            </w:r>
          </w:p>
        </w:tc>
        <w:tc>
          <w:tcPr>
            <w:tcW w:type="dxa" w:w="2400"/>
            <w:shd w:fill="1F4E79" w:color="auto" w:val="clear"/>
            <w:tcMar>
              <w:top w:type="dxa" w:w="80"/>
              <w:left w:type="dxa" w:w="120"/>
              <w:bottom w:type="dxa" w:w="80"/>
              <w:right w:type="dxa" w:w="120"/>
            </w:tcMar>
            <w:vAlign w:val="center"/>
          </w:tcPr>
          <w:p>
            <w:pPr>
              <w:jc w:val="left"/>
            </w:pPr>
            <w:r>
              <w:rPr>
                <w:b/>
                <w:bCs/>
                <w:color w:val="FFFFFF"/>
                <w:sz w:val="20"/>
                <w:szCs w:val="20"/>
              </w:rPr>
              <w:t xml:space="preserve">Size / Content</w:t>
            </w:r>
          </w:p>
        </w:tc>
        <w:tc>
          <w:tcPr>
            <w:tcW w:type="dxa" w:w="1700"/>
            <w:shd w:fill="1F4E79" w:color="auto" w:val="clear"/>
            <w:tcMar>
              <w:top w:type="dxa" w:w="80"/>
              <w:left w:type="dxa" w:w="120"/>
              <w:bottom w:type="dxa" w:w="80"/>
              <w:right w:type="dxa" w:w="120"/>
            </w:tcMar>
            <w:vAlign w:val="center"/>
          </w:tcPr>
          <w:p>
            <w:pPr>
              <w:jc w:val="left"/>
            </w:pPr>
            <w:r>
              <w:rPr>
                <w:b/>
                <w:bCs/>
                <w:color w:val="FFFFFF"/>
                <w:sz w:val="20"/>
                <w:szCs w:val="20"/>
              </w:rPr>
              <w:t xml:space="preserve">Why it fits</w:t>
            </w:r>
          </w:p>
        </w:tc>
      </w:tr>
      <w:tr>
        <w:tc>
          <w:tcPr>
            <w:tcW w:type="dxa" w:w="2600"/>
            <w:shd w:fill="EAF1F8" w:color="auto" w:val="clear"/>
            <w:tcMar>
              <w:top w:type="dxa" w:w="80"/>
              <w:left w:type="dxa" w:w="120"/>
              <w:bottom w:type="dxa" w:w="80"/>
              <w:right w:type="dxa" w:w="120"/>
            </w:tcMar>
            <w:vAlign w:val="center"/>
          </w:tcPr>
          <w:p>
            <w:pPr>
              <w:jc w:val="left"/>
            </w:pPr>
            <w:r>
              <w:rPr>
                <w:b w:val="false"/>
                <w:bCs w:val="false"/>
                <w:color w:val="000000"/>
                <w:sz w:val="20"/>
                <w:szCs w:val="20"/>
              </w:rPr>
              <w:t xml:space="preserve">Resume Dataset (Kaggle)</w:t>
            </w:r>
          </w:p>
        </w:tc>
        <w:tc>
          <w:tcPr>
            <w:tcW w:type="dxa" w:w="2600"/>
            <w:shd w:fill="EAF1F8" w:color="auto" w:val="clear"/>
            <w:tcMar>
              <w:top w:type="dxa" w:w="80"/>
              <w:left w:type="dxa" w:w="120"/>
              <w:bottom w:type="dxa" w:w="80"/>
              <w:right w:type="dxa" w:w="120"/>
            </w:tcMar>
            <w:vAlign w:val="center"/>
          </w:tcPr>
          <w:p>
            <w:pPr>
              <w:jc w:val="left"/>
            </w:pPr>
            <w:r>
              <w:rPr>
                <w:b w:val="false"/>
                <w:bCs w:val="false"/>
                <w:color w:val="000000"/>
                <w:sz w:val="20"/>
                <w:szCs w:val="20"/>
              </w:rPr>
              <w:t xml:space="preserve">kaggle.com/datasets/snehaanbhawal/resume-dataset</w:t>
            </w:r>
          </w:p>
        </w:tc>
        <w:tc>
          <w:tcPr>
            <w:tcW w:type="dxa" w:w="2400"/>
            <w:shd w:fill="EAF1F8" w:color="auto" w:val="clear"/>
            <w:tcMar>
              <w:top w:type="dxa" w:w="80"/>
              <w:left w:type="dxa" w:w="120"/>
              <w:bottom w:type="dxa" w:w="80"/>
              <w:right w:type="dxa" w:w="120"/>
            </w:tcMar>
            <w:vAlign w:val="center"/>
          </w:tcPr>
          <w:p>
            <w:pPr>
              <w:jc w:val="left"/>
            </w:pPr>
            <w:r>
              <w:rPr>
                <w:b w:val="false"/>
                <w:bCs w:val="false"/>
                <w:color w:val="000000"/>
                <w:sz w:val="20"/>
                <w:szCs w:val="20"/>
              </w:rPr>
              <w:t xml:space="preserve">~2,400 resumes labeled with 24 job categories</w:t>
            </w:r>
          </w:p>
        </w:tc>
        <w:tc>
          <w:tcPr>
            <w:tcW w:type="dxa" w:w="1700"/>
            <w:shd w:fill="EAF1F8" w:color="auto" w:val="clear"/>
            <w:tcMar>
              <w:top w:type="dxa" w:w="80"/>
              <w:left w:type="dxa" w:w="120"/>
              <w:bottom w:type="dxa" w:w="80"/>
              <w:right w:type="dxa" w:w="120"/>
            </w:tcMar>
            <w:vAlign w:val="center"/>
          </w:tcPr>
          <w:p>
            <w:pPr>
              <w:jc w:val="left"/>
            </w:pPr>
            <w:r>
              <w:rPr>
                <w:b w:val="false"/>
                <w:bCs w:val="false"/>
                <w:color w:val="000000"/>
                <w:sz w:val="20"/>
                <w:szCs w:val="20"/>
              </w:rPr>
              <w:t xml:space="preserve">Pre-labeled categories make it directly usable for supervised classification; includes raw text and PDF versions.</w:t>
            </w:r>
          </w:p>
        </w:tc>
      </w:tr>
      <w:tr>
        <w:tc>
          <w:tcPr>
            <w:tcW w:type="dxa" w:w="26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Resume Entities for NER (Kaggle)</w:t>
            </w:r>
          </w:p>
        </w:tc>
        <w:tc>
          <w:tcPr>
            <w:tcW w:type="dxa" w:w="26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kaggle.com/dataset (resume NER, span-annotated)</w:t>
            </w:r>
          </w:p>
        </w:tc>
        <w:tc>
          <w:tcPr>
            <w:tcW w:type="dxa" w:w="24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~200 resumes with entity-level annotations (Skills, Degree, Company)</w:t>
            </w:r>
          </w:p>
        </w:tc>
        <w:tc>
          <w:tcPr>
            <w:tcW w:type="dxa" w:w="17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Useful for feature engineering — provides ground truth for skill/entity extraction.</w:t>
            </w:r>
          </w:p>
        </w:tc>
      </w:tr>
      <w:tr>
        <w:tc>
          <w:tcPr>
            <w:tcW w:type="dxa" w:w="2600"/>
            <w:shd w:fill="EAF1F8" w:color="auto" w:val="clear"/>
            <w:tcMar>
              <w:top w:type="dxa" w:w="80"/>
              <w:left w:type="dxa" w:w="120"/>
              <w:bottom w:type="dxa" w:w="80"/>
              <w:right w:type="dxa" w:w="120"/>
            </w:tcMar>
            <w:vAlign w:val="center"/>
          </w:tcPr>
          <w:p>
            <w:pPr>
              <w:jc w:val="left"/>
            </w:pPr>
            <w:r>
              <w:rPr>
                <w:b w:val="false"/>
                <w:bCs w:val="false"/>
                <w:color w:val="000000"/>
                <w:sz w:val="20"/>
                <w:szCs w:val="20"/>
              </w:rPr>
              <w:t xml:space="preserve">LinkedIn Job Postings Dataset (Kaggle)</w:t>
            </w:r>
          </w:p>
        </w:tc>
        <w:tc>
          <w:tcPr>
            <w:tcW w:type="dxa" w:w="2600"/>
            <w:shd w:fill="EAF1F8" w:color="auto" w:val="clear"/>
            <w:tcMar>
              <w:top w:type="dxa" w:w="80"/>
              <w:left w:type="dxa" w:w="120"/>
              <w:bottom w:type="dxa" w:w="80"/>
              <w:right w:type="dxa" w:w="120"/>
            </w:tcMar>
            <w:vAlign w:val="center"/>
          </w:tcPr>
          <w:p>
            <w:pPr>
              <w:jc w:val="left"/>
            </w:pPr>
            <w:r>
              <w:rPr>
                <w:b w:val="false"/>
                <w:bCs w:val="false"/>
                <w:color w:val="000000"/>
                <w:sz w:val="20"/>
                <w:szCs w:val="20"/>
              </w:rPr>
              <w:t xml:space="preserve">kaggle.com/datasets/arshkon/linkedin-job-postings</w:t>
            </w:r>
          </w:p>
        </w:tc>
        <w:tc>
          <w:tcPr>
            <w:tcW w:type="dxa" w:w="2400"/>
            <w:shd w:fill="EAF1F8" w:color="auto" w:val="clear"/>
            <w:tcMar>
              <w:top w:type="dxa" w:w="80"/>
              <w:left w:type="dxa" w:w="120"/>
              <w:bottom w:type="dxa" w:w="80"/>
              <w:right w:type="dxa" w:w="120"/>
            </w:tcMar>
            <w:vAlign w:val="center"/>
          </w:tcPr>
          <w:p>
            <w:pPr>
              <w:jc w:val="left"/>
            </w:pPr>
            <w:r>
              <w:rPr>
                <w:b w:val="false"/>
                <w:bCs w:val="false"/>
                <w:color w:val="000000"/>
                <w:sz w:val="20"/>
                <w:szCs w:val="20"/>
              </w:rPr>
              <w:t xml:space="preserve">~120k job postings with descriptions, skills, seniority</w:t>
            </w:r>
          </w:p>
        </w:tc>
        <w:tc>
          <w:tcPr>
            <w:tcW w:type="dxa" w:w="1700"/>
            <w:shd w:fill="EAF1F8" w:color="auto" w:val="clear"/>
            <w:tcMar>
              <w:top w:type="dxa" w:w="80"/>
              <w:left w:type="dxa" w:w="120"/>
              <w:bottom w:type="dxa" w:w="80"/>
              <w:right w:type="dxa" w:w="120"/>
            </w:tcMar>
            <w:vAlign w:val="center"/>
          </w:tcPr>
          <w:p>
            <w:pPr>
              <w:jc w:val="left"/>
            </w:pPr>
            <w:r>
              <w:rPr>
                <w:b w:val="false"/>
                <w:bCs w:val="false"/>
                <w:color w:val="000000"/>
                <w:sz w:val="20"/>
                <w:szCs w:val="20"/>
              </w:rPr>
              <w:t xml:space="preserve">Supplies real job-description text to compute resume-to-job similarity scores.</w:t>
            </w:r>
          </w:p>
        </w:tc>
      </w:tr>
      <w:tr>
        <w:tc>
          <w:tcPr>
            <w:tcW w:type="dxa" w:w="26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O*NET Database (US Dept. of Labor)</w:t>
            </w:r>
          </w:p>
        </w:tc>
        <w:tc>
          <w:tcPr>
            <w:tcW w:type="dxa" w:w="26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onetonline.org</w:t>
            </w:r>
          </w:p>
        </w:tc>
        <w:tc>
          <w:tcPr>
            <w:tcW w:type="dxa" w:w="24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Standardized occupation, skill, and task taxonomy</w:t>
            </w:r>
          </w:p>
        </w:tc>
        <w:tc>
          <w:tcPr>
            <w:tcW w:type="dxa" w:w="17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Provides a controlled vocabulary of skills/occupations to normalize free-text skill mentions.</w:t>
            </w:r>
          </w:p>
        </w:tc>
      </w:tr>
    </w:tbl>
    <w:p>
      <w:pPr>
        <w:pStyle w:val="Heading2"/>
        <w:spacing w:after="120" w:before="260"/>
      </w:pPr>
      <w:r>
        <w:rPr>
          <w:b/>
          <w:bCs/>
          <w:color w:val="1F4E79"/>
          <w:sz w:val="24"/>
          <w:szCs w:val="24"/>
        </w:rPr>
        <w:t xml:space="preserve">Selected Primary Dataset</w:t>
      </w:r>
    </w:p>
    <w:p>
      <w:pPr>
        <w:spacing w:after="160" w:line="276"/>
      </w:pPr>
      <w:r>
        <w:rPr>
          <w:sz w:val="22"/>
          <w:szCs w:val="22"/>
        </w:rPr>
        <w:t xml:space="preserve">The primary dataset selected for this project is the Kaggle "Resume Dataset" (Category-labeled resumes). Rationale: it is small enough to process within the 4-week timeline, already labeled by job category so it supports supervised learning without manual annotation, and includes both raw text and category metadata that can be joined with the LinkedIn Job Postings dataset to build the resume-to-job similarity component in later weeks.</w:t>
      </w:r>
    </w:p>
    <w:p>
      <w:pPr>
        <w:pStyle w:val="Heading1"/>
        <w:pBdr>
          <w:bottom w:val="single" w:color="1F4E79" w:sz="6"/>
        </w:pBdr>
        <w:spacing w:after="180" w:before="360"/>
      </w:pPr>
      <w:r>
        <w:rPr>
          <w:b/>
          <w:bCs/>
          <w:color w:val="1F4E79"/>
          <w:sz w:val="30"/>
          <w:szCs w:val="30"/>
        </w:rPr>
        <w:t xml:space="preserve">6. High-Level Analytical Workflow</w:t>
      </w:r>
    </w:p>
    <w:p>
      <w:pPr>
        <w:spacing w:after="160" w:line="276"/>
      </w:pPr>
      <w:r>
        <w:rPr>
          <w:sz w:val="22"/>
          <w:szCs w:val="22"/>
        </w:rPr>
        <w:t xml:space="preserve">The overall pipeline that will be implemented and documented across the four weekly tasks is summarized below.</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tblHeader/>
        </w:trPr>
        <w:tc>
          <w:tcPr>
            <w:tcW w:type="dxa" w:w="2600"/>
            <w:shd w:fill="1F4E79" w:color="auto" w:val="clear"/>
            <w:tcMar>
              <w:top w:type="dxa" w:w="80"/>
              <w:left w:type="dxa" w:w="120"/>
              <w:bottom w:type="dxa" w:w="80"/>
              <w:right w:type="dxa" w:w="120"/>
            </w:tcMar>
            <w:vAlign w:val="center"/>
          </w:tcPr>
          <w:p>
            <w:pPr>
              <w:jc w:val="left"/>
            </w:pPr>
            <w:r>
              <w:rPr>
                <w:b/>
                <w:bCs/>
                <w:color w:val="FFFFFF"/>
                <w:sz w:val="20"/>
                <w:szCs w:val="20"/>
              </w:rPr>
              <w:t xml:space="preserve">Pipeline Stage</w:t>
            </w:r>
          </w:p>
        </w:tc>
        <w:tc>
          <w:tcPr>
            <w:tcW w:type="dxa" w:w="6700"/>
            <w:shd w:fill="1F4E79" w:color="auto" w:val="clear"/>
            <w:tcMar>
              <w:top w:type="dxa" w:w="80"/>
              <w:left w:type="dxa" w:w="120"/>
              <w:bottom w:type="dxa" w:w="80"/>
              <w:right w:type="dxa" w:w="120"/>
            </w:tcMar>
            <w:vAlign w:val="center"/>
          </w:tcPr>
          <w:p>
            <w:pPr>
              <w:jc w:val="left"/>
            </w:pPr>
            <w:r>
              <w:rPr>
                <w:b/>
                <w:bCs/>
                <w:color w:val="FFFFFF"/>
                <w:sz w:val="20"/>
                <w:szCs w:val="20"/>
              </w:rPr>
              <w:t xml:space="preserve">Description</w:t>
            </w:r>
          </w:p>
        </w:tc>
      </w:tr>
      <w:tr>
        <w:tc>
          <w:tcPr>
            <w:tcW w:type="dxa" w:w="2600"/>
            <w:shd w:fill="EAF1F8" w:color="auto" w:val="clear"/>
            <w:tcMar>
              <w:top w:type="dxa" w:w="80"/>
              <w:left w:type="dxa" w:w="120"/>
              <w:bottom w:type="dxa" w:w="80"/>
              <w:right w:type="dxa" w:w="120"/>
            </w:tcMar>
            <w:vAlign w:val="center"/>
          </w:tcPr>
          <w:p>
            <w:pPr>
              <w:jc w:val="left"/>
            </w:pPr>
            <w:r>
              <w:rPr>
                <w:b/>
                <w:bCs/>
                <w:color w:val="000000"/>
                <w:sz w:val="20"/>
                <w:szCs w:val="20"/>
              </w:rPr>
              <w:t xml:space="preserve">1. Data Acquisition</w:t>
            </w:r>
          </w:p>
        </w:tc>
        <w:tc>
          <w:tcPr>
            <w:tcW w:type="dxa" w:w="6700"/>
            <w:shd w:fill="EAF1F8" w:color="auto" w:val="clear"/>
            <w:tcMar>
              <w:top w:type="dxa" w:w="80"/>
              <w:left w:type="dxa" w:w="120"/>
              <w:bottom w:type="dxa" w:w="80"/>
              <w:right w:type="dxa" w:w="120"/>
            </w:tcMar>
            <w:vAlign w:val="center"/>
          </w:tcPr>
          <w:p>
            <w:pPr>
              <w:jc w:val="left"/>
            </w:pPr>
            <w:r>
              <w:rPr>
                <w:b w:val="false"/>
                <w:bCs w:val="false"/>
                <w:color w:val="000000"/>
                <w:sz w:val="20"/>
                <w:szCs w:val="20"/>
              </w:rPr>
              <w:t xml:space="preserve">Download the resume dataset and job-postings dataset; verify licensing and load into pandas DataFrames.</w:t>
            </w:r>
          </w:p>
        </w:tc>
      </w:tr>
      <w:tr>
        <w:tc>
          <w:tcPr>
            <w:tcW w:type="dxa" w:w="2600"/>
            <w:shd w:fill="FFFFFF" w:color="auto" w:val="clear"/>
            <w:tcMar>
              <w:top w:type="dxa" w:w="80"/>
              <w:left w:type="dxa" w:w="120"/>
              <w:bottom w:type="dxa" w:w="80"/>
              <w:right w:type="dxa" w:w="120"/>
            </w:tcMar>
            <w:vAlign w:val="center"/>
          </w:tcPr>
          <w:p>
            <w:pPr>
              <w:jc w:val="left"/>
            </w:pPr>
            <w:r>
              <w:rPr>
                <w:b/>
                <w:bCs/>
                <w:color w:val="000000"/>
                <w:sz w:val="20"/>
                <w:szCs w:val="20"/>
              </w:rPr>
              <w:t xml:space="preserve">2. Data Cleaning (Week 2)</w:t>
            </w:r>
          </w:p>
        </w:tc>
        <w:tc>
          <w:tcPr>
            <w:tcW w:type="dxa" w:w="67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Remove duplicates, handle missing fields, strip formatting artifacts, normalize text encoding, and standardize category labels.</w:t>
            </w:r>
          </w:p>
        </w:tc>
      </w:tr>
      <w:tr>
        <w:tc>
          <w:tcPr>
            <w:tcW w:type="dxa" w:w="2600"/>
            <w:shd w:fill="EAF1F8" w:color="auto" w:val="clear"/>
            <w:tcMar>
              <w:top w:type="dxa" w:w="80"/>
              <w:left w:type="dxa" w:w="120"/>
              <w:bottom w:type="dxa" w:w="80"/>
              <w:right w:type="dxa" w:w="120"/>
            </w:tcMar>
            <w:vAlign w:val="center"/>
          </w:tcPr>
          <w:p>
            <w:pPr>
              <w:jc w:val="left"/>
            </w:pPr>
            <w:r>
              <w:rPr>
                <w:b/>
                <w:bCs/>
                <w:color w:val="000000"/>
                <w:sz w:val="20"/>
                <w:szCs w:val="20"/>
              </w:rPr>
              <w:t xml:space="preserve">3. Text Preprocessing</w:t>
            </w:r>
          </w:p>
        </w:tc>
        <w:tc>
          <w:tcPr>
            <w:tcW w:type="dxa" w:w="6700"/>
            <w:shd w:fill="EAF1F8" w:color="auto" w:val="clear"/>
            <w:tcMar>
              <w:top w:type="dxa" w:w="80"/>
              <w:left w:type="dxa" w:w="120"/>
              <w:bottom w:type="dxa" w:w="80"/>
              <w:right w:type="dxa" w:w="120"/>
            </w:tcMar>
            <w:vAlign w:val="center"/>
          </w:tcPr>
          <w:p>
            <w:pPr>
              <w:jc w:val="left"/>
            </w:pPr>
            <w:r>
              <w:rPr>
                <w:b w:val="false"/>
                <w:bCs w:val="false"/>
                <w:color w:val="000000"/>
                <w:sz w:val="20"/>
                <w:szCs w:val="20"/>
              </w:rPr>
              <w:t xml:space="preserve">Tokenization, stop-word removal, lemmatization, and lower-casing using NLTK/spaCy.</w:t>
            </w:r>
          </w:p>
        </w:tc>
      </w:tr>
      <w:tr>
        <w:tc>
          <w:tcPr>
            <w:tcW w:type="dxa" w:w="2600"/>
            <w:shd w:fill="FFFFFF" w:color="auto" w:val="clear"/>
            <w:tcMar>
              <w:top w:type="dxa" w:w="80"/>
              <w:left w:type="dxa" w:w="120"/>
              <w:bottom w:type="dxa" w:w="80"/>
              <w:right w:type="dxa" w:w="120"/>
            </w:tcMar>
            <w:vAlign w:val="center"/>
          </w:tcPr>
          <w:p>
            <w:pPr>
              <w:jc w:val="left"/>
            </w:pPr>
            <w:r>
              <w:rPr>
                <w:b/>
                <w:bCs/>
                <w:color w:val="000000"/>
                <w:sz w:val="20"/>
                <w:szCs w:val="20"/>
              </w:rPr>
              <w:t xml:space="preserve">4. Feature Engineering</w:t>
            </w:r>
          </w:p>
        </w:tc>
        <w:tc>
          <w:tcPr>
            <w:tcW w:type="dxa" w:w="67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TF-IDF vectors, word/sentence embeddings, and engineered features (years of experience, education level, skill counts).</w:t>
            </w:r>
          </w:p>
        </w:tc>
      </w:tr>
      <w:tr>
        <w:tc>
          <w:tcPr>
            <w:tcW w:type="dxa" w:w="2600"/>
            <w:shd w:fill="EAF1F8" w:color="auto" w:val="clear"/>
            <w:tcMar>
              <w:top w:type="dxa" w:w="80"/>
              <w:left w:type="dxa" w:w="120"/>
              <w:bottom w:type="dxa" w:w="80"/>
              <w:right w:type="dxa" w:w="120"/>
            </w:tcMar>
            <w:vAlign w:val="center"/>
          </w:tcPr>
          <w:p>
            <w:pPr>
              <w:jc w:val="left"/>
            </w:pPr>
            <w:r>
              <w:rPr>
                <w:b/>
                <w:bCs/>
                <w:color w:val="000000"/>
                <w:sz w:val="20"/>
                <w:szCs w:val="20"/>
              </w:rPr>
              <w:t xml:space="preserve">5. Exploratory Data Analysis (Week 3)</w:t>
            </w:r>
          </w:p>
        </w:tc>
        <w:tc>
          <w:tcPr>
            <w:tcW w:type="dxa" w:w="6700"/>
            <w:shd w:fill="EAF1F8" w:color="auto" w:val="clear"/>
            <w:tcMar>
              <w:top w:type="dxa" w:w="80"/>
              <w:left w:type="dxa" w:w="120"/>
              <w:bottom w:type="dxa" w:w="80"/>
              <w:right w:type="dxa" w:w="120"/>
            </w:tcMar>
            <w:vAlign w:val="center"/>
          </w:tcPr>
          <w:p>
            <w:pPr>
              <w:jc w:val="left"/>
            </w:pPr>
            <w:r>
              <w:rPr>
                <w:b w:val="false"/>
                <w:bCs w:val="false"/>
                <w:color w:val="000000"/>
                <w:sz w:val="20"/>
                <w:szCs w:val="20"/>
              </w:rPr>
              <w:t xml:space="preserve">Visualize category balance, resume length distribution, top skills/keywords per category, and word clouds.</w:t>
            </w:r>
          </w:p>
        </w:tc>
      </w:tr>
      <w:tr>
        <w:tc>
          <w:tcPr>
            <w:tcW w:type="dxa" w:w="2600"/>
            <w:shd w:fill="FFFFFF" w:color="auto" w:val="clear"/>
            <w:tcMar>
              <w:top w:type="dxa" w:w="80"/>
              <w:left w:type="dxa" w:w="120"/>
              <w:bottom w:type="dxa" w:w="80"/>
              <w:right w:type="dxa" w:w="120"/>
            </w:tcMar>
            <w:vAlign w:val="center"/>
          </w:tcPr>
          <w:p>
            <w:pPr>
              <w:jc w:val="left"/>
            </w:pPr>
            <w:r>
              <w:rPr>
                <w:b/>
                <w:bCs/>
                <w:color w:val="000000"/>
                <w:sz w:val="20"/>
                <w:szCs w:val="20"/>
              </w:rPr>
              <w:t xml:space="preserve">6. Model Selection &amp; Training (Week 4)</w:t>
            </w:r>
          </w:p>
        </w:tc>
        <w:tc>
          <w:tcPr>
            <w:tcW w:type="dxa" w:w="67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Train and compare classifiers (Logistic Regression, SVM, Random Forest, and a transformer-based baseline) to predict job category / fit score.</w:t>
            </w:r>
          </w:p>
        </w:tc>
      </w:tr>
      <w:tr>
        <w:tc>
          <w:tcPr>
            <w:tcW w:type="dxa" w:w="2600"/>
            <w:shd w:fill="EAF1F8" w:color="auto" w:val="clear"/>
            <w:tcMar>
              <w:top w:type="dxa" w:w="80"/>
              <w:left w:type="dxa" w:w="120"/>
              <w:bottom w:type="dxa" w:w="80"/>
              <w:right w:type="dxa" w:w="120"/>
            </w:tcMar>
            <w:vAlign w:val="center"/>
          </w:tcPr>
          <w:p>
            <w:pPr>
              <w:jc w:val="left"/>
            </w:pPr>
            <w:r>
              <w:rPr>
                <w:b/>
                <w:bCs/>
                <w:color w:val="000000"/>
                <w:sz w:val="20"/>
                <w:szCs w:val="20"/>
              </w:rPr>
              <w:t xml:space="preserve">7. Evaluation &amp; Reporting</w:t>
            </w:r>
          </w:p>
        </w:tc>
        <w:tc>
          <w:tcPr>
            <w:tcW w:type="dxa" w:w="6700"/>
            <w:shd w:fill="EAF1F8" w:color="auto" w:val="clear"/>
            <w:tcMar>
              <w:top w:type="dxa" w:w="80"/>
              <w:left w:type="dxa" w:w="120"/>
              <w:bottom w:type="dxa" w:w="80"/>
              <w:right w:type="dxa" w:w="120"/>
            </w:tcMar>
            <w:vAlign w:val="center"/>
          </w:tcPr>
          <w:p>
            <w:pPr>
              <w:jc w:val="left"/>
            </w:pPr>
            <w:r>
              <w:rPr>
                <w:b w:val="false"/>
                <w:bCs w:val="false"/>
                <w:color w:val="000000"/>
                <w:sz w:val="20"/>
                <w:szCs w:val="20"/>
              </w:rPr>
              <w:t xml:space="preserve">Score models with accuracy, precision, recall, F1, and confusion matrices; summarize findings for a non-technical audience.</w:t>
            </w:r>
          </w:p>
        </w:tc>
      </w:tr>
    </w:tbl>
    <w:p>
      <w:pPr>
        <w:pStyle w:val="Heading1"/>
        <w:pBdr>
          <w:bottom w:val="single" w:color="1F4E79" w:sz="6"/>
        </w:pBdr>
        <w:spacing w:after="180" w:before="360"/>
      </w:pPr>
      <w:r>
        <w:rPr>
          <w:b/>
          <w:bCs/>
          <w:color w:val="1F4E79"/>
          <w:sz w:val="30"/>
          <w:szCs w:val="30"/>
        </w:rPr>
        <w:t xml:space="preserve">7. Tools and Python Libraries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6100"/>
      </w:tblGrid>
      <w:tr>
        <w:trPr>
          <w:tblHeader/>
        </w:trPr>
        <w:tc>
          <w:tcPr>
            <w:tcW w:type="dxa" w:w="3200"/>
            <w:shd w:fill="1F4E79" w:color="auto" w:val="clear"/>
            <w:tcMar>
              <w:top w:type="dxa" w:w="80"/>
              <w:left w:type="dxa" w:w="120"/>
              <w:bottom w:type="dxa" w:w="80"/>
              <w:right w:type="dxa" w:w="120"/>
            </w:tcMar>
            <w:vAlign w:val="center"/>
          </w:tcPr>
          <w:p>
            <w:pPr>
              <w:jc w:val="left"/>
            </w:pPr>
            <w:r>
              <w:rPr>
                <w:b/>
                <w:bCs/>
                <w:color w:val="FFFFFF"/>
                <w:sz w:val="20"/>
                <w:szCs w:val="20"/>
              </w:rPr>
              <w:t xml:space="preserve">Category</w:t>
            </w:r>
          </w:p>
        </w:tc>
        <w:tc>
          <w:tcPr>
            <w:tcW w:type="dxa" w:w="6100"/>
            <w:shd w:fill="1F4E79" w:color="auto" w:val="clear"/>
            <w:tcMar>
              <w:top w:type="dxa" w:w="80"/>
              <w:left w:type="dxa" w:w="120"/>
              <w:bottom w:type="dxa" w:w="80"/>
              <w:right w:type="dxa" w:w="120"/>
            </w:tcMar>
            <w:vAlign w:val="center"/>
          </w:tcPr>
          <w:p>
            <w:pPr>
              <w:jc w:val="left"/>
            </w:pPr>
            <w:r>
              <w:rPr>
                <w:b/>
                <w:bCs/>
                <w:color w:val="FFFFFF"/>
                <w:sz w:val="20"/>
                <w:szCs w:val="20"/>
              </w:rPr>
              <w:t xml:space="preserve">Libraries / Tools</w:t>
            </w:r>
          </w:p>
        </w:tc>
      </w:tr>
      <w:tr>
        <w:tc>
          <w:tcPr>
            <w:tcW w:type="dxa" w:w="3200"/>
            <w:shd w:fill="EAF1F8" w:color="auto" w:val="clear"/>
            <w:tcMar>
              <w:top w:type="dxa" w:w="80"/>
              <w:left w:type="dxa" w:w="120"/>
              <w:bottom w:type="dxa" w:w="80"/>
              <w:right w:type="dxa" w:w="120"/>
            </w:tcMar>
            <w:vAlign w:val="center"/>
          </w:tcPr>
          <w:p>
            <w:pPr>
              <w:jc w:val="left"/>
            </w:pPr>
            <w:r>
              <w:rPr>
                <w:b w:val="false"/>
                <w:bCs w:val="false"/>
                <w:color w:val="000000"/>
                <w:sz w:val="20"/>
                <w:szCs w:val="20"/>
              </w:rPr>
              <w:t xml:space="preserve">Data handling</w:t>
            </w:r>
          </w:p>
        </w:tc>
        <w:tc>
          <w:tcPr>
            <w:tcW w:type="dxa" w:w="6100"/>
            <w:shd w:fill="EAF1F8" w:color="auto" w:val="clear"/>
            <w:tcMar>
              <w:top w:type="dxa" w:w="80"/>
              <w:left w:type="dxa" w:w="120"/>
              <w:bottom w:type="dxa" w:w="80"/>
              <w:right w:type="dxa" w:w="120"/>
            </w:tcMar>
            <w:vAlign w:val="center"/>
          </w:tcPr>
          <w:p>
            <w:pPr>
              <w:jc w:val="left"/>
            </w:pPr>
            <w:r>
              <w:rPr>
                <w:b w:val="false"/>
                <w:bCs w:val="false"/>
                <w:color w:val="000000"/>
                <w:sz w:val="20"/>
                <w:szCs w:val="20"/>
              </w:rPr>
              <w:t xml:space="preserve">pandas, numpy</w:t>
            </w:r>
          </w:p>
        </w:tc>
      </w:tr>
      <w:tr>
        <w:tc>
          <w:tcPr>
            <w:tcW w:type="dxa" w:w="32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Text processing / NLP</w:t>
            </w:r>
          </w:p>
        </w:tc>
        <w:tc>
          <w:tcPr>
            <w:tcW w:type="dxa" w:w="61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nltk, spaCy, re (regex), scikit-learn (TfidfVectorizer)</w:t>
            </w:r>
          </w:p>
        </w:tc>
      </w:tr>
      <w:tr>
        <w:tc>
          <w:tcPr>
            <w:tcW w:type="dxa" w:w="3200"/>
            <w:shd w:fill="EAF1F8" w:color="auto" w:val="clear"/>
            <w:tcMar>
              <w:top w:type="dxa" w:w="80"/>
              <w:left w:type="dxa" w:w="120"/>
              <w:bottom w:type="dxa" w:w="80"/>
              <w:right w:type="dxa" w:w="120"/>
            </w:tcMar>
            <w:vAlign w:val="center"/>
          </w:tcPr>
          <w:p>
            <w:pPr>
              <w:jc w:val="left"/>
            </w:pPr>
            <w:r>
              <w:rPr>
                <w:b w:val="false"/>
                <w:bCs w:val="false"/>
                <w:color w:val="000000"/>
                <w:sz w:val="20"/>
                <w:szCs w:val="20"/>
              </w:rPr>
              <w:t xml:space="preserve">Machine learning</w:t>
            </w:r>
          </w:p>
        </w:tc>
        <w:tc>
          <w:tcPr>
            <w:tcW w:type="dxa" w:w="6100"/>
            <w:shd w:fill="EAF1F8" w:color="auto" w:val="clear"/>
            <w:tcMar>
              <w:top w:type="dxa" w:w="80"/>
              <w:left w:type="dxa" w:w="120"/>
              <w:bottom w:type="dxa" w:w="80"/>
              <w:right w:type="dxa" w:w="120"/>
            </w:tcMar>
            <w:vAlign w:val="center"/>
          </w:tcPr>
          <w:p>
            <w:pPr>
              <w:jc w:val="left"/>
            </w:pPr>
            <w:r>
              <w:rPr>
                <w:b w:val="false"/>
                <w:bCs w:val="false"/>
                <w:color w:val="000000"/>
                <w:sz w:val="20"/>
                <w:szCs w:val="20"/>
              </w:rPr>
              <w:t xml:space="preserve">scikit-learn, XGBoost</w:t>
            </w:r>
          </w:p>
        </w:tc>
      </w:tr>
      <w:tr>
        <w:tc>
          <w:tcPr>
            <w:tcW w:type="dxa" w:w="32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Visualization</w:t>
            </w:r>
          </w:p>
        </w:tc>
        <w:tc>
          <w:tcPr>
            <w:tcW w:type="dxa" w:w="61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matplotlib, seaborn, wordcloud</w:t>
            </w:r>
          </w:p>
        </w:tc>
      </w:tr>
      <w:tr>
        <w:tc>
          <w:tcPr>
            <w:tcW w:type="dxa" w:w="3200"/>
            <w:shd w:fill="EAF1F8" w:color="auto" w:val="clear"/>
            <w:tcMar>
              <w:top w:type="dxa" w:w="80"/>
              <w:left w:type="dxa" w:w="120"/>
              <w:bottom w:type="dxa" w:w="80"/>
              <w:right w:type="dxa" w:w="120"/>
            </w:tcMar>
            <w:vAlign w:val="center"/>
          </w:tcPr>
          <w:p>
            <w:pPr>
              <w:jc w:val="left"/>
            </w:pPr>
            <w:r>
              <w:rPr>
                <w:b w:val="false"/>
                <w:bCs w:val="false"/>
                <w:color w:val="000000"/>
                <w:sz w:val="20"/>
                <w:szCs w:val="20"/>
              </w:rPr>
              <w:t xml:space="preserve">Document parsing</w:t>
            </w:r>
          </w:p>
        </w:tc>
        <w:tc>
          <w:tcPr>
            <w:tcW w:type="dxa" w:w="6100"/>
            <w:shd w:fill="EAF1F8" w:color="auto" w:val="clear"/>
            <w:tcMar>
              <w:top w:type="dxa" w:w="80"/>
              <w:left w:type="dxa" w:w="120"/>
              <w:bottom w:type="dxa" w:w="80"/>
              <w:right w:type="dxa" w:w="120"/>
            </w:tcMar>
            <w:vAlign w:val="center"/>
          </w:tcPr>
          <w:p>
            <w:pPr>
              <w:jc w:val="left"/>
            </w:pPr>
            <w:r>
              <w:rPr>
                <w:b w:val="false"/>
                <w:bCs w:val="false"/>
                <w:color w:val="000000"/>
                <w:sz w:val="20"/>
                <w:szCs w:val="20"/>
              </w:rPr>
              <w:t xml:space="preserve">PyPDF2 / pdfplumber, python-docx</w:t>
            </w:r>
          </w:p>
        </w:tc>
      </w:tr>
      <w:tr>
        <w:tc>
          <w:tcPr>
            <w:tcW w:type="dxa" w:w="32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Environment / notebooks</w:t>
            </w:r>
          </w:p>
        </w:tc>
        <w:tc>
          <w:tcPr>
            <w:tcW w:type="dxa" w:w="61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Jupyter Notebook, Google Colab, virtualenv</w:t>
            </w:r>
          </w:p>
        </w:tc>
      </w:tr>
      <w:tr>
        <w:tc>
          <w:tcPr>
            <w:tcW w:type="dxa" w:w="3200"/>
            <w:shd w:fill="EAF1F8" w:color="auto" w:val="clear"/>
            <w:tcMar>
              <w:top w:type="dxa" w:w="80"/>
              <w:left w:type="dxa" w:w="120"/>
              <w:bottom w:type="dxa" w:w="80"/>
              <w:right w:type="dxa" w:w="120"/>
            </w:tcMar>
            <w:vAlign w:val="center"/>
          </w:tcPr>
          <w:p>
            <w:pPr>
              <w:jc w:val="left"/>
            </w:pPr>
            <w:r>
              <w:rPr>
                <w:b w:val="false"/>
                <w:bCs w:val="false"/>
                <w:color w:val="000000"/>
                <w:sz w:val="20"/>
                <w:szCs w:val="20"/>
              </w:rPr>
              <w:t xml:space="preserve">Version control</w:t>
            </w:r>
          </w:p>
        </w:tc>
        <w:tc>
          <w:tcPr>
            <w:tcW w:type="dxa" w:w="6100"/>
            <w:shd w:fill="EAF1F8" w:color="auto" w:val="clear"/>
            <w:tcMar>
              <w:top w:type="dxa" w:w="80"/>
              <w:left w:type="dxa" w:w="120"/>
              <w:bottom w:type="dxa" w:w="80"/>
              <w:right w:type="dxa" w:w="120"/>
            </w:tcMar>
            <w:vAlign w:val="center"/>
          </w:tcPr>
          <w:p>
            <w:pPr>
              <w:jc w:val="left"/>
            </w:pPr>
            <w:r>
              <w:rPr>
                <w:b w:val="false"/>
                <w:bCs w:val="false"/>
                <w:color w:val="000000"/>
                <w:sz w:val="20"/>
                <w:szCs w:val="20"/>
              </w:rPr>
              <w:t xml:space="preserve">Git and GitHub</w:t>
            </w:r>
          </w:p>
        </w:tc>
      </w:tr>
    </w:tbl>
    <w:p>
      <w:pPr>
        <w:pStyle w:val="Heading1"/>
        <w:pBdr>
          <w:bottom w:val="single" w:color="1F4E79" w:sz="6"/>
        </w:pBdr>
        <w:spacing w:after="180" w:before="360"/>
      </w:pPr>
      <w:r>
        <w:rPr>
          <w:b/>
          <w:bCs/>
          <w:color w:val="1F4E79"/>
          <w:sz w:val="30"/>
          <w:szCs w:val="30"/>
        </w:rPr>
        <w:t xml:space="preserve">8. Anticipated Challenges and Mitigations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300"/>
        <w:gridCol w:w="5000"/>
      </w:tblGrid>
      <w:tr>
        <w:trPr>
          <w:tblHeader/>
        </w:trPr>
        <w:tc>
          <w:tcPr>
            <w:tcW w:type="dxa" w:w="4300"/>
            <w:shd w:fill="1F4E79" w:color="auto" w:val="clear"/>
            <w:tcMar>
              <w:top w:type="dxa" w:w="80"/>
              <w:left w:type="dxa" w:w="120"/>
              <w:bottom w:type="dxa" w:w="80"/>
              <w:right w:type="dxa" w:w="120"/>
            </w:tcMar>
            <w:vAlign w:val="center"/>
          </w:tcPr>
          <w:p>
            <w:pPr>
              <w:jc w:val="left"/>
            </w:pPr>
            <w:r>
              <w:rPr>
                <w:b/>
                <w:bCs/>
                <w:color w:val="FFFFFF"/>
                <w:sz w:val="20"/>
                <w:szCs w:val="20"/>
              </w:rPr>
              <w:t xml:space="preserve">Challenge</w:t>
            </w:r>
          </w:p>
        </w:tc>
        <w:tc>
          <w:tcPr>
            <w:tcW w:type="dxa" w:w="5000"/>
            <w:shd w:fill="1F4E79" w:color="auto" w:val="clear"/>
            <w:tcMar>
              <w:top w:type="dxa" w:w="80"/>
              <w:left w:type="dxa" w:w="120"/>
              <w:bottom w:type="dxa" w:w="80"/>
              <w:right w:type="dxa" w:w="120"/>
            </w:tcMar>
            <w:vAlign w:val="center"/>
          </w:tcPr>
          <w:p>
            <w:pPr>
              <w:jc w:val="left"/>
            </w:pPr>
            <w:r>
              <w:rPr>
                <w:b/>
                <w:bCs/>
                <w:color w:val="FFFFFF"/>
                <w:sz w:val="20"/>
                <w:szCs w:val="20"/>
              </w:rPr>
              <w:t xml:space="preserve">Mitigation Strategy</w:t>
            </w:r>
          </w:p>
        </w:tc>
      </w:tr>
      <w:tr>
        <w:tc>
          <w:tcPr>
            <w:tcW w:type="dxa" w:w="4300"/>
            <w:shd w:fill="EAF1F8" w:color="auto" w:val="clear"/>
            <w:tcMar>
              <w:top w:type="dxa" w:w="80"/>
              <w:left w:type="dxa" w:w="120"/>
              <w:bottom w:type="dxa" w:w="80"/>
              <w:right w:type="dxa" w:w="120"/>
            </w:tcMar>
            <w:vAlign w:val="center"/>
          </w:tcPr>
          <w:p>
            <w:pPr>
              <w:jc w:val="left"/>
            </w:pPr>
            <w:r>
              <w:rPr>
                <w:b w:val="false"/>
                <w:bCs w:val="false"/>
                <w:color w:val="000000"/>
                <w:sz w:val="20"/>
                <w:szCs w:val="20"/>
              </w:rPr>
              <w:t xml:space="preserve">Inconsistent resume formatting (bullets, tables, columns) makes text extraction noisy.</w:t>
            </w:r>
          </w:p>
        </w:tc>
        <w:tc>
          <w:tcPr>
            <w:tcW w:type="dxa" w:w="5000"/>
            <w:shd w:fill="EAF1F8" w:color="auto" w:val="clear"/>
            <w:tcMar>
              <w:top w:type="dxa" w:w="80"/>
              <w:left w:type="dxa" w:w="120"/>
              <w:bottom w:type="dxa" w:w="80"/>
              <w:right w:type="dxa" w:w="120"/>
            </w:tcMar>
            <w:vAlign w:val="center"/>
          </w:tcPr>
          <w:p>
            <w:pPr>
              <w:jc w:val="left"/>
            </w:pPr>
            <w:r>
              <w:rPr>
                <w:b w:val="false"/>
                <w:bCs w:val="false"/>
                <w:color w:val="000000"/>
                <w:sz w:val="20"/>
                <w:szCs w:val="20"/>
              </w:rPr>
              <w:t xml:space="preserve">Use a combination of pdfplumber and manual regex cleanup; validate extraction on a random sample before bulk processing.</w:t>
            </w:r>
          </w:p>
        </w:tc>
      </w:tr>
      <w:tr>
        <w:tc>
          <w:tcPr>
            <w:tcW w:type="dxa" w:w="43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Class imbalance across job categories.</w:t>
            </w:r>
          </w:p>
        </w:tc>
        <w:tc>
          <w:tcPr>
            <w:tcW w:type="dxa" w:w="50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Apply stratified sampling, class-weighting in model training, and report per-class metrics rather than only overall accuracy.</w:t>
            </w:r>
          </w:p>
        </w:tc>
      </w:tr>
      <w:tr>
        <w:tc>
          <w:tcPr>
            <w:tcW w:type="dxa" w:w="4300"/>
            <w:shd w:fill="EAF1F8" w:color="auto" w:val="clear"/>
            <w:tcMar>
              <w:top w:type="dxa" w:w="80"/>
              <w:left w:type="dxa" w:w="120"/>
              <w:bottom w:type="dxa" w:w="80"/>
              <w:right w:type="dxa" w:w="120"/>
            </w:tcMar>
            <w:vAlign w:val="center"/>
          </w:tcPr>
          <w:p>
            <w:pPr>
              <w:jc w:val="left"/>
            </w:pPr>
            <w:r>
              <w:rPr>
                <w:b w:val="false"/>
                <w:bCs w:val="false"/>
                <w:color w:val="000000"/>
                <w:sz w:val="20"/>
                <w:szCs w:val="20"/>
              </w:rPr>
              <w:t xml:space="preserve">Free-text skills are phrased inconsistently (e.g., "ML" vs. "Machine Learning").</w:t>
            </w:r>
          </w:p>
        </w:tc>
        <w:tc>
          <w:tcPr>
            <w:tcW w:type="dxa" w:w="5000"/>
            <w:shd w:fill="EAF1F8" w:color="auto" w:val="clear"/>
            <w:tcMar>
              <w:top w:type="dxa" w:w="80"/>
              <w:left w:type="dxa" w:w="120"/>
              <w:bottom w:type="dxa" w:w="80"/>
              <w:right w:type="dxa" w:w="120"/>
            </w:tcMar>
            <w:vAlign w:val="center"/>
          </w:tcPr>
          <w:p>
            <w:pPr>
              <w:jc w:val="left"/>
            </w:pPr>
            <w:r>
              <w:rPr>
                <w:b w:val="false"/>
                <w:bCs w:val="false"/>
                <w:color w:val="000000"/>
                <w:sz w:val="20"/>
                <w:szCs w:val="20"/>
              </w:rPr>
              <w:t xml:space="preserve">Build a normalization dictionary/mapping using the O*NET skill taxonomy as a controlled vocabulary.</w:t>
            </w:r>
          </w:p>
        </w:tc>
      </w:tr>
      <w:tr>
        <w:tc>
          <w:tcPr>
            <w:tcW w:type="dxa" w:w="43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Risk of the model learning biased proxies (e.g., school name, gender-coded language) instead of genuine fit.</w:t>
            </w:r>
          </w:p>
        </w:tc>
        <w:tc>
          <w:tcPr>
            <w:tcW w:type="dxa" w:w="50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Explicitly audit top predictive features for proxy variables and document limitations; exclude clearly identity-linked fields.</w:t>
            </w:r>
          </w:p>
        </w:tc>
      </w:tr>
      <w:tr>
        <w:tc>
          <w:tcPr>
            <w:tcW w:type="dxa" w:w="4300"/>
            <w:shd w:fill="EAF1F8" w:color="auto" w:val="clear"/>
            <w:tcMar>
              <w:top w:type="dxa" w:w="80"/>
              <w:left w:type="dxa" w:w="120"/>
              <w:bottom w:type="dxa" w:w="80"/>
              <w:right w:type="dxa" w:w="120"/>
            </w:tcMar>
            <w:vAlign w:val="center"/>
          </w:tcPr>
          <w:p>
            <w:pPr>
              <w:jc w:val="left"/>
            </w:pPr>
            <w:r>
              <w:rPr>
                <w:b w:val="false"/>
                <w:bCs w:val="false"/>
                <w:color w:val="000000"/>
                <w:sz w:val="20"/>
                <w:szCs w:val="20"/>
              </w:rPr>
              <w:t xml:space="preserve">Limited compute/time within a 4-week internship.</w:t>
            </w:r>
          </w:p>
        </w:tc>
        <w:tc>
          <w:tcPr>
            <w:tcW w:type="dxa" w:w="5000"/>
            <w:shd w:fill="EAF1F8" w:color="auto" w:val="clear"/>
            <w:tcMar>
              <w:top w:type="dxa" w:w="80"/>
              <w:left w:type="dxa" w:w="120"/>
              <w:bottom w:type="dxa" w:w="80"/>
              <w:right w:type="dxa" w:w="120"/>
            </w:tcMar>
            <w:vAlign w:val="center"/>
          </w:tcPr>
          <w:p>
            <w:pPr>
              <w:jc w:val="left"/>
            </w:pPr>
            <w:r>
              <w:rPr>
                <w:b w:val="false"/>
                <w:bCs w:val="false"/>
                <w:color w:val="000000"/>
                <w:sz w:val="20"/>
                <w:szCs w:val="20"/>
              </w:rPr>
              <w:t xml:space="preserve">Prioritize classical ML baselines first; treat transformer-based embeddings as a stretch goal rather than a hard requirement.</w:t>
            </w:r>
          </w:p>
        </w:tc>
      </w:tr>
    </w:tbl>
    <w:p>
      <w:pPr>
        <w:pStyle w:val="Heading1"/>
        <w:pBdr>
          <w:bottom w:val="single" w:color="1F4E79" w:sz="6"/>
        </w:pBdr>
        <w:spacing w:after="180" w:before="360"/>
      </w:pPr>
      <w:r>
        <w:rPr>
          <w:b/>
          <w:bCs/>
          <w:color w:val="1F4E79"/>
          <w:sz w:val="30"/>
          <w:szCs w:val="30"/>
        </w:rPr>
        <w:t xml:space="preserve">9. Validation Checkpoints</w:t>
      </w:r>
    </w:p>
    <w:p>
      <w:pPr>
        <w:pStyle w:val="ListParagraph"/>
        <w:numPr>
          <w:ilvl w:val="0"/>
          <w:numId w:val="3"/>
        </w:numPr>
        <w:spacing w:after="90" w:line="276"/>
      </w:pPr>
      <w:r>
        <w:rPr>
          <w:sz w:val="22"/>
          <w:szCs w:val="22"/>
        </w:rPr>
        <w:t xml:space="preserve">End of Week 1: Finalized dataset selection and a validated project plan (this document).</w:t>
      </w:r>
    </w:p>
    <w:p>
      <w:pPr>
        <w:pStyle w:val="ListParagraph"/>
        <w:numPr>
          <w:ilvl w:val="0"/>
          <w:numId w:val="3"/>
        </w:numPr>
        <w:spacing w:after="90" w:line="276"/>
      </w:pPr>
      <w:r>
        <w:rPr>
          <w:sz w:val="22"/>
          <w:szCs w:val="22"/>
        </w:rPr>
        <w:t xml:space="preserve">End of Week 2: A cleaned, de-duplicated dataset with a documented cleaning log and before/after data-quality metrics.</w:t>
      </w:r>
    </w:p>
    <w:p>
      <w:pPr>
        <w:pStyle w:val="ListParagraph"/>
        <w:numPr>
          <w:ilvl w:val="0"/>
          <w:numId w:val="3"/>
        </w:numPr>
        <w:spacing w:after="90" w:line="276"/>
      </w:pPr>
      <w:r>
        <w:rPr>
          <w:sz w:val="22"/>
          <w:szCs w:val="22"/>
        </w:rPr>
        <w:t xml:space="preserve">End of Week 3: A completed EDA notebook/report with visualizations and written insights that inform feature selection.</w:t>
      </w:r>
    </w:p>
    <w:p>
      <w:pPr>
        <w:pStyle w:val="ListParagraph"/>
        <w:numPr>
          <w:ilvl w:val="0"/>
          <w:numId w:val="3"/>
        </w:numPr>
        <w:spacing w:after="90" w:line="276"/>
      </w:pPr>
      <w:r>
        <w:rPr>
          <w:sz w:val="22"/>
          <w:szCs w:val="22"/>
        </w:rPr>
        <w:t xml:space="preserve">End of Week 4: Trained and evaluated models with a comparison table and a recommendation for the best-performing approach.</w:t>
      </w:r>
    </w:p>
    <w:p>
      <w:pPr>
        <w:pStyle w:val="Heading1"/>
        <w:pBdr>
          <w:bottom w:val="single" w:color="1F4E79" w:sz="6"/>
        </w:pBdr>
        <w:spacing w:after="180" w:before="360"/>
      </w:pPr>
      <w:r>
        <w:rPr>
          <w:b/>
          <w:bCs/>
          <w:color w:val="1F4E79"/>
          <w:sz w:val="30"/>
          <w:szCs w:val="30"/>
        </w:rPr>
        <w:t xml:space="preserve">10. Estimated Effort</w:t>
      </w:r>
    </w:p>
    <w:p>
      <w:pPr>
        <w:spacing w:after="160" w:line="276"/>
      </w:pPr>
      <w:r>
        <w:rPr>
          <w:sz w:val="22"/>
          <w:szCs w:val="22"/>
        </w:rPr>
        <w:t xml:space="preserve">This task is estimated at 30–35 hours, allocated approximately as follows: 8 hours background research on datasets and existing resume-screening approaches; 6 hours defining objectives and scope; 10 hours drafting the workflow, tool selection, and risk/mitigation plan; 6 hours structuring and writing this document; and 4–5 hours for review and revision.</w:t>
      </w:r>
    </w:p>
    <w:p>
      <w:pPr>
        <w:pStyle w:val="Heading1"/>
        <w:pBdr>
          <w:bottom w:val="single" w:color="1F4E79" w:sz="6"/>
        </w:pBdr>
        <w:spacing w:after="180" w:before="360"/>
      </w:pPr>
      <w:r>
        <w:rPr>
          <w:b/>
          <w:bCs/>
          <w:color w:val="1F4E79"/>
          <w:sz w:val="30"/>
          <w:szCs w:val="30"/>
        </w:rPr>
        <w:t xml:space="preserve">11. Conclusion</w:t>
      </w:r>
    </w:p>
    <w:p>
      <w:pPr>
        <w:spacing w:after="160" w:line="276"/>
      </w:pPr>
      <w:r>
        <w:rPr>
          <w:sz w:val="22"/>
          <w:szCs w:val="22"/>
        </w:rPr>
        <w:t xml:space="preserve">This plan establishes a clear, scoped path for building an AI-driven resume screening prototype in Python. By anchoring the project on a well-labeled public dataset and a staged workflow — cleaning, exploration, and modeling — the subsequent weekly tasks can each build incrementally toward a working, evaluable system, while keeping fairness and data-quality risks visible and managed throughout.</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60" w:hanging="26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2026-09-18T04:57:00.920Z</dcterms:created>
  <dcterms:modified xsi:type="dcterms:W3CDTF">2026-09-18T04:57:00.929Z</dcterms:modified>
</cp:coreProperties>
</file>

<file path=docProps/custom.xml><?xml version="1.0" encoding="utf-8"?>
<Properties xmlns="http://schemas.openxmlformats.org/officeDocument/2006/custom-properties" xmlns:vt="http://schemas.openxmlformats.org/officeDocument/2006/docPropsVTypes"/>
</file>