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27333D"/>
          <w:sz w:val="44"/>
          <w:szCs w:val="44"/>
        </w:rPr>
        <w:t xml:space="preserve">MOVIES PERFORMANCE ANALYTICS</w:t>
      </w:r>
    </w:p>
    <w:p>
      <w:pPr>
        <w:pBdr>
          <w:bottom w:val="single" w:color="B5651D" w:sz="16" w:space="8"/>
        </w:pBdr>
        <w:spacing w:after="220"/>
      </w:pPr>
      <w:r>
        <w:rPr>
          <w:rFonts w:ascii="Cambria" w:cs="Cambria" w:eastAsia="Cambria" w:hAnsi="Cambria"/>
          <w:i/>
          <w:iCs/>
          <w:color w:val="B5651D"/>
          <w:sz w:val="28"/>
          <w:szCs w:val="28"/>
        </w:rPr>
        <w:t xml:space="preserve">Power BI Dashboard  —  Executive Summary</w:t>
      </w:r>
    </w:p>
    <w:p>
      <w:pPr>
        <w:spacing w:after="400"/>
      </w:pPr>
      <w:r>
        <w:rPr>
          <w:rFonts w:ascii="Calibri" w:cs="Calibri" w:eastAsia="Calibri" w:hAnsi="Calibri"/>
          <w:i/>
          <w:iCs/>
          <w:color w:val="5B5B5B"/>
          <w:sz w:val="20"/>
          <w:szCs w:val="20"/>
        </w:rPr>
        <w:t xml:space="preserve">Prepared from the Team_10_BI Power BI project and the Cleaned Movies Dataset — figures verified against source data.</w:t>
      </w:r>
    </w:p>
    <w:p>
      <w:pPr>
        <w:pStyle w:val="Heading1"/>
        <w:pBdr>
          <w:bottom w:val="single" w:color="B5651D" w:sz="8" w:space="6"/>
        </w:pBdr>
        <w:spacing w:after="200" w:before="420"/>
      </w:pPr>
      <w:r>
        <w:rPr>
          <w:rFonts w:ascii="Cambria" w:cs="Cambria" w:eastAsia="Cambria" w:hAnsi="Cambria"/>
          <w:b/>
          <w:bCs/>
          <w:color w:val="B5651D"/>
          <w:sz w:val="30"/>
          <w:szCs w:val="30"/>
        </w:rPr>
        <w:t xml:space="preserve">1.  </w:t>
      </w:r>
      <w:r>
        <w:rPr>
          <w:rFonts w:ascii="Cambria" w:cs="Cambria" w:eastAsia="Cambria" w:hAnsi="Cambria"/>
          <w:b/>
          <w:bCs/>
          <w:color w:val="27333D"/>
          <w:sz w:val="30"/>
          <w:szCs w:val="30"/>
        </w:rPr>
        <w:t xml:space="preserve">Project Overview</w:t>
      </w:r>
    </w:p>
    <w:p>
      <w:pPr>
        <w:spacing w:after="160" w:line="276"/>
      </w:pPr>
      <w:r>
        <w:rPr>
          <w:rFonts w:ascii="Calibri" w:cs="Calibri" w:eastAsia="Calibri" w:hAnsi="Calibri"/>
          <w:color w:val="2B2B2B"/>
          <w:sz w:val="21"/>
          <w:szCs w:val="21"/>
        </w:rPr>
        <w:t xml:space="preserve">This report summarizes a Power BI business-intelligence project built on a global movies dataset. The workbook consolidates movie metadata, cast and crew information, audience ratings, and financial performance into a single analytical model, and presents it through a two-page interactive dashboard. The goal of the analysis is to help a production house (referred to as RSVP Movies in the source brief) identify which genres, languages, directors, and actors are most strongly associated with commercial and critical success, in order to guide the choice of their next project.</w:t>
      </w:r>
    </w:p>
    <w:p>
      <w:pPr>
        <w:spacing w:after="160" w:line="276"/>
      </w:pPr>
      <w:r>
        <w:rPr>
          <w:rFonts w:ascii="Calibri" w:cs="Calibri" w:eastAsia="Calibri" w:hAnsi="Calibri"/>
          <w:color w:val="2B2B2B"/>
          <w:sz w:val="21"/>
          <w:szCs w:val="21"/>
        </w:rPr>
        <w:t xml:space="preserve">The analysis draws on two related data assets: the original relational movie database (six linked tables covering movies, ratings, genres, names, director mapping and role mapping) and a cleaned, flattened analytical table — Movies_Clean_Data — purpose-built to feed the Power BI report. This document explains the cleaning performed to arrive at that analytical table, walks through every visual on the dashboard, and documents the key columns available for analysis.</w:t>
      </w:r>
    </w:p>
    <w:p>
      <w:pPr>
        <w:pStyle w:val="Heading1"/>
        <w:pBdr>
          <w:bottom w:val="single" w:color="B5651D" w:sz="8" w:space="6"/>
        </w:pBdr>
        <w:spacing w:after="200" w:before="420"/>
      </w:pPr>
      <w:r>
        <w:rPr>
          <w:rFonts w:ascii="Cambria" w:cs="Cambria" w:eastAsia="Cambria" w:hAnsi="Cambria"/>
          <w:b/>
          <w:bCs/>
          <w:color w:val="B5651D"/>
          <w:sz w:val="30"/>
          <w:szCs w:val="30"/>
        </w:rPr>
        <w:t xml:space="preserve">2.  </w:t>
      </w:r>
      <w:r>
        <w:rPr>
          <w:rFonts w:ascii="Cambria" w:cs="Cambria" w:eastAsia="Cambria" w:hAnsi="Cambria"/>
          <w:b/>
          <w:bCs/>
          <w:color w:val="27333D"/>
          <w:sz w:val="30"/>
          <w:szCs w:val="30"/>
        </w:rPr>
        <w:t xml:space="preserve">Data Preparation and Cleaning</w:t>
      </w:r>
    </w:p>
    <w:p>
      <w:pPr>
        <w:spacing w:after="160" w:line="276"/>
      </w:pPr>
      <w:r>
        <w:rPr>
          <w:rFonts w:ascii="Calibri" w:cs="Calibri" w:eastAsia="Calibri" w:hAnsi="Calibri"/>
          <w:color w:val="2B2B2B"/>
          <w:sz w:val="21"/>
          <w:szCs w:val="21"/>
        </w:rPr>
        <w:t xml:space="preserve">The source data originally existed as six separate, related tables. The record counts in the raw extract were as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Source Table</w:t>
            </w:r>
          </w:p>
        </w:tc>
        <w:tc>
          <w:tcPr>
            <w:tcW w:type="dxa" w:w="16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Row Count</w:t>
            </w:r>
          </w:p>
        </w:tc>
        <w:tc>
          <w:tcPr>
            <w:tcW w:type="dxa" w:w="60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Contents</w:t>
            </w:r>
          </w:p>
        </w:tc>
      </w:tr>
      <w:tr>
        <w:tc>
          <w:tcPr>
            <w:tcW w:type="dxa" w:w="24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MOVIE</w:t>
            </w:r>
          </w:p>
        </w:tc>
        <w:tc>
          <w:tcPr>
            <w:tcW w:type="dxa" w:w="16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7,997</w:t>
            </w:r>
          </w:p>
        </w:tc>
        <w:tc>
          <w:tcPr>
            <w:tcW w:type="dxa" w:w="6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Core movie attributes: title, year, date published, duration, country, gross income, languages, production company</w:t>
            </w:r>
          </w:p>
        </w:tc>
      </w:tr>
      <w:tr>
        <w:tc>
          <w:tcPr>
            <w:tcW w:type="dxa" w:w="24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RATINGS</w:t>
            </w:r>
          </w:p>
        </w:tc>
        <w:tc>
          <w:tcPr>
            <w:tcW w:type="dxa" w:w="16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7,997</w:t>
            </w:r>
          </w:p>
        </w:tc>
        <w:tc>
          <w:tcPr>
            <w:tcW w:type="dxa" w:w="6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IMDb rating, votes, and review counts per movie</w:t>
            </w:r>
          </w:p>
        </w:tc>
      </w:tr>
      <w:tr>
        <w:tc>
          <w:tcPr>
            <w:tcW w:type="dxa" w:w="24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GENRE</w:t>
            </w:r>
          </w:p>
        </w:tc>
        <w:tc>
          <w:tcPr>
            <w:tcW w:type="dxa" w:w="16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14,662</w:t>
            </w:r>
          </w:p>
        </w:tc>
        <w:tc>
          <w:tcPr>
            <w:tcW w:type="dxa" w:w="6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Movie-to-genre mapping (a movie can belong to multiple genres)</w:t>
            </w:r>
          </w:p>
        </w:tc>
      </w:tr>
      <w:tr>
        <w:tc>
          <w:tcPr>
            <w:tcW w:type="dxa" w:w="24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NAMES</w:t>
            </w:r>
          </w:p>
        </w:tc>
        <w:tc>
          <w:tcPr>
            <w:tcW w:type="dxa" w:w="16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25,735</w:t>
            </w:r>
          </w:p>
        </w:tc>
        <w:tc>
          <w:tcPr>
            <w:tcW w:type="dxa" w:w="6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Master list of people — directors, actors, producers</w:t>
            </w:r>
          </w:p>
        </w:tc>
      </w:tr>
      <w:tr>
        <w:tc>
          <w:tcPr>
            <w:tcW w:type="dxa" w:w="24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DIRECTOR_MAPPING</w:t>
            </w:r>
          </w:p>
        </w:tc>
        <w:tc>
          <w:tcPr>
            <w:tcW w:type="dxa" w:w="16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3,867</w:t>
            </w:r>
          </w:p>
        </w:tc>
        <w:tc>
          <w:tcPr>
            <w:tcW w:type="dxa" w:w="6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Movie-to-director mapping</w:t>
            </w:r>
          </w:p>
        </w:tc>
      </w:tr>
      <w:tr>
        <w:tc>
          <w:tcPr>
            <w:tcW w:type="dxa" w:w="24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ROLE_MAPPING</w:t>
            </w:r>
          </w:p>
        </w:tc>
        <w:tc>
          <w:tcPr>
            <w:tcW w:type="dxa" w:w="16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15,615</w:t>
            </w:r>
          </w:p>
        </w:tc>
        <w:tc>
          <w:tcPr>
            <w:tcW w:type="dxa" w:w="6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Movie-to-actor/role mapping</w:t>
            </w:r>
          </w:p>
        </w:tc>
      </w:tr>
    </w:tbl>
    <w:p>
      <w:pPr>
        <w:spacing w:after="240"/>
      </w:pPr>
    </w:p>
    <w:p>
      <w:pPr>
        <w:spacing w:after="160" w:line="276"/>
      </w:pPr>
      <w:r>
        <w:rPr>
          <w:rFonts w:ascii="Calibri" w:cs="Calibri" w:eastAsia="Calibri" w:hAnsi="Calibri"/>
          <w:color w:val="2B2B2B"/>
          <w:sz w:val="21"/>
          <w:szCs w:val="21"/>
        </w:rPr>
        <w:t xml:space="preserve">Before modelling, the raw MOVIE table contained a meaningful volume of missing data. Worldwide gross income was the most incomplete field, followed by production company, language, and country, while identifying fields such as ID, Title, Year, Date Published and Duration were fully populated: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Column</w:t>
            </w:r>
          </w:p>
        </w:tc>
        <w:tc>
          <w:tcPr>
            <w:tcW w:type="dxa" w:w="58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Null Values</w:t>
            </w:r>
          </w:p>
        </w:tc>
      </w:tr>
      <w:tr>
        <w:tc>
          <w:tcPr>
            <w:tcW w:type="dxa" w:w="42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Worldwide gross income</w:t>
            </w:r>
          </w:p>
        </w:tc>
        <w:tc>
          <w:tcPr>
            <w:tcW w:type="dxa" w:w="58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3,724</w:t>
            </w:r>
          </w:p>
        </w:tc>
      </w:tr>
      <w:tr>
        <w:tc>
          <w:tcPr>
            <w:tcW w:type="dxa" w:w="42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Production company</w:t>
            </w:r>
          </w:p>
        </w:tc>
        <w:tc>
          <w:tcPr>
            <w:tcW w:type="dxa" w:w="58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528</w:t>
            </w:r>
          </w:p>
        </w:tc>
      </w:tr>
      <w:tr>
        <w:tc>
          <w:tcPr>
            <w:tcW w:type="dxa" w:w="42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Languages</w:t>
            </w:r>
          </w:p>
        </w:tc>
        <w:tc>
          <w:tcPr>
            <w:tcW w:type="dxa" w:w="58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194</w:t>
            </w:r>
          </w:p>
        </w:tc>
      </w:tr>
      <w:tr>
        <w:tc>
          <w:tcPr>
            <w:tcW w:type="dxa" w:w="42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Country</w:t>
            </w:r>
          </w:p>
        </w:tc>
        <w:tc>
          <w:tcPr>
            <w:tcW w:type="dxa" w:w="58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20</w:t>
            </w:r>
          </w:p>
        </w:tc>
      </w:tr>
      <w:tr>
        <w:tc>
          <w:tcPr>
            <w:tcW w:type="dxa" w:w="42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ID / Title / Year / Date Published / Duration</w:t>
            </w:r>
          </w:p>
        </w:tc>
        <w:tc>
          <w:tcPr>
            <w:tcW w:type="dxa" w:w="58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0</w:t>
            </w:r>
          </w:p>
        </w:tc>
      </w:tr>
    </w:tbl>
    <w:p>
      <w:pPr>
        <w:spacing w:after="240"/>
      </w:pPr>
    </w:p>
    <w:p>
      <w:pPr>
        <w:spacing w:after="160" w:line="276"/>
      </w:pPr>
      <w:r>
        <w:rPr>
          <w:rFonts w:ascii="Calibri" w:cs="Calibri" w:eastAsia="Calibri" w:hAnsi="Calibri"/>
          <w:color w:val="2B2B2B"/>
          <w:sz w:val="21"/>
          <w:szCs w:val="21"/>
        </w:rPr>
        <w:t xml:space="preserve">To make the data analysis-ready, the following cleaning and transformation steps were applied to build the final Movies_Clean_Data table used by the Power BI model:</w:t>
      </w:r>
    </w:p>
    <w:p>
      <w:pPr>
        <w:pStyle w:val="ListParagraph"/>
        <w:numPr>
          <w:ilvl w:val="0"/>
          <w:numId w:val="2"/>
        </w:numPr>
        <w:spacing w:after="120" w:line="276"/>
      </w:pPr>
      <w:r>
        <w:rPr>
          <w:rFonts w:ascii="Calibri" w:cs="Calibri" w:eastAsia="Calibri" w:hAnsi="Calibri"/>
          <w:b/>
          <w:bCs/>
          <w:color w:val="27333D"/>
          <w:sz w:val="21"/>
          <w:szCs w:val="21"/>
        </w:rPr>
        <w:t xml:space="preserve">Denormalization: </w:t>
      </w:r>
      <w:r>
        <w:rPr>
          <w:rFonts w:ascii="Calibri" w:cs="Calibri" w:eastAsia="Calibri" w:hAnsi="Calibri"/>
          <w:color w:val="2B2B2B"/>
          <w:sz w:val="21"/>
          <w:szCs w:val="21"/>
        </w:rPr>
        <w:t xml:space="preserve">the six related tables were joined into a single flat fact table (Movies_Clean_Data, 4,919 rows × 25 columns) so that every movie carries its genre, director, cast, rating and financial fields on one row, removing the need for repeated lookups across tables.</w:t>
      </w:r>
    </w:p>
    <w:p>
      <w:pPr>
        <w:pStyle w:val="ListParagraph"/>
        <w:numPr>
          <w:ilvl w:val="0"/>
          <w:numId w:val="2"/>
        </w:numPr>
        <w:spacing w:after="120" w:line="276"/>
      </w:pPr>
      <w:r>
        <w:rPr>
          <w:rFonts w:ascii="Calibri" w:cs="Calibri" w:eastAsia="Calibri" w:hAnsi="Calibri"/>
          <w:b/>
          <w:bCs/>
          <w:color w:val="27333D"/>
          <w:sz w:val="21"/>
          <w:szCs w:val="21"/>
        </w:rPr>
        <w:t xml:space="preserve">Multi-genre handling: </w:t>
      </w:r>
      <w:r>
        <w:rPr>
          <w:rFonts w:ascii="Calibri" w:cs="Calibri" w:eastAsia="Calibri" w:hAnsi="Calibri"/>
          <w:color w:val="2B2B2B"/>
          <w:sz w:val="21"/>
          <w:szCs w:val="21"/>
        </w:rPr>
        <w:t xml:space="preserve">since a movie can carry several genres, a Primary Genre column was derived to assign one leading genre per title for clean bar/column-level aggregation, while an All Genres column retains the full pipe-separated genre list for reference.</w:t>
      </w:r>
    </w:p>
    <w:p>
      <w:pPr>
        <w:pStyle w:val="ListParagraph"/>
        <w:numPr>
          <w:ilvl w:val="0"/>
          <w:numId w:val="2"/>
        </w:numPr>
        <w:spacing w:after="120" w:line="276"/>
      </w:pPr>
      <w:r>
        <w:rPr>
          <w:rFonts w:ascii="Calibri" w:cs="Calibri" w:eastAsia="Calibri" w:hAnsi="Calibri"/>
          <w:b/>
          <w:bCs/>
          <w:color w:val="27333D"/>
          <w:sz w:val="21"/>
          <w:szCs w:val="21"/>
        </w:rPr>
        <w:t xml:space="preserve">Missing value standardization: </w:t>
      </w:r>
      <w:r>
        <w:rPr>
          <w:rFonts w:ascii="Calibri" w:cs="Calibri" w:eastAsia="Calibri" w:hAnsi="Calibri"/>
          <w:color w:val="2B2B2B"/>
          <w:sz w:val="21"/>
          <w:szCs w:val="21"/>
        </w:rPr>
        <w:t xml:space="preserve">blank or unavailable text fields (e.g. Release Year, Decade, Language, Country) were explicitly re-coded as “Unknown” rather than left blank, so that every row remains usable in visuals and slicers instead of silently disappearing from aggregations.</w:t>
      </w:r>
    </w:p>
    <w:p>
      <w:pPr>
        <w:pStyle w:val="ListParagraph"/>
        <w:numPr>
          <w:ilvl w:val="0"/>
          <w:numId w:val="2"/>
        </w:numPr>
        <w:spacing w:after="120" w:line="276"/>
      </w:pPr>
      <w:r>
        <w:rPr>
          <w:rFonts w:ascii="Calibri" w:cs="Calibri" w:eastAsia="Calibri" w:hAnsi="Calibri"/>
          <w:b/>
          <w:bCs/>
          <w:color w:val="27333D"/>
          <w:sz w:val="21"/>
          <w:szCs w:val="21"/>
        </w:rPr>
        <w:t xml:space="preserve">Financial data flagging: </w:t>
      </w:r>
      <w:r>
        <w:rPr>
          <w:rFonts w:ascii="Calibri" w:cs="Calibri" w:eastAsia="Calibri" w:hAnsi="Calibri"/>
          <w:color w:val="2B2B2B"/>
          <w:sz w:val="21"/>
          <w:szCs w:val="21"/>
        </w:rPr>
        <w:t xml:space="preserve">because Box Office Gross, Production Budget, Net Profit and ROI are missing for a meaningful share of titles (roughly 23% of rows lack budget data and 17% lack gross-revenue data), a Financial Data Available flag (Yes/No) was engineered so that financial visuals can filter to only the ~3,790 titles with reliable monetary data, avoiding misleading averages.</w:t>
      </w:r>
    </w:p>
    <w:p>
      <w:pPr>
        <w:pStyle w:val="ListParagraph"/>
        <w:numPr>
          <w:ilvl w:val="0"/>
          <w:numId w:val="2"/>
        </w:numPr>
        <w:spacing w:after="120" w:line="276"/>
      </w:pPr>
      <w:r>
        <w:rPr>
          <w:rFonts w:ascii="Calibri" w:cs="Calibri" w:eastAsia="Calibri" w:hAnsi="Calibri"/>
          <w:b/>
          <w:bCs/>
          <w:color w:val="27333D"/>
          <w:sz w:val="21"/>
          <w:szCs w:val="21"/>
        </w:rPr>
        <w:t xml:space="preserve">Derived financial metrics: </w:t>
      </w:r>
      <w:r>
        <w:rPr>
          <w:rFonts w:ascii="Calibri" w:cs="Calibri" w:eastAsia="Calibri" w:hAnsi="Calibri"/>
          <w:color w:val="2B2B2B"/>
          <w:sz w:val="21"/>
          <w:szCs w:val="21"/>
        </w:rPr>
        <w:t xml:space="preserve">Net Profit and ROI (%) were calculated from Box Office Gross and Production Budget rather than sourced directly, giving a consistent, formula-driven view of profitability.</w:t>
      </w:r>
    </w:p>
    <w:p>
      <w:pPr>
        <w:pStyle w:val="ListParagraph"/>
        <w:numPr>
          <w:ilvl w:val="0"/>
          <w:numId w:val="2"/>
        </w:numPr>
        <w:spacing w:after="120" w:line="276"/>
      </w:pPr>
      <w:r>
        <w:rPr>
          <w:rFonts w:ascii="Calibri" w:cs="Calibri" w:eastAsia="Calibri" w:hAnsi="Calibri"/>
          <w:b/>
          <w:bCs/>
          <w:color w:val="27333D"/>
          <w:sz w:val="21"/>
          <w:szCs w:val="21"/>
        </w:rPr>
        <w:t xml:space="preserve">Feature engineering for analysis: </w:t>
      </w:r>
      <w:r>
        <w:rPr>
          <w:rFonts w:ascii="Calibri" w:cs="Calibri" w:eastAsia="Calibri" w:hAnsi="Calibri"/>
          <w:color w:val="2B2B2B"/>
          <w:sz w:val="21"/>
          <w:szCs w:val="21"/>
        </w:rPr>
        <w:t xml:space="preserve">several analytical columns were added on top of the raw fields to make dashboard filtering and storytelling easier — Decade (grouping Release Year into 10-year bands), Rating Tier (a four-band classification of IMDb Rating: Masterpiece 8.0+, Great 7.0–7.9, Good 6.0–6.9, Average/Below &lt;6.0), and Popularity Flag (Popular vs. Niche based on a 10,000-vote threshold).</w:t>
      </w:r>
    </w:p>
    <w:p>
      <w:pPr>
        <w:pStyle w:val="ListParagraph"/>
        <w:numPr>
          <w:ilvl w:val="0"/>
          <w:numId w:val="2"/>
        </w:numPr>
        <w:spacing w:after="120" w:line="276"/>
      </w:pPr>
      <w:r>
        <w:rPr>
          <w:rFonts w:ascii="Calibri" w:cs="Calibri" w:eastAsia="Calibri" w:hAnsi="Calibri"/>
          <w:b/>
          <w:bCs/>
          <w:color w:val="27333D"/>
          <w:sz w:val="21"/>
          <w:szCs w:val="21"/>
        </w:rPr>
        <w:t xml:space="preserve">Duplicate and consistency checks: </w:t>
      </w:r>
      <w:r>
        <w:rPr>
          <w:rFonts w:ascii="Calibri" w:cs="Calibri" w:eastAsia="Calibri" w:hAnsi="Calibri"/>
          <w:color w:val="2B2B2B"/>
          <w:sz w:val="21"/>
          <w:szCs w:val="21"/>
        </w:rPr>
        <w:t xml:space="preserve">Movie ID was confirmed unique across all 4,919 rows; title, cast, and crew fields were standardized in naming for consistent grouping in visuals.</w:t>
      </w:r>
    </w:p>
    <w:p>
      <w:pPr>
        <w:pStyle w:val="ListParagraph"/>
        <w:numPr>
          <w:ilvl w:val="0"/>
          <w:numId w:val="2"/>
        </w:numPr>
        <w:spacing w:after="120" w:line="276"/>
      </w:pPr>
      <w:r>
        <w:rPr>
          <w:rFonts w:ascii="Calibri" w:cs="Calibri" w:eastAsia="Calibri" w:hAnsi="Calibri"/>
          <w:b/>
          <w:bCs/>
          <w:color w:val="27333D"/>
          <w:sz w:val="21"/>
          <w:szCs w:val="21"/>
        </w:rPr>
        <w:t xml:space="preserve">Currency and numeric formatting: </w:t>
      </w:r>
      <w:r>
        <w:rPr>
          <w:rFonts w:ascii="Calibri" w:cs="Calibri" w:eastAsia="Calibri" w:hAnsi="Calibri"/>
          <w:color w:val="2B2B2B"/>
          <w:sz w:val="21"/>
          <w:szCs w:val="21"/>
        </w:rPr>
        <w:t xml:space="preserve">Box Office Gross, Production Budget and Net Profit were standardized to millions ($M) for readability across cards and charts.</w:t>
      </w:r>
    </w:p>
    <w:p>
      <w:pPr>
        <w:pStyle w:val="Heading1"/>
        <w:pBdr>
          <w:bottom w:val="single" w:color="B5651D" w:sz="8" w:space="6"/>
        </w:pBdr>
        <w:spacing w:after="200" w:before="420"/>
      </w:pPr>
      <w:r>
        <w:rPr>
          <w:rFonts w:ascii="Cambria" w:cs="Cambria" w:eastAsia="Cambria" w:hAnsi="Cambria"/>
          <w:b/>
          <w:bCs/>
          <w:color w:val="B5651D"/>
          <w:sz w:val="30"/>
          <w:szCs w:val="30"/>
        </w:rPr>
        <w:t xml:space="preserve">3.  </w:t>
      </w:r>
      <w:r>
        <w:rPr>
          <w:rFonts w:ascii="Cambria" w:cs="Cambria" w:eastAsia="Cambria" w:hAnsi="Cambria"/>
          <w:b/>
          <w:bCs/>
          <w:color w:val="27333D"/>
          <w:sz w:val="30"/>
          <w:szCs w:val="30"/>
        </w:rPr>
        <w:t xml:space="preserve">Dashboard and Visualization Walkthrough</w:t>
      </w:r>
    </w:p>
    <w:p>
      <w:pPr>
        <w:spacing w:after="160" w:line="276"/>
      </w:pPr>
      <w:r>
        <w:rPr>
          <w:rFonts w:ascii="Calibri" w:cs="Calibri" w:eastAsia="Calibri" w:hAnsi="Calibri"/>
          <w:color w:val="2B2B2B"/>
          <w:sz w:val="21"/>
          <w:szCs w:val="21"/>
        </w:rPr>
        <w:t xml:space="preserve">The Power BI report is organized into two pages, each aimed at a different layer of the analysis: Page 1 gives a financial and trend-based overview of the movie catalogue, and Page 2 focuses on ratings, popularity, and talent performance.</w:t>
      </w:r>
    </w:p>
    <w:p>
      <w:pPr>
        <w:pStyle w:val="Heading2"/>
        <w:spacing w:after="140" w:before="300"/>
      </w:pPr>
      <w:r>
        <w:rPr>
          <w:rFonts w:ascii="Cambria" w:cs="Cambria" w:eastAsia="Cambria" w:hAnsi="Cambria"/>
          <w:b/>
          <w:bCs/>
          <w:color w:val="B5651D"/>
          <w:sz w:val="24"/>
          <w:szCs w:val="24"/>
        </w:rPr>
        <w:t xml:space="preserve">3.1  </w:t>
      </w:r>
      <w:r>
        <w:rPr>
          <w:rFonts w:ascii="Cambria" w:cs="Cambria" w:eastAsia="Cambria" w:hAnsi="Cambria"/>
          <w:b/>
          <w:bCs/>
          <w:color w:val="3E4C59"/>
          <w:sz w:val="24"/>
          <w:szCs w:val="24"/>
        </w:rPr>
        <w:t xml:space="preserve">Page 1 — Financial &amp; Trend Overview</w:t>
      </w:r>
    </w:p>
    <w:p>
      <w:pPr>
        <w:spacing w:after="160" w:line="276"/>
      </w:pPr>
      <w:r>
        <w:rPr>
          <w:rFonts w:ascii="Calibri" w:cs="Calibri" w:eastAsia="Calibri" w:hAnsi="Calibri"/>
          <w:color w:val="2B2B2B"/>
          <w:sz w:val="21"/>
          <w:szCs w:val="21"/>
        </w:rPr>
        <w:t xml:space="preserve">Filters (slicers) available on this page: Decade, Content Rating, Primary Genre, and Financial Data Available — allowing the viewer to narrow the entire page to a specific era, certification, or genre, or to restrict analysis to movies with verified financial data.</w:t>
      </w:r>
    </w:p>
    <w:p>
      <w:pPr>
        <w:spacing w:after="160" w:line="276"/>
      </w:pPr>
      <w:r>
        <w:rPr>
          <w:rFonts w:ascii="Calibri" w:cs="Calibri" w:eastAsia="Calibri" w:hAnsi="Calibri"/>
          <w:color w:val="2B2B2B"/>
          <w:sz w:val="21"/>
          <w:szCs w:val="21"/>
        </w:rPr>
        <w:t xml:space="preserve">KPI cards at the top of the page surface headline numbers at a glance:</w:t>
      </w:r>
    </w:p>
    <w:p>
      <w:pPr>
        <w:pStyle w:val="ListParagraph"/>
        <w:numPr>
          <w:ilvl w:val="0"/>
          <w:numId w:val="2"/>
        </w:numPr>
        <w:spacing w:after="120" w:line="276"/>
      </w:pPr>
      <w:r>
        <w:rPr>
          <w:rFonts w:ascii="Calibri" w:cs="Calibri" w:eastAsia="Calibri" w:hAnsi="Calibri"/>
          <w:b/>
          <w:bCs/>
          <w:color w:val="27333D"/>
          <w:sz w:val="21"/>
          <w:szCs w:val="21"/>
        </w:rPr>
        <w:t xml:space="preserve">Total Movies — </w:t>
      </w:r>
      <w:r>
        <w:rPr>
          <w:rFonts w:ascii="Calibri" w:cs="Calibri" w:eastAsia="Calibri" w:hAnsi="Calibri"/>
          <w:color w:val="2B2B2B"/>
          <w:sz w:val="21"/>
          <w:szCs w:val="21"/>
        </w:rPr>
        <w:t xml:space="preserve">count of titles in the current filter context.</w:t>
      </w:r>
    </w:p>
    <w:p>
      <w:pPr>
        <w:pStyle w:val="ListParagraph"/>
        <w:numPr>
          <w:ilvl w:val="0"/>
          <w:numId w:val="2"/>
        </w:numPr>
        <w:spacing w:after="120" w:line="276"/>
      </w:pPr>
      <w:r>
        <w:rPr>
          <w:rFonts w:ascii="Calibri" w:cs="Calibri" w:eastAsia="Calibri" w:hAnsi="Calibri"/>
          <w:b/>
          <w:bCs/>
          <w:color w:val="27333D"/>
          <w:sz w:val="21"/>
          <w:szCs w:val="21"/>
        </w:rPr>
        <w:t xml:space="preserve">Avg IMDb Rating — </w:t>
      </w:r>
      <w:r>
        <w:rPr>
          <w:rFonts w:ascii="Calibri" w:cs="Calibri" w:eastAsia="Calibri" w:hAnsi="Calibri"/>
          <w:color w:val="2B2B2B"/>
          <w:sz w:val="21"/>
          <w:szCs w:val="21"/>
        </w:rPr>
        <w:t xml:space="preserve">average critical/audience rating across the filtered titles.</w:t>
      </w:r>
    </w:p>
    <w:p>
      <w:pPr>
        <w:pStyle w:val="ListParagraph"/>
        <w:numPr>
          <w:ilvl w:val="0"/>
          <w:numId w:val="2"/>
        </w:numPr>
        <w:spacing w:after="120" w:line="276"/>
      </w:pPr>
      <w:r>
        <w:rPr>
          <w:rFonts w:ascii="Calibri" w:cs="Calibri" w:eastAsia="Calibri" w:hAnsi="Calibri"/>
          <w:b/>
          <w:bCs/>
          <w:color w:val="27333D"/>
          <w:sz w:val="21"/>
          <w:szCs w:val="21"/>
        </w:rPr>
        <w:t xml:space="preserve">Total Box Office ($M) — </w:t>
      </w:r>
      <w:r>
        <w:rPr>
          <w:rFonts w:ascii="Calibri" w:cs="Calibri" w:eastAsia="Calibri" w:hAnsi="Calibri"/>
          <w:color w:val="2B2B2B"/>
          <w:sz w:val="21"/>
          <w:szCs w:val="21"/>
        </w:rPr>
        <w:t xml:space="preserve">aggregate worldwide gross revenue.</w:t>
      </w:r>
    </w:p>
    <w:p>
      <w:pPr>
        <w:pStyle w:val="ListParagraph"/>
        <w:numPr>
          <w:ilvl w:val="0"/>
          <w:numId w:val="2"/>
        </w:numPr>
        <w:spacing w:after="120" w:line="276"/>
      </w:pPr>
      <w:r>
        <w:rPr>
          <w:rFonts w:ascii="Calibri" w:cs="Calibri" w:eastAsia="Calibri" w:hAnsi="Calibri"/>
          <w:b/>
          <w:bCs/>
          <w:color w:val="27333D"/>
          <w:sz w:val="21"/>
          <w:szCs w:val="21"/>
        </w:rPr>
        <w:t xml:space="preserve">Net Profit ($M) — </w:t>
      </w:r>
      <w:r>
        <w:rPr>
          <w:rFonts w:ascii="Calibri" w:cs="Calibri" w:eastAsia="Calibri" w:hAnsi="Calibri"/>
          <w:color w:val="2B2B2B"/>
          <w:sz w:val="21"/>
          <w:szCs w:val="21"/>
        </w:rPr>
        <w:t xml:space="preserve">aggregate profit (gross revenue less production budget).</w:t>
      </w:r>
    </w:p>
    <w:p>
      <w:pPr>
        <w:pStyle w:val="ListParagraph"/>
        <w:numPr>
          <w:ilvl w:val="0"/>
          <w:numId w:val="2"/>
        </w:numPr>
        <w:spacing w:after="120" w:line="276"/>
      </w:pPr>
      <w:r>
        <w:rPr>
          <w:rFonts w:ascii="Calibri" w:cs="Calibri" w:eastAsia="Calibri" w:hAnsi="Calibri"/>
          <w:b/>
          <w:bCs/>
          <w:color w:val="27333D"/>
          <w:sz w:val="21"/>
          <w:szCs w:val="21"/>
        </w:rPr>
        <w:t xml:space="preserve">Blockbusters Count — </w:t>
      </w:r>
      <w:r>
        <w:rPr>
          <w:rFonts w:ascii="Calibri" w:cs="Calibri" w:eastAsia="Calibri" w:hAnsi="Calibri"/>
          <w:color w:val="2B2B2B"/>
          <w:sz w:val="21"/>
          <w:szCs w:val="21"/>
        </w:rPr>
        <w:t xml:space="preserve">count of high-performing titles meeting the dashboard's blockbuster threshold.</w:t>
      </w:r>
    </w:p>
    <w:p>
      <w:pPr>
        <w:spacing w:after="160" w:line="276"/>
      </w:pPr>
      <w:r>
        <w:rPr>
          <w:rFonts w:ascii="Calibri" w:cs="Calibri" w:eastAsia="Calibri" w:hAnsi="Calibri"/>
          <w:color w:val="2B2B2B"/>
          <w:sz w:val="21"/>
          <w:szCs w:val="21"/>
        </w:rPr>
        <w:t xml:space="preserve">Below the cards, three visuals tell the financial story:</w:t>
      </w:r>
    </w:p>
    <w:p>
      <w:pPr>
        <w:pStyle w:val="ListParagraph"/>
        <w:numPr>
          <w:ilvl w:val="0"/>
          <w:numId w:val="2"/>
        </w:numPr>
        <w:spacing w:after="120" w:line="276"/>
      </w:pPr>
      <w:r>
        <w:rPr>
          <w:rFonts w:ascii="Calibri" w:cs="Calibri" w:eastAsia="Calibri" w:hAnsi="Calibri"/>
          <w:b/>
          <w:bCs/>
          <w:color w:val="27333D"/>
          <w:sz w:val="21"/>
          <w:szCs w:val="21"/>
        </w:rPr>
        <w:t xml:space="preserve">“Box Office Revenue vs. Average IMDb Rating by Genre” (line-and-clustered-column combo chart) — </w:t>
      </w:r>
      <w:r>
        <w:rPr>
          <w:rFonts w:ascii="Calibri" w:cs="Calibri" w:eastAsia="Calibri" w:hAnsi="Calibri"/>
          <w:color w:val="2B2B2B"/>
          <w:sz w:val="21"/>
          <w:szCs w:val="21"/>
        </w:rPr>
        <w:t xml:space="preserve">plots Total Box Office ($M) as columns and Avg IMDb Rating as an overlaid line, broken out by Primary Genre. This is the key chart for answering “which genres make the most money, and are the highest earners also the best-rated?” — letting the team distinguish crowd-pleasing blockbuster genres from critically stronger but lower-grossing ones.</w:t>
      </w:r>
    </w:p>
    <w:p>
      <w:pPr>
        <w:pStyle w:val="ListParagraph"/>
        <w:numPr>
          <w:ilvl w:val="0"/>
          <w:numId w:val="2"/>
        </w:numPr>
        <w:spacing w:after="120" w:line="276"/>
      </w:pPr>
      <w:r>
        <w:rPr>
          <w:rFonts w:ascii="Calibri" w:cs="Calibri" w:eastAsia="Calibri" w:hAnsi="Calibri"/>
          <w:b/>
          <w:bCs/>
          <w:color w:val="27333D"/>
          <w:sz w:val="21"/>
          <w:szCs w:val="21"/>
        </w:rPr>
        <w:t xml:space="preserve">“Production Budget vs. Box Office Gross (Risk vs. Reward)” (scatter chart) — </w:t>
      </w:r>
      <w:r>
        <w:rPr>
          <w:rFonts w:ascii="Calibri" w:cs="Calibri" w:eastAsia="Calibri" w:hAnsi="Calibri"/>
          <w:color w:val="2B2B2B"/>
          <w:sz w:val="21"/>
          <w:szCs w:val="21"/>
        </w:rPr>
        <w:t xml:space="preserve">plots every movie by Production Budget on one axis against Box Office Gross on the other, colored/sized by Rating Tier and the count of votes, with Movie ID identifying each point. This chart is the project's risk/reward lens: movies above the diagonal earned back more than they spent (reward), while movies clustered near or below it represent higher financial risk for a given budget level.</w:t>
      </w:r>
    </w:p>
    <w:p>
      <w:pPr>
        <w:pStyle w:val="ListParagraph"/>
        <w:numPr>
          <w:ilvl w:val="0"/>
          <w:numId w:val="2"/>
        </w:numPr>
        <w:spacing w:after="120" w:line="276"/>
      </w:pPr>
      <w:r>
        <w:rPr>
          <w:rFonts w:ascii="Calibri" w:cs="Calibri" w:eastAsia="Calibri" w:hAnsi="Calibri"/>
          <w:b/>
          <w:bCs/>
          <w:color w:val="27333D"/>
          <w:sz w:val="21"/>
          <w:szCs w:val="21"/>
        </w:rPr>
        <w:t xml:space="preserve">“Movie Releases &amp; Box Office Trends by Decade” (area chart) — </w:t>
      </w:r>
      <w:r>
        <w:rPr>
          <w:rFonts w:ascii="Calibri" w:cs="Calibri" w:eastAsia="Calibri" w:hAnsi="Calibri"/>
          <w:color w:val="2B2B2B"/>
          <w:sz w:val="21"/>
          <w:szCs w:val="21"/>
        </w:rPr>
        <w:t xml:space="preserve">tracks Total Movies produced and Total Box Office ($M) across each Decade, showing how both the volume of releases and aggregate box office performance have evolved over time, and highlighting which eras were most prolific and most profitable.</w:t>
      </w:r>
    </w:p>
    <w:p>
      <w:pPr>
        <w:pStyle w:val="Heading2"/>
        <w:spacing w:after="140" w:before="300"/>
      </w:pPr>
      <w:r>
        <w:rPr>
          <w:rFonts w:ascii="Cambria" w:cs="Cambria" w:eastAsia="Cambria" w:hAnsi="Cambria"/>
          <w:b/>
          <w:bCs/>
          <w:color w:val="B5651D"/>
          <w:sz w:val="24"/>
          <w:szCs w:val="24"/>
        </w:rPr>
        <w:t xml:space="preserve">3.2  </w:t>
      </w:r>
      <w:r>
        <w:rPr>
          <w:rFonts w:ascii="Cambria" w:cs="Cambria" w:eastAsia="Cambria" w:hAnsi="Cambria"/>
          <w:b/>
          <w:bCs/>
          <w:color w:val="3E4C59"/>
          <w:sz w:val="24"/>
          <w:szCs w:val="24"/>
        </w:rPr>
        <w:t xml:space="preserve">Page 2 — Ratings, Popularity &amp; Talent</w:t>
      </w:r>
    </w:p>
    <w:p>
      <w:pPr>
        <w:spacing w:after="160" w:line="276"/>
      </w:pPr>
      <w:r>
        <w:rPr>
          <w:rFonts w:ascii="Calibri" w:cs="Calibri" w:eastAsia="Calibri" w:hAnsi="Calibri"/>
          <w:color w:val="2B2B2B"/>
          <w:sz w:val="21"/>
          <w:szCs w:val="21"/>
        </w:rPr>
        <w:t xml:space="preserve">This page filters by Popularity Flag (Popular vs. Niche) and centers on rating quality, audience engagement, and talent leaderboards.</w:t>
      </w:r>
    </w:p>
    <w:p>
      <w:pPr>
        <w:spacing w:after="160" w:line="276"/>
      </w:pPr>
      <w:r>
        <w:rPr>
          <w:rFonts w:ascii="Calibri" w:cs="Calibri" w:eastAsia="Calibri" w:hAnsi="Calibri"/>
          <w:color w:val="2B2B2B"/>
          <w:sz w:val="21"/>
          <w:szCs w:val="21"/>
        </w:rPr>
        <w:t xml:space="preserve">KPI cards on this page:</w:t>
      </w:r>
    </w:p>
    <w:p>
      <w:pPr>
        <w:pStyle w:val="ListParagraph"/>
        <w:numPr>
          <w:ilvl w:val="0"/>
          <w:numId w:val="2"/>
        </w:numPr>
        <w:spacing w:after="120" w:line="276"/>
      </w:pPr>
      <w:r>
        <w:rPr>
          <w:rFonts w:ascii="Calibri" w:cs="Calibri" w:eastAsia="Calibri" w:hAnsi="Calibri"/>
          <w:b/>
          <w:bCs/>
          <w:color w:val="27333D"/>
          <w:sz w:val="21"/>
          <w:szCs w:val="21"/>
        </w:rPr>
        <w:t xml:space="preserve">Avg IMDb Rating — </w:t>
      </w:r>
      <w:r>
        <w:rPr>
          <w:rFonts w:ascii="Calibri" w:cs="Calibri" w:eastAsia="Calibri" w:hAnsi="Calibri"/>
          <w:color w:val="2B2B2B"/>
          <w:sz w:val="21"/>
          <w:szCs w:val="21"/>
        </w:rPr>
        <w:t xml:space="preserve">average rating within the current filter.</w:t>
      </w:r>
    </w:p>
    <w:p>
      <w:pPr>
        <w:pStyle w:val="ListParagraph"/>
        <w:numPr>
          <w:ilvl w:val="0"/>
          <w:numId w:val="2"/>
        </w:numPr>
        <w:spacing w:after="120" w:line="276"/>
      </w:pPr>
      <w:r>
        <w:rPr>
          <w:rFonts w:ascii="Calibri" w:cs="Calibri" w:eastAsia="Calibri" w:hAnsi="Calibri"/>
          <w:b/>
          <w:bCs/>
          <w:color w:val="27333D"/>
          <w:sz w:val="21"/>
          <w:szCs w:val="21"/>
        </w:rPr>
        <w:t xml:space="preserve">Masterpiece Movies Count — </w:t>
      </w:r>
      <w:r>
        <w:rPr>
          <w:rFonts w:ascii="Calibri" w:cs="Calibri" w:eastAsia="Calibri" w:hAnsi="Calibri"/>
          <w:color w:val="2B2B2B"/>
          <w:sz w:val="21"/>
          <w:szCs w:val="21"/>
        </w:rPr>
        <w:t xml:space="preserve">count of titles rated 8.0 or above (the top Rating Tier).</w:t>
      </w:r>
    </w:p>
    <w:p>
      <w:pPr>
        <w:pStyle w:val="ListParagraph"/>
        <w:numPr>
          <w:ilvl w:val="0"/>
          <w:numId w:val="2"/>
        </w:numPr>
        <w:spacing w:after="120" w:line="276"/>
      </w:pPr>
      <w:r>
        <w:rPr>
          <w:rFonts w:ascii="Calibri" w:cs="Calibri" w:eastAsia="Calibri" w:hAnsi="Calibri"/>
          <w:b/>
          <w:bCs/>
          <w:color w:val="27333D"/>
          <w:sz w:val="21"/>
          <w:szCs w:val="21"/>
        </w:rPr>
        <w:t xml:space="preserve">Total Votes — </w:t>
      </w:r>
      <w:r>
        <w:rPr>
          <w:rFonts w:ascii="Calibri" w:cs="Calibri" w:eastAsia="Calibri" w:hAnsi="Calibri"/>
          <w:color w:val="2B2B2B"/>
          <w:sz w:val="21"/>
          <w:szCs w:val="21"/>
        </w:rPr>
        <w:t xml:space="preserve">aggregate audience vote volume, a proxy for reach/popularity.</w:t>
      </w:r>
    </w:p>
    <w:p>
      <w:pPr>
        <w:pStyle w:val="ListParagraph"/>
        <w:numPr>
          <w:ilvl w:val="0"/>
          <w:numId w:val="2"/>
        </w:numPr>
        <w:spacing w:after="120" w:line="276"/>
      </w:pPr>
      <w:r>
        <w:rPr>
          <w:rFonts w:ascii="Calibri" w:cs="Calibri" w:eastAsia="Calibri" w:hAnsi="Calibri"/>
          <w:b/>
          <w:bCs/>
          <w:color w:val="27333D"/>
          <w:sz w:val="21"/>
          <w:szCs w:val="21"/>
        </w:rPr>
        <w:t xml:space="preserve">Blockbusters Count — </w:t>
      </w:r>
      <w:r>
        <w:rPr>
          <w:rFonts w:ascii="Calibri" w:cs="Calibri" w:eastAsia="Calibri" w:hAnsi="Calibri"/>
          <w:color w:val="2B2B2B"/>
          <w:sz w:val="21"/>
          <w:szCs w:val="21"/>
        </w:rPr>
        <w:t xml:space="preserve">repeated here for cross-reference with the ratings-and-popularity view.</w:t>
      </w:r>
    </w:p>
    <w:p>
      <w:pPr>
        <w:spacing w:after="160" w:line="276"/>
      </w:pPr>
      <w:r>
        <w:rPr>
          <w:rFonts w:ascii="Calibri" w:cs="Calibri" w:eastAsia="Calibri" w:hAnsi="Calibri"/>
          <w:color w:val="2B2B2B"/>
          <w:sz w:val="21"/>
          <w:szCs w:val="21"/>
        </w:rPr>
        <w:t xml:space="preserve">Supporting visuals:</w:t>
      </w:r>
    </w:p>
    <w:p>
      <w:pPr>
        <w:pStyle w:val="ListParagraph"/>
        <w:numPr>
          <w:ilvl w:val="0"/>
          <w:numId w:val="2"/>
        </w:numPr>
        <w:spacing w:after="120" w:line="276"/>
      </w:pPr>
      <w:r>
        <w:rPr>
          <w:rFonts w:ascii="Calibri" w:cs="Calibri" w:eastAsia="Calibri" w:hAnsi="Calibri"/>
          <w:b/>
          <w:bCs/>
          <w:color w:val="27333D"/>
          <w:sz w:val="21"/>
          <w:szCs w:val="21"/>
        </w:rPr>
        <w:t xml:space="preserve">Total Movies by IMDb Rating (clustered column chart) — </w:t>
      </w:r>
      <w:r>
        <w:rPr>
          <w:rFonts w:ascii="Calibri" w:cs="Calibri" w:eastAsia="Calibri" w:hAnsi="Calibri"/>
          <w:color w:val="2B2B2B"/>
          <w:sz w:val="21"/>
          <w:szCs w:val="21"/>
        </w:rPr>
        <w:t xml:space="preserve">shows the distribution/spread of ratings across the catalogue, revealing whether most titles cluster around average scores or spread toward the extremes.</w:t>
      </w:r>
    </w:p>
    <w:p>
      <w:pPr>
        <w:pStyle w:val="ListParagraph"/>
        <w:numPr>
          <w:ilvl w:val="0"/>
          <w:numId w:val="2"/>
        </w:numPr>
        <w:spacing w:after="120" w:line="276"/>
      </w:pPr>
      <w:r>
        <w:rPr>
          <w:rFonts w:ascii="Calibri" w:cs="Calibri" w:eastAsia="Calibri" w:hAnsi="Calibri"/>
          <w:b/>
          <w:bCs/>
          <w:color w:val="27333D"/>
          <w:sz w:val="21"/>
          <w:szCs w:val="21"/>
        </w:rPr>
        <w:t xml:space="preserve">Total Movies by Rating Tier (donut chart) — </w:t>
      </w:r>
      <w:r>
        <w:rPr>
          <w:rFonts w:ascii="Calibri" w:cs="Calibri" w:eastAsia="Calibri" w:hAnsi="Calibri"/>
          <w:color w:val="2B2B2B"/>
          <w:sz w:val="21"/>
          <w:szCs w:val="21"/>
        </w:rPr>
        <w:t xml:space="preserve">gives an at-a-glance share of Masterpiece, Great, Good, and Average/Below titles, making it easy to see what proportion of the catalogue is truly top-tier.</w:t>
      </w:r>
    </w:p>
    <w:p>
      <w:pPr>
        <w:pStyle w:val="ListParagraph"/>
        <w:numPr>
          <w:ilvl w:val="0"/>
          <w:numId w:val="2"/>
        </w:numPr>
        <w:spacing w:after="120" w:line="276"/>
      </w:pPr>
      <w:r>
        <w:rPr>
          <w:rFonts w:ascii="Calibri" w:cs="Calibri" w:eastAsia="Calibri" w:hAnsi="Calibri"/>
          <w:b/>
          <w:bCs/>
          <w:color w:val="27333D"/>
          <w:sz w:val="21"/>
          <w:szCs w:val="21"/>
        </w:rPr>
        <w:t xml:space="preserve">“Top 10 Directors Leaderboard” (clustered bar chart) — </w:t>
      </w:r>
      <w:r>
        <w:rPr>
          <w:rFonts w:ascii="Calibri" w:cs="Calibri" w:eastAsia="Calibri" w:hAnsi="Calibri"/>
          <w:color w:val="2B2B2B"/>
          <w:sz w:val="21"/>
          <w:szCs w:val="21"/>
        </w:rPr>
        <w:t xml:space="preserve">ranks directors by Avg IMDb Rating, surfacing the strongest-performing directors by critical/audience reception rather than volume of output.</w:t>
      </w:r>
    </w:p>
    <w:p>
      <w:pPr>
        <w:pStyle w:val="ListParagraph"/>
        <w:numPr>
          <w:ilvl w:val="0"/>
          <w:numId w:val="2"/>
        </w:numPr>
        <w:spacing w:after="120" w:line="276"/>
      </w:pPr>
      <w:r>
        <w:rPr>
          <w:rFonts w:ascii="Calibri" w:cs="Calibri" w:eastAsia="Calibri" w:hAnsi="Calibri"/>
          <w:b/>
          <w:bCs/>
          <w:color w:val="27333D"/>
          <w:sz w:val="21"/>
          <w:szCs w:val="21"/>
        </w:rPr>
        <w:t xml:space="preserve">“Acclaimed Movies Matrix” (pivot table) — </w:t>
      </w:r>
      <w:r>
        <w:rPr>
          <w:rFonts w:ascii="Calibri" w:cs="Calibri" w:eastAsia="Calibri" w:hAnsi="Calibri"/>
          <w:color w:val="2B2B2B"/>
          <w:sz w:val="21"/>
          <w:szCs w:val="21"/>
        </w:rPr>
        <w:t xml:space="preserve">a detailed drill-down grid listing Movie Title, Release Year and Director alongside counts of IMDb Rating, Votes and Critic Reviews, giving analysts a row-level view behind the summary visuals for the most acclaimed titles.</w:t>
      </w:r>
    </w:p>
    <w:p>
      <w:pPr>
        <w:pStyle w:val="Heading1"/>
        <w:pBdr>
          <w:bottom w:val="single" w:color="B5651D" w:sz="8" w:space="6"/>
        </w:pBdr>
        <w:spacing w:after="200" w:before="420"/>
      </w:pPr>
      <w:r>
        <w:rPr>
          <w:rFonts w:ascii="Cambria" w:cs="Cambria" w:eastAsia="Cambria" w:hAnsi="Cambria"/>
          <w:b/>
          <w:bCs/>
          <w:color w:val="B5651D"/>
          <w:sz w:val="30"/>
          <w:szCs w:val="30"/>
        </w:rPr>
        <w:t xml:space="preserve">4.  </w:t>
      </w:r>
      <w:r>
        <w:rPr>
          <w:rFonts w:ascii="Cambria" w:cs="Cambria" w:eastAsia="Cambria" w:hAnsi="Cambria"/>
          <w:b/>
          <w:bCs/>
          <w:color w:val="27333D"/>
          <w:sz w:val="30"/>
          <w:szCs w:val="30"/>
        </w:rPr>
        <w:t xml:space="preserve">Key Columns in the Analytical Table (Movies_Clean_Data)</w:t>
      </w:r>
    </w:p>
    <w:p>
      <w:pPr>
        <w:spacing w:after="160" w:line="276"/>
      </w:pPr>
      <w:r>
        <w:rPr>
          <w:rFonts w:ascii="Calibri" w:cs="Calibri" w:eastAsia="Calibri" w:hAnsi="Calibri"/>
          <w:color w:val="2B2B2B"/>
          <w:sz w:val="21"/>
          <w:szCs w:val="21"/>
        </w:rPr>
        <w:t xml:space="preserve">The cleaned dataset behind the dashboard contains 4,919 movies and 25 columns. The most analytically important columns are grouped below by category.</w:t>
      </w:r>
    </w:p>
    <w:p>
      <w:pPr>
        <w:pStyle w:val="Heading2"/>
        <w:spacing w:after="140" w:before="300"/>
      </w:pPr>
      <w:r>
        <w:rPr>
          <w:rFonts w:ascii="Cambria" w:cs="Cambria" w:eastAsia="Cambria" w:hAnsi="Cambria"/>
          <w:b/>
          <w:bCs/>
          <w:color w:val="B5651D"/>
          <w:sz w:val="24"/>
          <w:szCs w:val="24"/>
        </w:rPr>
        <w:t xml:space="preserve">4.1  </w:t>
      </w:r>
      <w:r>
        <w:rPr>
          <w:rFonts w:ascii="Cambria" w:cs="Cambria" w:eastAsia="Cambria" w:hAnsi="Cambria"/>
          <w:b/>
          <w:bCs/>
          <w:color w:val="3E4C59"/>
          <w:sz w:val="24"/>
          <w:szCs w:val="24"/>
        </w:rPr>
        <w:t xml:space="preserve">Identification &amp;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Column</w:t>
            </w:r>
          </w:p>
        </w:tc>
        <w:tc>
          <w:tcPr>
            <w:tcW w:type="dxa" w:w="70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Description</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Movie ID</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Unique identifier for each title; confirmed unique with zero duplicates — the grain of the table.</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Movie Title</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Name of the film.</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Release Year / Decade</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Year of release, and its derived 10-year band (e.g. 2000s, 2010s) used for trend analysis.</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Primary Genre / All Genres</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Single leading genre used for clean grouping, plus the full multi-genre list for reference.</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Content Rating</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Certification such as PG-13, R, TV-MA, Unrated, etc.</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Language / Country</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Primary release language and country of production.</w:t>
            </w:r>
          </w:p>
        </w:tc>
      </w:tr>
    </w:tbl>
    <w:p>
      <w:pPr>
        <w:spacing w:after="240"/>
      </w:pPr>
    </w:p>
    <w:p>
      <w:pPr>
        <w:pStyle w:val="Heading2"/>
        <w:spacing w:after="140" w:before="300"/>
      </w:pPr>
      <w:r>
        <w:rPr>
          <w:rFonts w:ascii="Cambria" w:cs="Cambria" w:eastAsia="Cambria" w:hAnsi="Cambria"/>
          <w:b/>
          <w:bCs/>
          <w:color w:val="B5651D"/>
          <w:sz w:val="24"/>
          <w:szCs w:val="24"/>
        </w:rPr>
        <w:t xml:space="preserve">4.2  </w:t>
      </w:r>
      <w:r>
        <w:rPr>
          <w:rFonts w:ascii="Cambria" w:cs="Cambria" w:eastAsia="Cambria" w:hAnsi="Cambria"/>
          <w:b/>
          <w:bCs/>
          <w:color w:val="3E4C59"/>
          <w:sz w:val="24"/>
          <w:szCs w:val="24"/>
        </w:rPr>
        <w:t xml:space="preserve">Ratings &amp; Popularity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Column</w:t>
            </w:r>
          </w:p>
        </w:tc>
        <w:tc>
          <w:tcPr>
            <w:tcW w:type="dxa" w:w="70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Description</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IMDb Rating</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Numeric critic/audience rating (range observed: 1.6–9.5), the core quality metric.</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Rating Tier</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Derived 4-band classification of IMDb Rating: Masterpiece (8.0+), Great (7.0–7.9), Good (6.0–6.9), Average/Below (&lt;6.0).</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Votes</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Number of audience votes; feeds the Popularity Flag and the scatter/leaderboard visuals.</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Popularity Flag</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Derived Popular (10K+ votes) vs. Niche (&lt;10K votes) classification.</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Critic Reviews / User Reviews</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Count of critic and user reviews submitted, used as engagement measures in the Acclaimed Movies Matrix.</w:t>
            </w:r>
          </w:p>
        </w:tc>
      </w:tr>
    </w:tbl>
    <w:p>
      <w:pPr>
        <w:spacing w:after="240"/>
      </w:pPr>
    </w:p>
    <w:p>
      <w:pPr>
        <w:pStyle w:val="Heading2"/>
        <w:spacing w:after="140" w:before="300"/>
      </w:pPr>
      <w:r>
        <w:rPr>
          <w:rFonts w:ascii="Cambria" w:cs="Cambria" w:eastAsia="Cambria" w:hAnsi="Cambria"/>
          <w:b/>
          <w:bCs/>
          <w:color w:val="B5651D"/>
          <w:sz w:val="24"/>
          <w:szCs w:val="24"/>
        </w:rPr>
        <w:t xml:space="preserve">4.3  </w:t>
      </w:r>
      <w:r>
        <w:rPr>
          <w:rFonts w:ascii="Cambria" w:cs="Cambria" w:eastAsia="Cambria" w:hAnsi="Cambria"/>
          <w:b/>
          <w:bCs/>
          <w:color w:val="3E4C59"/>
          <w:sz w:val="24"/>
          <w:szCs w:val="24"/>
        </w:rPr>
        <w:t xml:space="preserve">Financials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Column</w:t>
            </w:r>
          </w:p>
        </w:tc>
        <w:tc>
          <w:tcPr>
            <w:tcW w:type="dxa" w:w="70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Description</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Box Office Gross</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Worldwide box office revenue, in millions; the most-missing raw field, present for ~83% of titles.</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Production Budget</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Reported production budget, in millions.</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Net Profit</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Derived: Box Office Gross minus Production Budget.</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ROI (%)</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Derived: Net Profit as a percentage of Production Budget — the key profitability-efficiency metric.</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Financial Data Available</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Yes/No flag marking whether a title has reliable budget and gross data, used to filter the financial visuals cleanly.</w:t>
            </w:r>
          </w:p>
        </w:tc>
      </w:tr>
    </w:tbl>
    <w:p>
      <w:pPr>
        <w:spacing w:after="240"/>
      </w:pPr>
    </w:p>
    <w:p>
      <w:pPr>
        <w:pStyle w:val="Heading2"/>
        <w:spacing w:after="140" w:before="300"/>
      </w:pPr>
      <w:r>
        <w:rPr>
          <w:rFonts w:ascii="Cambria" w:cs="Cambria" w:eastAsia="Cambria" w:hAnsi="Cambria"/>
          <w:b/>
          <w:bCs/>
          <w:color w:val="B5651D"/>
          <w:sz w:val="24"/>
          <w:szCs w:val="24"/>
        </w:rPr>
        <w:t xml:space="preserve">4.4  </w:t>
      </w:r>
      <w:r>
        <w:rPr>
          <w:rFonts w:ascii="Cambria" w:cs="Cambria" w:eastAsia="Cambria" w:hAnsi="Cambria"/>
          <w:b/>
          <w:bCs/>
          <w:color w:val="3E4C59"/>
          <w:sz w:val="24"/>
          <w:szCs w:val="24"/>
        </w:rPr>
        <w:t xml:space="preserve">Cast &amp; Crew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Column</w:t>
            </w:r>
          </w:p>
        </w:tc>
        <w:tc>
          <w:tcPr>
            <w:tcW w:type="dxa" w:w="70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Description</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Director</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Director of the film; feeds the Top 10 Directors Leaderboard.</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Lead Actor</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Principal billed actor.</w:t>
            </w:r>
          </w:p>
        </w:tc>
      </w:tr>
      <w:tr>
        <w:tc>
          <w:tcPr>
            <w:tcW w:type="dxa" w:w="30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Supporting Actor 1 / 2</w:t>
            </w:r>
          </w:p>
        </w:tc>
        <w:tc>
          <w:tcPr>
            <w:tcW w:type="dxa" w:w="70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Secondary billed cast members, enabling cast-based performance analysis.</w:t>
            </w:r>
          </w:p>
        </w:tc>
      </w:tr>
      <w:tr>
        <w:tc>
          <w:tcPr>
            <w:tcW w:type="dxa" w:w="30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Duration (Minutes)</w:t>
            </w:r>
          </w:p>
        </w:tc>
        <w:tc>
          <w:tcPr>
            <w:tcW w:type="dxa" w:w="70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color w:val="2B2B2B"/>
                <w:sz w:val="20"/>
                <w:szCs w:val="20"/>
              </w:rPr>
              <w:t xml:space="preserve">Runtime of the film, useful for genre-duration comparisons.</w:t>
            </w:r>
          </w:p>
        </w:tc>
      </w:tr>
    </w:tbl>
    <w:p>
      <w:pPr>
        <w:pStyle w:val="Heading1"/>
        <w:pBdr>
          <w:bottom w:val="single" w:color="B5651D" w:sz="8" w:space="6"/>
        </w:pBdr>
        <w:spacing w:after="200" w:before="420"/>
      </w:pPr>
      <w:r>
        <w:rPr>
          <w:rFonts w:ascii="Cambria" w:cs="Cambria" w:eastAsia="Cambria" w:hAnsi="Cambria"/>
          <w:b/>
          <w:bCs/>
          <w:color w:val="B5651D"/>
          <w:sz w:val="30"/>
          <w:szCs w:val="30"/>
        </w:rPr>
        <w:t xml:space="preserve">5.  </w:t>
      </w:r>
      <w:r>
        <w:rPr>
          <w:rFonts w:ascii="Cambria" w:cs="Cambria" w:eastAsia="Cambria" w:hAnsi="Cambria"/>
          <w:b/>
          <w:bCs/>
          <w:color w:val="27333D"/>
          <w:sz w:val="30"/>
          <w:szCs w:val="30"/>
        </w:rPr>
        <w:t xml:space="preserve">Verified Analytical Findings</w:t>
      </w:r>
    </w:p>
    <w:p>
      <w:pPr>
        <w:spacing w:after="160" w:line="276"/>
      </w:pPr>
      <w:r>
        <w:rPr>
          <w:rFonts w:ascii="Calibri" w:cs="Calibri" w:eastAsia="Calibri" w:hAnsi="Calibri"/>
          <w:color w:val="2B2B2B"/>
          <w:sz w:val="21"/>
          <w:szCs w:val="21"/>
        </w:rPr>
        <w:t xml:space="preserve">The figures below were recalculated directly from the Movies_Clean_Data table (4,919 rows) to confirm the headline numbers reported by the dashboard. Where a discrepancy was found against an earlier draft of this summary, the corrected, source-verified figure is used throughout.</w:t>
      </w:r>
    </w:p>
    <w:p>
      <w:pPr>
        <w:pStyle w:val="Heading2"/>
        <w:spacing w:after="140" w:before="300"/>
      </w:pPr>
      <w:r>
        <w:rPr>
          <w:rFonts w:ascii="Cambria" w:cs="Cambria" w:eastAsia="Cambria" w:hAnsi="Cambria"/>
          <w:b/>
          <w:bCs/>
          <w:color w:val="B5651D"/>
          <w:sz w:val="24"/>
          <w:szCs w:val="24"/>
        </w:rPr>
        <w:t xml:space="preserve">5.1  </w:t>
      </w:r>
      <w:r>
        <w:rPr>
          <w:rFonts w:ascii="Cambria" w:cs="Cambria" w:eastAsia="Cambria" w:hAnsi="Cambria"/>
          <w:b/>
          <w:bCs/>
          <w:color w:val="3E4C59"/>
          <w:sz w:val="24"/>
          <w:szCs w:val="24"/>
        </w:rPr>
        <w:t xml:space="preserve">Headline KPIs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0"/>
        <w:gridCol w:w="3480"/>
      </w:tblGrid>
      <w:tr>
        <w:trPr>
          <w:tblHeader/>
        </w:trPr>
        <w:tc>
          <w:tcPr>
            <w:tcW w:type="dxa" w:w="660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Metric</w:t>
            </w:r>
          </w:p>
        </w:tc>
        <w:tc>
          <w:tcPr>
            <w:tcW w:type="dxa" w:w="3480"/>
            <w:tcBorders>
              <w:top w:val="single" w:color="27333D" w:sz="4"/>
              <w:left w:val="single" w:color="27333D" w:sz="4"/>
              <w:bottom w:val="single" w:color="27333D" w:sz="4"/>
              <w:right w:val="single" w:color="27333D" w:sz="4"/>
            </w:tcBorders>
            <w:shd w:fill="27333D" w:color="auto" w:val="clear"/>
            <w:tcMar>
              <w:top w:type="dxa" w:w="100"/>
              <w:left w:type="dxa" w:w="140"/>
              <w:bottom w:type="dxa" w:w="100"/>
              <w:right w:type="dxa" w:w="140"/>
            </w:tcMar>
            <w:vAlign w:val="center"/>
          </w:tcPr>
          <w:p>
            <w:pPr>
              <w:spacing w:after="0"/>
            </w:pPr>
            <w:r>
              <w:rPr>
                <w:rFonts w:ascii="Cambria" w:cs="Cambria" w:eastAsia="Cambria" w:hAnsi="Cambria"/>
                <w:b/>
                <w:bCs/>
                <w:color w:val="FFFFFF"/>
                <w:sz w:val="20"/>
                <w:szCs w:val="20"/>
              </w:rPr>
              <w:t xml:space="preserve">Verified Value</w:t>
            </w:r>
          </w:p>
        </w:tc>
      </w:tr>
      <w:tr>
        <w:tc>
          <w:tcPr>
            <w:tcW w:type="dxa" w:w="66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Movies with complete financial data</w:t>
            </w:r>
          </w:p>
        </w:tc>
        <w:tc>
          <w:tcPr>
            <w:tcW w:type="dxa" w:w="34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B5651D"/>
                <w:sz w:val="20"/>
                <w:szCs w:val="20"/>
              </w:rPr>
              <w:t xml:space="preserve">3,790 of 4,919 (77%)</w:t>
            </w:r>
          </w:p>
        </w:tc>
      </w:tr>
      <w:tr>
        <w:tc>
          <w:tcPr>
            <w:tcW w:type="dxa" w:w="66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Average IMDb rating (financial-complete subset)</w:t>
            </w:r>
          </w:p>
        </w:tc>
        <w:tc>
          <w:tcPr>
            <w:tcW w:type="dxa" w:w="34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B5651D"/>
                <w:sz w:val="20"/>
                <w:szCs w:val="20"/>
              </w:rPr>
              <w:t xml:space="preserve">6.46</w:t>
            </w:r>
          </w:p>
        </w:tc>
      </w:tr>
      <w:tr>
        <w:tc>
          <w:tcPr>
            <w:tcW w:type="dxa" w:w="660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Blockbusters (Box Office Gross ≥ $100M)</w:t>
            </w:r>
          </w:p>
        </w:tc>
        <w:tc>
          <w:tcPr>
            <w:tcW w:type="dxa" w:w="3480"/>
            <w:tcBorders>
              <w:top w:val="single" w:color="D8CFC0" w:sz="4"/>
              <w:left w:val="single" w:color="D8CFC0" w:sz="4"/>
              <w:bottom w:val="single" w:color="D8CFC0" w:sz="4"/>
              <w:right w:val="single" w:color="D8CFC0" w:sz="4"/>
            </w:tcBorders>
            <w:shd w:fill="FFFFFF" w:color="auto" w:val="clear"/>
            <w:tcMar>
              <w:top w:type="dxa" w:w="90"/>
              <w:left w:type="dxa" w:w="140"/>
              <w:bottom w:type="dxa" w:w="90"/>
              <w:right w:type="dxa" w:w="140"/>
            </w:tcMar>
            <w:vAlign w:val="center"/>
          </w:tcPr>
          <w:p>
            <w:pPr>
              <w:spacing w:after="0" w:line="260"/>
            </w:pPr>
            <w:r>
              <w:rPr>
                <w:rFonts w:ascii="Calibri" w:cs="Calibri" w:eastAsia="Calibri" w:hAnsi="Calibri"/>
                <w:b/>
                <w:bCs/>
                <w:color w:val="B5651D"/>
                <w:sz w:val="20"/>
                <w:szCs w:val="20"/>
              </w:rPr>
              <w:t xml:space="preserve">578 titles (~1 in 8, 11.8%)</w:t>
            </w:r>
          </w:p>
        </w:tc>
      </w:tr>
      <w:tr>
        <w:tc>
          <w:tcPr>
            <w:tcW w:type="dxa" w:w="660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27333D"/>
                <w:sz w:val="20"/>
                <w:szCs w:val="20"/>
              </w:rPr>
              <w:t xml:space="preserve">Aggregate industry ROI (total gross − total budget, over total budget)</w:t>
            </w:r>
          </w:p>
        </w:tc>
        <w:tc>
          <w:tcPr>
            <w:tcW w:type="dxa" w:w="3480"/>
            <w:tcBorders>
              <w:top w:val="single" w:color="D8CFC0" w:sz="4"/>
              <w:left w:val="single" w:color="D8CFC0" w:sz="4"/>
              <w:bottom w:val="single" w:color="D8CFC0" w:sz="4"/>
              <w:right w:val="single" w:color="D8CFC0" w:sz="4"/>
            </w:tcBorders>
            <w:shd w:fill="F5F1EA" w:color="auto" w:val="clear"/>
            <w:tcMar>
              <w:top w:type="dxa" w:w="90"/>
              <w:left w:type="dxa" w:w="140"/>
              <w:bottom w:type="dxa" w:w="90"/>
              <w:right w:type="dxa" w:w="140"/>
            </w:tcMar>
            <w:vAlign w:val="center"/>
          </w:tcPr>
          <w:p>
            <w:pPr>
              <w:spacing w:after="0" w:line="260"/>
            </w:pPr>
            <w:r>
              <w:rPr>
                <w:rFonts w:ascii="Calibri" w:cs="Calibri" w:eastAsia="Calibri" w:hAnsi="Calibri"/>
                <w:b/>
                <w:bCs/>
                <w:color w:val="B5651D"/>
                <w:sz w:val="20"/>
                <w:szCs w:val="20"/>
              </w:rPr>
              <w:t xml:space="preserve">≈ 12%</w:t>
            </w:r>
          </w:p>
        </w:tc>
      </w:tr>
    </w:tbl>
    <w:p>
      <w:pPr>
        <w:spacing w:after="240"/>
      </w:pPr>
    </w:p>
    <w:p>
      <w:pPr>
        <w:pStyle w:val="Heading2"/>
        <w:spacing w:after="140" w:before="300"/>
      </w:pPr>
      <w:r>
        <w:rPr>
          <w:rFonts w:ascii="Cambria" w:cs="Cambria" w:eastAsia="Cambria" w:hAnsi="Cambria"/>
          <w:b/>
          <w:bCs/>
          <w:color w:val="B5651D"/>
          <w:sz w:val="24"/>
          <w:szCs w:val="24"/>
        </w:rPr>
        <w:t xml:space="preserve">5.2  </w:t>
      </w:r>
      <w:r>
        <w:rPr>
          <w:rFonts w:ascii="Cambria" w:cs="Cambria" w:eastAsia="Cambria" w:hAnsi="Cambria"/>
          <w:b/>
          <w:bCs/>
          <w:color w:val="3E4C59"/>
          <w:sz w:val="24"/>
          <w:szCs w:val="24"/>
        </w:rPr>
        <w:t xml:space="preserve">Genre — Revenue vs. Ratings</w:t>
      </w:r>
    </w:p>
    <w:p>
      <w:pPr>
        <w:spacing w:after="160" w:line="276"/>
      </w:pPr>
      <w:r>
        <w:rPr>
          <w:rFonts w:ascii="Calibri" w:cs="Calibri" w:eastAsia="Calibri" w:hAnsi="Calibri"/>
          <w:color w:val="2B2B2B"/>
          <w:sz w:val="21"/>
          <w:szCs w:val="21"/>
        </w:rPr>
        <w:t xml:space="preserve">Comedy is the largest genre by volume (1,314 titles) but generates the lowest average revenue per title (~$37M). Action produces the highest total box office of any genre ($70.7B in aggregate), while Animation and Adventure post the highest average revenue per title among genres with a meaningful sample size (~$90M and ~$86M respectively). This confirms that production volume, box-office scale, and per-title efficiency are three distinct measures of genre performance, and no single genre leads on all three.</w:t>
      </w:r>
    </w:p>
    <w:p>
      <w:pPr>
        <w:pStyle w:val="Heading2"/>
        <w:spacing w:after="140" w:before="300"/>
      </w:pPr>
      <w:r>
        <w:rPr>
          <w:rFonts w:ascii="Cambria" w:cs="Cambria" w:eastAsia="Cambria" w:hAnsi="Cambria"/>
          <w:b/>
          <w:bCs/>
          <w:color w:val="B5651D"/>
          <w:sz w:val="24"/>
          <w:szCs w:val="24"/>
        </w:rPr>
        <w:t xml:space="preserve">5.3  </w:t>
      </w:r>
      <w:r>
        <w:rPr>
          <w:rFonts w:ascii="Cambria" w:cs="Cambria" w:eastAsia="Cambria" w:hAnsi="Cambria"/>
          <w:b/>
          <w:bCs/>
          <w:color w:val="3E4C59"/>
          <w:sz w:val="24"/>
          <w:szCs w:val="24"/>
        </w:rPr>
        <w:t xml:space="preserve">Decade Trends — Volume &amp; Revenue</w:t>
      </w:r>
    </w:p>
    <w:p>
      <w:pPr>
        <w:spacing w:after="160" w:line="276"/>
      </w:pPr>
      <w:r>
        <w:rPr>
          <w:rFonts w:ascii="Calibri" w:cs="Calibri" w:eastAsia="Calibri" w:hAnsi="Calibri"/>
          <w:color w:val="2B2B2B"/>
          <w:sz w:val="21"/>
          <w:szCs w:val="21"/>
        </w:rPr>
        <w:t xml:space="preserve">The 2010s alone produced 1,446 titles in the dataset — more than the combined output of the 1960s, 1970s, 1980s and 1990s (1,237 titles). Total box office revenue grew approximately 5.6× between the 1980s ($10.9B) and the 2010s ($61.4B). However, average IMDb rating moved in the opposite direction over the same period, declining from 6.62 in the 1980s to 6.25 in the 2010s — indicating that industry growth has been driven by release volume and market reach rather than rising critical quality.</w:t>
      </w:r>
    </w:p>
    <w:p>
      <w:pPr>
        <w:pStyle w:val="Heading2"/>
        <w:spacing w:after="140" w:before="300"/>
      </w:pPr>
      <w:r>
        <w:rPr>
          <w:rFonts w:ascii="Cambria" w:cs="Cambria" w:eastAsia="Cambria" w:hAnsi="Cambria"/>
          <w:b/>
          <w:bCs/>
          <w:color w:val="B5651D"/>
          <w:sz w:val="24"/>
          <w:szCs w:val="24"/>
        </w:rPr>
        <w:t xml:space="preserve">5.4  </w:t>
      </w:r>
      <w:r>
        <w:rPr>
          <w:rFonts w:ascii="Cambria" w:cs="Cambria" w:eastAsia="Cambria" w:hAnsi="Cambria"/>
          <w:b/>
          <w:bCs/>
          <w:color w:val="3E4C59"/>
          <w:sz w:val="24"/>
          <w:szCs w:val="24"/>
        </w:rPr>
        <w:t xml:space="preserve">Rating Tier Distribution</w:t>
      </w:r>
    </w:p>
    <w:p>
      <w:pPr>
        <w:spacing w:after="160" w:line="276"/>
      </w:pPr>
      <w:r>
        <w:rPr>
          <w:rFonts w:ascii="Calibri" w:cs="Calibri" w:eastAsia="Calibri" w:hAnsi="Calibri"/>
          <w:color w:val="2B2B2B"/>
          <w:sz w:val="21"/>
          <w:szCs w:val="21"/>
        </w:rPr>
        <w:t xml:space="preserve">65% of all titles fall into the Good (6.0–6.9) or Average/Below (&lt;6.0) tiers. Only 322 titles (about 1 in 15, or 6.5%) reach the Masterpiece tier (8.0+), confirming that top-tier critical quality is a scarce outcome relative to overall production volume.</w:t>
      </w:r>
    </w:p>
    <w:p>
      <w:pPr>
        <w:pStyle w:val="Heading2"/>
        <w:spacing w:after="140" w:before="300"/>
      </w:pPr>
      <w:r>
        <w:rPr>
          <w:rFonts w:ascii="Cambria" w:cs="Cambria" w:eastAsia="Cambria" w:hAnsi="Cambria"/>
          <w:b/>
          <w:bCs/>
          <w:color w:val="B5651D"/>
          <w:sz w:val="24"/>
          <w:szCs w:val="24"/>
        </w:rPr>
        <w:t xml:space="preserve">5.5  </w:t>
      </w:r>
      <w:r>
        <w:rPr>
          <w:rFonts w:ascii="Cambria" w:cs="Cambria" w:eastAsia="Cambria" w:hAnsi="Cambria"/>
          <w:b/>
          <w:bCs/>
          <w:color w:val="3E4C59"/>
          <w:sz w:val="24"/>
          <w:szCs w:val="24"/>
        </w:rPr>
        <w:t xml:space="preserve">Budget vs. Profit — Risk and Return</w:t>
      </w:r>
    </w:p>
    <w:p>
      <w:pPr>
        <w:spacing w:after="160" w:line="276"/>
      </w:pPr>
      <w:r>
        <w:rPr>
          <w:rFonts w:ascii="Calibri" w:cs="Calibri" w:eastAsia="Calibri" w:hAnsi="Calibri"/>
          <w:color w:val="2B2B2B"/>
          <w:sz w:val="21"/>
          <w:szCs w:val="21"/>
        </w:rPr>
        <w:t xml:space="preserve">Grouping titles with complete financial data into production-budget bands and comparing median ROI per band shows that films budgeted under $20M deliver the strongest and most consistent median return (~26% ROI) of any budget tier — ahead of the $20–60M band (~2% median ROI). Titles budgeted above $150M show the widest variance in outcome, ranging from multi-billion-dollar successes to substantial losses, confirming that larger budgets increase potential scale but not reliability of return.</w:t>
      </w:r>
    </w:p>
    <w:p>
      <w:pPr>
        <w:pStyle w:val="Heading2"/>
        <w:spacing w:after="140" w:before="300"/>
      </w:pPr>
      <w:r>
        <w:rPr>
          <w:rFonts w:ascii="Cambria" w:cs="Cambria" w:eastAsia="Cambria" w:hAnsi="Cambria"/>
          <w:b/>
          <w:bCs/>
          <w:color w:val="B5651D"/>
          <w:sz w:val="24"/>
          <w:szCs w:val="24"/>
        </w:rPr>
        <w:t xml:space="preserve">5.6  </w:t>
      </w:r>
      <w:r>
        <w:rPr>
          <w:rFonts w:ascii="Cambria" w:cs="Cambria" w:eastAsia="Cambria" w:hAnsi="Cambria"/>
          <w:b/>
          <w:bCs/>
          <w:color w:val="3E4C59"/>
          <w:sz w:val="24"/>
          <w:szCs w:val="24"/>
        </w:rPr>
        <w:t xml:space="preserve">Blockbuster Profile</w:t>
      </w:r>
    </w:p>
    <w:p>
      <w:pPr>
        <w:spacing w:after="160" w:line="276"/>
      </w:pPr>
      <w:r>
        <w:rPr>
          <w:rFonts w:ascii="Calibri" w:cs="Calibri" w:eastAsia="Calibri" w:hAnsi="Calibri"/>
          <w:color w:val="2B2B2B"/>
          <w:sz w:val="21"/>
          <w:szCs w:val="21"/>
        </w:rPr>
        <w:t xml:space="preserve">Among the 578 blockbuster titles (Box Office Gross ≥ $100M), Action, Adventure and Comedy are the three leading genres; PG-13 is the single most common content rating, accounting for 46% of blockbusters, consistent with its broad audience reach; and 73% of blockbusters were released after 2000. The average IMDb rating within this group is 6.9 — above the catalogue-wide average but well short of the Masterpiece threshold — indicating that broad commercial success correlates more strongly with genre and audience accessibility than with critical acclaim.</w:t>
      </w:r>
    </w:p>
    <w:p>
      <w:pPr>
        <w:pStyle w:val="Heading1"/>
        <w:pBdr>
          <w:bottom w:val="single" w:color="B5651D" w:sz="8" w:space="6"/>
        </w:pBdr>
        <w:spacing w:after="200" w:before="420"/>
      </w:pPr>
      <w:r>
        <w:rPr>
          <w:rFonts w:ascii="Cambria" w:cs="Cambria" w:eastAsia="Cambria" w:hAnsi="Cambria"/>
          <w:b/>
          <w:bCs/>
          <w:color w:val="B5651D"/>
          <w:sz w:val="30"/>
          <w:szCs w:val="30"/>
        </w:rPr>
        <w:t xml:space="preserve">6.  </w:t>
      </w:r>
      <w:r>
        <w:rPr>
          <w:rFonts w:ascii="Cambria" w:cs="Cambria" w:eastAsia="Cambria" w:hAnsi="Cambria"/>
          <w:b/>
          <w:bCs/>
          <w:color w:val="27333D"/>
          <w:sz w:val="30"/>
          <w:szCs w:val="30"/>
        </w:rPr>
        <w:t xml:space="preserve">Key Insights (Source Report)</w:t>
      </w:r>
    </w:p>
    <w:p>
      <w:pPr>
        <w:spacing w:after="160" w:line="276"/>
      </w:pPr>
      <w:r>
        <w:rPr>
          <w:rFonts w:ascii="Calibri" w:cs="Calibri" w:eastAsia="Calibri" w:hAnsi="Calibri"/>
          <w:color w:val="2B2B2B"/>
          <w:sz w:val="21"/>
          <w:szCs w:val="21"/>
        </w:rPr>
        <w:t xml:space="preserve">The insights below are drawn from the original raw relational dataset described in the source Executive Summary, and are retained here for completeness. Note that they were computed on the full raw MOVIE table (7,997 titles) rather than the cleaned 4,919-row analytical table used in Section 5, so counts may differ between the two.</w:t>
      </w:r>
    </w:p>
    <w:p>
      <w:pPr>
        <w:pStyle w:val="ListParagraph"/>
        <w:numPr>
          <w:ilvl w:val="0"/>
          <w:numId w:val="2"/>
        </w:numPr>
        <w:spacing w:after="120" w:line="276"/>
      </w:pPr>
      <w:r>
        <w:rPr>
          <w:rFonts w:ascii="Calibri" w:cs="Calibri" w:eastAsia="Calibri" w:hAnsi="Calibri"/>
          <w:color w:val="2B2B2B"/>
          <w:sz w:val="21"/>
          <w:szCs w:val="21"/>
        </w:rPr>
        <w:t xml:space="preserve">Release volume peaked in 2017, with 3,052 movies released that year, and March was historically the most common release month.</w:t>
      </w:r>
    </w:p>
    <w:p>
      <w:pPr>
        <w:pStyle w:val="ListParagraph"/>
        <w:numPr>
          <w:ilvl w:val="0"/>
          <w:numId w:val="2"/>
        </w:numPr>
        <w:spacing w:after="120" w:line="276"/>
      </w:pPr>
      <w:r>
        <w:rPr>
          <w:rFonts w:ascii="Calibri" w:cs="Calibri" w:eastAsia="Calibri" w:hAnsi="Calibri"/>
          <w:color w:val="2B2B2B"/>
          <w:sz w:val="21"/>
          <w:szCs w:val="21"/>
        </w:rPr>
        <w:t xml:space="preserve">The catalogue spans 13 distinct genres, with Drama the largest by volume in the raw dataset (4,285 titles overall, including 1,078 Drama releases in 2019 alone).</w:t>
      </w:r>
    </w:p>
    <w:p>
      <w:pPr>
        <w:pStyle w:val="ListParagraph"/>
        <w:numPr>
          <w:ilvl w:val="0"/>
          <w:numId w:val="2"/>
        </w:numPr>
        <w:spacing w:after="120" w:line="276"/>
      </w:pPr>
      <w:r>
        <w:rPr>
          <w:rFonts w:ascii="Calibri" w:cs="Calibri" w:eastAsia="Calibri" w:hAnsi="Calibri"/>
          <w:color w:val="2B2B2B"/>
          <w:sz w:val="21"/>
          <w:szCs w:val="21"/>
        </w:rPr>
        <w:t xml:space="preserve">Action leads all genres on average runtime (112.9 minutes), followed by Romance and Crime, while Horror films run shortest.</w:t>
      </w:r>
    </w:p>
    <w:p>
      <w:pPr>
        <w:pStyle w:val="ListParagraph"/>
        <w:numPr>
          <w:ilvl w:val="0"/>
          <w:numId w:val="2"/>
        </w:numPr>
        <w:spacing w:after="120" w:line="276"/>
      </w:pPr>
      <w:r>
        <w:rPr>
          <w:rFonts w:ascii="Calibri" w:cs="Calibri" w:eastAsia="Calibri" w:hAnsi="Calibri"/>
          <w:color w:val="2B2B2B"/>
          <w:sz w:val="21"/>
          <w:szCs w:val="21"/>
        </w:rPr>
        <w:t xml:space="preserve">Dream Warrior Pictures and National Theatre Live produced the highest number of hit movies among all production houses; Marvel Studios, Twentieth Century Fox and Warner Bros. lead on total audience votes received.</w:t>
      </w:r>
    </w:p>
    <w:p>
      <w:pPr>
        <w:pStyle w:val="ListParagraph"/>
        <w:numPr>
          <w:ilvl w:val="0"/>
          <w:numId w:val="2"/>
        </w:numPr>
        <w:spacing w:after="120" w:line="276"/>
      </w:pPr>
      <w:r>
        <w:rPr>
          <w:rFonts w:ascii="Calibri" w:cs="Calibri" w:eastAsia="Calibri" w:hAnsi="Calibri"/>
          <w:color w:val="2B2B2B"/>
          <w:sz w:val="21"/>
          <w:szCs w:val="21"/>
        </w:rPr>
        <w:t xml:space="preserve">James Mangold, Joe Russo and Anthony Russo are the top directors within the three leading genres.</w:t>
      </w:r>
    </w:p>
    <w:p>
      <w:pPr>
        <w:pStyle w:val="ListParagraph"/>
        <w:numPr>
          <w:ilvl w:val="0"/>
          <w:numId w:val="2"/>
        </w:numPr>
        <w:spacing w:after="120" w:line="276"/>
      </w:pPr>
      <w:r>
        <w:rPr>
          <w:rFonts w:ascii="Calibri" w:cs="Calibri" w:eastAsia="Calibri" w:hAnsi="Calibri"/>
          <w:color w:val="2B2B2B"/>
          <w:sz w:val="21"/>
          <w:szCs w:val="21"/>
        </w:rPr>
        <w:t xml:space="preserve">By median rating, Mammootty and Mohanlal stand out as strong actor choices; among Indian talent specifically, Vijay Sethupathi (avg. rating 8.42) and Taapsee Pannu (avg. rating 7.74) are the top-rated actor and actress respectively.</w:t>
      </w:r>
    </w:p>
    <w:p>
      <w:pPr>
        <w:pStyle w:val="ListParagraph"/>
        <w:numPr>
          <w:ilvl w:val="0"/>
          <w:numId w:val="2"/>
        </w:numPr>
        <w:spacing w:after="120" w:line="276"/>
      </w:pPr>
      <w:r>
        <w:rPr>
          <w:rFonts w:ascii="Calibri" w:cs="Calibri" w:eastAsia="Calibri" w:hAnsi="Calibri"/>
          <w:color w:val="2B2B2B"/>
          <w:sz w:val="21"/>
          <w:szCs w:val="21"/>
        </w:rPr>
        <w:t xml:space="preserve">Star Cinema and Twentieth Century Fox lead in hit multilingual movies.</w:t>
      </w:r>
    </w:p>
    <w:p>
      <w:pPr>
        <w:pStyle w:val="Heading1"/>
        <w:pBdr>
          <w:bottom w:val="single" w:color="B5651D" w:sz="8" w:space="6"/>
        </w:pBdr>
        <w:spacing w:after="200" w:before="420"/>
      </w:pPr>
      <w:r>
        <w:rPr>
          <w:rFonts w:ascii="Cambria" w:cs="Cambria" w:eastAsia="Cambria" w:hAnsi="Cambria"/>
          <w:b/>
          <w:bCs/>
          <w:color w:val="B5651D"/>
          <w:sz w:val="30"/>
          <w:szCs w:val="30"/>
        </w:rPr>
        <w:t xml:space="preserve">7.  </w:t>
      </w:r>
      <w:r>
        <w:rPr>
          <w:rFonts w:ascii="Cambria" w:cs="Cambria" w:eastAsia="Cambria" w:hAnsi="Cambria"/>
          <w:b/>
          <w:bCs/>
          <w:color w:val="27333D"/>
          <w:sz w:val="30"/>
          <w:szCs w:val="30"/>
        </w:rPr>
        <w:t xml:space="preserve">Recommendations</w:t>
      </w:r>
    </w:p>
    <w:p>
      <w:pPr>
        <w:pStyle w:val="ListParagraph"/>
        <w:numPr>
          <w:ilvl w:val="0"/>
          <w:numId w:val="2"/>
        </w:numPr>
        <w:spacing w:after="120" w:line="276"/>
      </w:pPr>
      <w:r>
        <w:rPr>
          <w:rFonts w:ascii="Calibri" w:cs="Calibri" w:eastAsia="Calibri" w:hAnsi="Calibri"/>
          <w:b/>
          <w:bCs/>
          <w:color w:val="27333D"/>
          <w:sz w:val="21"/>
          <w:szCs w:val="21"/>
        </w:rPr>
        <w:t xml:space="preserve">Prioritize Drama and Comedy as core genre bets: </w:t>
      </w:r>
      <w:r>
        <w:rPr>
          <w:rFonts w:ascii="Calibri" w:cs="Calibri" w:eastAsia="Calibri" w:hAnsi="Calibri"/>
          <w:color w:val="2B2B2B"/>
          <w:sz w:val="21"/>
          <w:szCs w:val="21"/>
        </w:rPr>
        <w:t xml:space="preserve">Drama leads production volume in the raw catalogue, while Comedy leads volume in the cleaned analytical table — both reflect sustained audience demand, though neither leads on per-title revenue efficiency.</w:t>
      </w:r>
    </w:p>
    <w:p>
      <w:pPr>
        <w:pStyle w:val="ListParagraph"/>
        <w:numPr>
          <w:ilvl w:val="0"/>
          <w:numId w:val="2"/>
        </w:numPr>
        <w:spacing w:after="120" w:line="276"/>
      </w:pPr>
      <w:r>
        <w:rPr>
          <w:rFonts w:ascii="Calibri" w:cs="Calibri" w:eastAsia="Calibri" w:hAnsi="Calibri"/>
          <w:b/>
          <w:bCs/>
          <w:color w:val="27333D"/>
          <w:sz w:val="21"/>
          <w:szCs w:val="21"/>
        </w:rPr>
        <w:t xml:space="preserve">Release in English, </w:t>
      </w:r>
      <w:r>
        <w:rPr>
          <w:rFonts w:ascii="Calibri" w:cs="Calibri" w:eastAsia="Calibri" w:hAnsi="Calibri"/>
          <w:color w:val="2B2B2B"/>
          <w:sz w:val="21"/>
          <w:szCs w:val="21"/>
        </w:rPr>
        <w:t xml:space="preserve">the language most strongly associated with successful outcomes in the dataset.</w:t>
      </w:r>
    </w:p>
    <w:p>
      <w:pPr>
        <w:pStyle w:val="ListParagraph"/>
        <w:numPr>
          <w:ilvl w:val="0"/>
          <w:numId w:val="2"/>
        </w:numPr>
        <w:spacing w:after="120" w:line="276"/>
      </w:pPr>
      <w:r>
        <w:rPr>
          <w:rFonts w:ascii="Calibri" w:cs="Calibri" w:eastAsia="Calibri" w:hAnsi="Calibri"/>
          <w:b/>
          <w:bCs/>
          <w:color w:val="27333D"/>
          <w:sz w:val="21"/>
          <w:szCs w:val="21"/>
        </w:rPr>
        <w:t xml:space="preserve">Favor production budgets under $20M where possible: </w:t>
      </w:r>
      <w:r>
        <w:rPr>
          <w:rFonts w:ascii="Calibri" w:cs="Calibri" w:eastAsia="Calibri" w:hAnsi="Calibri"/>
          <w:color w:val="2B2B2B"/>
          <w:sz w:val="21"/>
          <w:szCs w:val="21"/>
        </w:rPr>
        <w:t xml:space="preserve">this tier shows the strongest and most consistent median ROI (~26%) of any budget band, ahead of the $20–60M range (~2%). Reserve budgets above $150M for established franchise IP that can absorb higher outcome variance.</w:t>
      </w:r>
    </w:p>
    <w:p>
      <w:pPr>
        <w:pStyle w:val="ListParagraph"/>
        <w:numPr>
          <w:ilvl w:val="0"/>
          <w:numId w:val="2"/>
        </w:numPr>
        <w:spacing w:after="120" w:line="276"/>
      </w:pPr>
      <w:r>
        <w:rPr>
          <w:rFonts w:ascii="Calibri" w:cs="Calibri" w:eastAsia="Calibri" w:hAnsi="Calibri"/>
          <w:b/>
          <w:bCs/>
          <w:color w:val="27333D"/>
          <w:sz w:val="21"/>
          <w:szCs w:val="21"/>
        </w:rPr>
        <w:t xml:space="preserve">Use the Risk vs. Reward scatter chart and ROI figures </w:t>
      </w:r>
      <w:r>
        <w:rPr>
          <w:rFonts w:ascii="Calibri" w:cs="Calibri" w:eastAsia="Calibri" w:hAnsi="Calibri"/>
          <w:color w:val="2B2B2B"/>
          <w:sz w:val="21"/>
          <w:szCs w:val="21"/>
        </w:rPr>
        <w:t xml:space="preserve">during greenlighting to benchmark a proposed budget against comparable historical titles before committing spend.</w:t>
      </w:r>
    </w:p>
    <w:p>
      <w:pPr>
        <w:pStyle w:val="ListParagraph"/>
        <w:numPr>
          <w:ilvl w:val="0"/>
          <w:numId w:val="2"/>
        </w:numPr>
        <w:spacing w:after="120" w:line="276"/>
      </w:pPr>
      <w:r>
        <w:rPr>
          <w:rFonts w:ascii="Calibri" w:cs="Calibri" w:eastAsia="Calibri" w:hAnsi="Calibri"/>
          <w:b/>
          <w:bCs/>
          <w:color w:val="27333D"/>
          <w:sz w:val="21"/>
          <w:szCs w:val="21"/>
        </w:rPr>
        <w:t xml:space="preserve">Shortlist directors and lead actors </w:t>
      </w:r>
      <w:r>
        <w:rPr>
          <w:rFonts w:ascii="Calibri" w:cs="Calibri" w:eastAsia="Calibri" w:hAnsi="Calibri"/>
          <w:color w:val="2B2B2B"/>
          <w:sz w:val="21"/>
          <w:szCs w:val="21"/>
        </w:rPr>
        <w:t xml:space="preserve">using the Top 10 Directors Leaderboard and the top-rated-actor findings above, favoring talent with strong average ratings over raw output volume.</w:t>
      </w:r>
    </w:p>
    <w:p>
      <w:pPr>
        <w:pStyle w:val="ListParagraph"/>
        <w:numPr>
          <w:ilvl w:val="0"/>
          <w:numId w:val="2"/>
        </w:numPr>
        <w:spacing w:after="120" w:line="276"/>
      </w:pPr>
      <w:r>
        <w:rPr>
          <w:rFonts w:ascii="Calibri" w:cs="Calibri" w:eastAsia="Calibri" w:hAnsi="Calibri"/>
          <w:b/>
          <w:bCs/>
          <w:color w:val="27333D"/>
          <w:sz w:val="21"/>
          <w:szCs w:val="21"/>
        </w:rPr>
        <w:t xml:space="preserve">If broad commercial reach is the primary goal, </w:t>
      </w:r>
      <w:r>
        <w:rPr>
          <w:rFonts w:ascii="Calibri" w:cs="Calibri" w:eastAsia="Calibri" w:hAnsi="Calibri"/>
          <w:color w:val="2B2B2B"/>
          <w:sz w:val="21"/>
          <w:szCs w:val="21"/>
        </w:rPr>
        <w:t xml:space="preserve">weight genre selection toward Action, Adventure or Comedy with a PG-13 rating — the profile shared by 578 verified blockbuster titles in the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0" w:sz="4" w:space="4"/>
      </w:pBd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C0" w:sz="4" w:space="4"/>
      </w:pBdr>
      <w:spacing w:after="0"/>
    </w:pPr>
    <w:r>
      <w:rPr>
        <w:rFonts w:ascii="Cambria" w:cs="Cambria" w:eastAsia="Cambria" w:hAnsi="Cambria"/>
        <w:b/>
        <w:bCs/>
        <w:color w:val="3E4C59"/>
        <w:sz w:val="16"/>
        <w:szCs w:val="16"/>
      </w:rPr>
      <w:t xml:space="preserve">MOVIES PERFORMANCE ANALYTICS</w:t>
    </w:r>
    <w:r>
      <w:rPr>
        <w:rFonts w:ascii="Calibri" w:cs="Calibri" w:eastAsia="Calibri" w:hAnsi="Calibri"/>
        <w:i/>
        <w:iCs/>
        <w:color w:val="5B5B5B"/>
        <w:sz w:val="16"/>
        <w:szCs w:val="16"/>
      </w:rPr>
      <w:t xml:space="preserve">   |   Power BI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B565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27333D"/>
      <w:sz w:val="30"/>
      <w:szCs w:val="30"/>
    </w:rPr>
  </w:style>
  <w:style w:type="paragraph" w:styleId="Heading2">
    <w:name w:val="Heading 2"/>
    <w:basedOn w:val="Normal"/>
    <w:next w:val="Normal"/>
    <w:qFormat/>
    <w:rPr>
      <w:rFonts w:ascii="Cambria" w:cs="Cambria" w:eastAsia="Cambria" w:hAnsi="Cambria"/>
      <w:b/>
      <w:bCs/>
      <w:color w:val="3E4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2026-07-08T10:19:21.333Z</dcterms:created>
  <dcterms:modified xsi:type="dcterms:W3CDTF">2026-07-08T10:19:21.346Z</dcterms:modified>
</cp:coreProperties>
</file>

<file path=docProps/custom.xml><?xml version="1.0" encoding="utf-8"?>
<Properties xmlns="http://schemas.openxmlformats.org/officeDocument/2006/custom-properties" xmlns:vt="http://schemas.openxmlformats.org/officeDocument/2006/docPropsVTypes"/>
</file>