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B526" w14:textId="77777777" w:rsidR="00507AF6" w:rsidRDefault="00507AF6" w:rsidP="00507AF6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EDITAL Nº 01/2026 — PESQUISA APLICADA</w:t>
      </w:r>
    </w:p>
    <w:p w14:paraId="026B9F21" w14:textId="77777777" w:rsidR="001B5C16" w:rsidRDefault="001B5C16" w:rsidP="001B5C16">
      <w:pPr>
        <w:spacing w:before="60" w:after="60"/>
        <w:jc w:val="center"/>
      </w:pPr>
      <w:r>
        <w:rPr>
          <w:b/>
          <w:bCs/>
          <w:color w:val="1F4E79"/>
          <w:sz w:val="36"/>
          <w:szCs w:val="36"/>
        </w:rPr>
        <w:t>Inclusão Educacional como Determinante Intersetorial da Saúde de Jovens Brasileiros</w:t>
      </w:r>
    </w:p>
    <w:p w14:paraId="26028CFC" w14:textId="77777777" w:rsidR="009F6DA8" w:rsidRDefault="009F6DA8" w:rsidP="009F6DA8">
      <w:pPr>
        <w:spacing w:after="80"/>
        <w:jc w:val="center"/>
      </w:pPr>
      <w:r>
        <w:rPr>
          <w:i/>
          <w:iCs/>
          <w:color w:val="2E75B6"/>
          <w:sz w:val="24"/>
          <w:szCs w:val="24"/>
        </w:rPr>
        <w:t>Associação entre o IIE Municipal e os desfechos de mortalidade por causas externas e internações por condições sensíveis à atenção primária no Brasil (2018–2024)</w:t>
      </w:r>
    </w:p>
    <w:p w14:paraId="62CC96C6" w14:textId="77777777" w:rsidR="003B4BB3" w:rsidRDefault="003B4BB3" w:rsidP="003B4BB3">
      <w:pPr>
        <w:spacing w:after="200"/>
        <w:jc w:val="center"/>
      </w:pPr>
      <w:r>
        <w:rPr>
          <w:i/>
          <w:iCs/>
          <w:sz w:val="18"/>
          <w:szCs w:val="18"/>
        </w:rPr>
        <w:t xml:space="preserve">Modalidade B — 5 </w:t>
      </w:r>
      <w:proofErr w:type="gramStart"/>
      <w:r>
        <w:rPr>
          <w:i/>
          <w:iCs/>
          <w:sz w:val="18"/>
          <w:szCs w:val="18"/>
        </w:rPr>
        <w:t>meses  ·</w:t>
      </w:r>
      <w:proofErr w:type="gramEnd"/>
      <w:r>
        <w:rPr>
          <w:i/>
          <w:iCs/>
          <w:sz w:val="18"/>
          <w:szCs w:val="18"/>
        </w:rPr>
        <w:t xml:space="preserve">  Instituto Natura / Todos Pela Educação / B3</w:t>
      </w:r>
    </w:p>
    <w:p w14:paraId="181B6D04" w14:textId="77777777" w:rsidR="006D78E6" w:rsidRDefault="006D78E6" w:rsidP="006D78E6">
      <w:pPr>
        <w:pBdr>
          <w:bottom w:val="single" w:sz="6" w:space="1" w:color="D6E4F0"/>
        </w:pBdr>
        <w:spacing w:before="80" w:after="80"/>
      </w:pPr>
    </w:p>
    <w:p w14:paraId="39FFAAD5" w14:textId="77777777" w:rsidR="00596A7B" w:rsidRDefault="00596A7B">
      <w:pPr>
        <w:rPr>
          <w:b/>
          <w:bCs/>
        </w:rPr>
      </w:pPr>
    </w:p>
    <w:p w14:paraId="210E4B35" w14:textId="77777777" w:rsidR="002A53AF" w:rsidRDefault="002A53AF" w:rsidP="002A53AF">
      <w:pPr>
        <w:spacing w:before="240" w:after="120"/>
      </w:pPr>
      <w:r>
        <w:rPr>
          <w:b/>
          <w:bCs/>
          <w:color w:val="1F4E79"/>
          <w:sz w:val="28"/>
          <w:szCs w:val="28"/>
        </w:rPr>
        <w:t>1. Contextualização e Justificativa</w:t>
      </w:r>
    </w:p>
    <w:p w14:paraId="6D62C8DA" w14:textId="77777777" w:rsidR="00125753" w:rsidRDefault="00056100" w:rsidP="00900941">
      <w:pPr>
        <w:spacing w:before="60" w:after="60" w:line="264" w:lineRule="auto"/>
        <w:ind w:firstLine="851"/>
        <w:jc w:val="both"/>
      </w:pPr>
      <w:r>
        <w:t>A interrupção precoce da trajetória educacional e a falha em alcançar proficiência mínima ao final da educação básica produzem custos intergeracionais e intersetoriais cuja mensuração tem sido fragmentada na pesquisa brasileira. O Índice de Inclusão Educacional (IIE), desenvolvido pela Metas Sociais a pedido do Instituto Natura e atualizado periodicamente pela Lupa Social, oferece uma síntese inédita dessa trajetória — combinando, em um único indicador geracional, três dimensões da educação básica: acesso e</w:t>
      </w:r>
      <w:r>
        <w:t xml:space="preserve"> conclusão, adequação idade-série e proficiência mínima em Língua Portuguesa e Matemática. Estudos recentes da rede de pesquisa que sustenta o índice documentam associações robustas entre o IIE e desfechos socioeconômicos posteriores à coorte: gravidez na adolescência, homicídios entre 18 e 21 anos, ingresso e conclusão do ensino superior, mercado de trabalho juvenil e engajamento cívico (Fernandes et al., 2024); resultados preliminares estendem a associação à redução da pobreza na transição para a vida adu</w:t>
      </w:r>
      <w:r>
        <w:t>lta (Lupa Social, 2026a). A versão municipal — o IIE Municipal (IIEM), calculado para a coorte 2017 — estende essa análise aos 5.570 municípios brasileiros, consolidando-se como o único indicador composto disponível no país que avalia, em granularidade municipal, a inclusão educacional plena de uma geração (</w:t>
      </w:r>
      <w:proofErr w:type="spellStart"/>
      <w:r>
        <w:t>Paciencia</w:t>
      </w:r>
      <w:proofErr w:type="spellEnd"/>
      <w:r>
        <w:t xml:space="preserve"> &amp; Ismail, 2025).</w:t>
      </w:r>
    </w:p>
    <w:p w14:paraId="6D62C8DB" w14:textId="77777777" w:rsidR="00125753" w:rsidRDefault="00056100" w:rsidP="00900941">
      <w:pPr>
        <w:spacing w:before="60" w:after="60" w:line="264" w:lineRule="auto"/>
        <w:ind w:firstLine="851"/>
        <w:jc w:val="both"/>
      </w:pPr>
      <w:r>
        <w:t>Apesar desses avanços, uma dimensão crítica permanece subexplorada na pesquisa brasileira: a relação entre a inclusão educacional efetiva de uma geração e o uso e os resultados subsequentes do Sistema Único de Saúde por essa mesma geração na transição para a vida adulta. A literatura nacional sobre desigualdades em saúde concentra-se, com razão, na escolaridade individual ou em proxies grosseiros do contexto educacional municipal — proporção de jovens frequentando o ensino médio, taxa de analfabetismo, anos</w:t>
      </w:r>
      <w:r>
        <w:t xml:space="preserve"> médios de estudo. Essas medidas capturam acesso, mas não a qualidade da inclusão. Em estudo ecológico nacional do desenho mais próximo ao desta proposta, Melo et al. (2017) demonstraram que a mortalidade por agressões em jovens de 15-29 anos é 2,05 vezes maior (IC95% 1,83–2,30) em municípios com menos de 35% dos jovens 18-24 frequentando o ensino médio. Permanece em aberto, contudo, se a substituição desse indicador de matrícula por uma medida que combina conclusão na idade certa com proficiência mínima — </w:t>
      </w:r>
      <w:r>
        <w:t>a inclusão plena, não apenas formal — produz associação mais forte, mais estável ou mais informativa para política pública.</w:t>
      </w:r>
    </w:p>
    <w:p w14:paraId="6D62C8DC" w14:textId="77777777" w:rsidR="00125753" w:rsidRDefault="00056100" w:rsidP="00900941">
      <w:pPr>
        <w:spacing w:before="60" w:after="60" w:line="264" w:lineRule="auto"/>
        <w:ind w:firstLine="851"/>
        <w:jc w:val="both"/>
      </w:pPr>
      <w:r>
        <w:t>Duas razões teóricas sustentam a hipótese de que essa substituição importa. Primeira: a literatura internacional sobre determinantes sociais da saúde estabelece que o efeito da educação sobre desfechos de saúde é mediado por múltiplos canais — letramento em saúde, capacidade de navegação dos serviços, adesão a tratamento, comportamentos de risco, qualidade do emprego subsequente, redes de suporte — que dependem da qualidade da educação recebida, não apenas da exposição a ela (Cutler &amp; Lleras-Muney, 2010; Ma</w:t>
      </w:r>
      <w:r>
        <w:t xml:space="preserve">rmot, 2017). Segunda: a proficiência mínima em leitura e matemática, componente do IIE, é proxy direto do letramento funcional, competência cognitiva centralmente envolvida em comportamentos de saúde adulta. Substituir </w:t>
      </w:r>
      <w:r>
        <w:lastRenderedPageBreak/>
        <w:t>“matrícula” por “conclusão com proficiência” muda o construto medido — de exposição a ensino para apropriação efetiva de competências — e, portanto, deve produzir gradientes empíricos distintos.</w:t>
      </w:r>
    </w:p>
    <w:p w14:paraId="6D62C8DD" w14:textId="77777777" w:rsidR="00125753" w:rsidRDefault="00056100" w:rsidP="00900941">
      <w:pPr>
        <w:spacing w:before="60" w:after="60" w:line="264" w:lineRule="auto"/>
        <w:ind w:firstLine="851"/>
        <w:jc w:val="both"/>
      </w:pPr>
      <w:r>
        <w:t>A relevância do problema para política pública é direta. Se a relação entre inclusão educacional plena e desfechos de saúde for empiricamente robusta após controle pelo contexto socioeconômico municipal e pela cobertura de serviços, segue-se que a inclusão educacional é uma política de saúde, não apenas uma política educacional com co-benefícios. Mais especificamente, se os efeitos forem heterogêneos por porte municipal, macrorregião e cobertura da Estratégia Saúde da Família (ESF), a evidência produzida or</w:t>
      </w:r>
      <w:r>
        <w:t>ienta diretamente onde priorizar a integração entre educação e atenção primária. O presente projeto se propõe a produzir essa evidência para o Brasil, no nível municipal, usando o IIEM como medida central da exposição e dois desfechos complementares — mortalidade por causas externas (resultado catastrófico, expressão aguda) e internações por condições sensíveis à atenção primária (ICSAP, expressão crônica, indicador de falha sistêmica da APS) — em jovens de 20 a 29 anos.</w:t>
      </w:r>
    </w:p>
    <w:p w14:paraId="5D2E5BF5" w14:textId="77777777" w:rsidR="001570E8" w:rsidRDefault="001570E8" w:rsidP="001570E8">
      <w:pPr>
        <w:spacing w:before="240" w:after="120"/>
      </w:pPr>
      <w:r>
        <w:rPr>
          <w:b/>
          <w:bCs/>
          <w:color w:val="1F4E79"/>
          <w:sz w:val="28"/>
          <w:szCs w:val="28"/>
        </w:rPr>
        <w:t>2. Objetivos</w:t>
      </w:r>
    </w:p>
    <w:p w14:paraId="6D62C8DF" w14:textId="60FD991E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Geral</w:t>
      </w:r>
      <w:r w:rsidR="006C55EB">
        <w:rPr>
          <w:b/>
          <w:bCs/>
        </w:rPr>
        <w:t>:</w:t>
      </w:r>
      <w:r>
        <w:t xml:space="preserve"> Estimar a associação entre o Índice de Inclusão Educacional Municipal (IIEM, coorte 2017) e os desfechos de mortalidade por causas externas e internações por condições sensíveis à atenção primária em jovens brasileiros de 20 a 29 anos, controlando pelo contexto socioeconômico municipal e pela cobertura de serviços de saúde, e testando heterogeneidade por porte municipal, macrorregião e cobertura da ESF.</w:t>
      </w:r>
    </w:p>
    <w:p w14:paraId="6D62C8E0" w14:textId="10C84196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Específicos</w:t>
      </w:r>
      <w:r w:rsidR="006C55EB">
        <w:rPr>
          <w:b/>
          <w:bCs/>
        </w:rPr>
        <w:t>:</w:t>
      </w:r>
    </w:p>
    <w:p w14:paraId="6D62C8E1" w14:textId="77777777" w:rsidR="00125753" w:rsidRDefault="00056100" w:rsidP="0018691E">
      <w:pPr>
        <w:numPr>
          <w:ilvl w:val="0"/>
          <w:numId w:val="4"/>
        </w:numPr>
        <w:spacing w:before="60" w:after="60" w:line="264" w:lineRule="auto"/>
        <w:jc w:val="both"/>
      </w:pPr>
      <w:r>
        <w:t>Caracterizar a distribuição espacial conjunta do IIEM (2017) e das taxas municipais de mortalidade externa e ICSAP em jovens 20–29 anos no período 2018–2024, com identificação de gradientes por macrorregião e porte populacional.</w:t>
      </w:r>
    </w:p>
    <w:p w14:paraId="6D62C8E2" w14:textId="77777777" w:rsidR="00125753" w:rsidRDefault="00056100" w:rsidP="0018691E">
      <w:pPr>
        <w:numPr>
          <w:ilvl w:val="0"/>
          <w:numId w:val="4"/>
        </w:numPr>
        <w:spacing w:before="60" w:after="60" w:line="264" w:lineRule="auto"/>
        <w:jc w:val="both"/>
      </w:pPr>
      <w:r>
        <w:t>Estimar, por modelos de regressão de contagem (Poisson e binomial negativa) com offset populacional, a associação entre o IIEM e cada desfecho, ajustada por covariáveis municipais e pela taxa pré-coorte do desfecho (especificação ANCOVA).</w:t>
      </w:r>
    </w:p>
    <w:p w14:paraId="6D62C8E3" w14:textId="77777777" w:rsidR="00125753" w:rsidRDefault="00056100" w:rsidP="0018691E">
      <w:pPr>
        <w:numPr>
          <w:ilvl w:val="0"/>
          <w:numId w:val="4"/>
        </w:numPr>
        <w:spacing w:before="60" w:after="60" w:line="264" w:lineRule="auto"/>
        <w:jc w:val="both"/>
      </w:pPr>
      <w:r>
        <w:t>Decompor o efeito por subtipo de causa externa (homicídios, suicídios, acidentes de transporte) e por agrupamentos da ICSAP brasileira (doenças infecciosas, condições crônicas, agudas), com testes de heterogeneidade por porte, macrorregião, sexo e cobertura ESF.</w:t>
      </w:r>
    </w:p>
    <w:p w14:paraId="6D62C8E4" w14:textId="77777777" w:rsidR="00125753" w:rsidRDefault="00056100" w:rsidP="0018691E">
      <w:pPr>
        <w:numPr>
          <w:ilvl w:val="0"/>
          <w:numId w:val="4"/>
        </w:numPr>
        <w:spacing w:before="60" w:after="60" w:line="264" w:lineRule="auto"/>
        <w:jc w:val="both"/>
      </w:pPr>
      <w:r>
        <w:t>Validar os achados em desenho complementar com painel estadual (27 UFs × 4 coortes do IIE 2013/2015/2017/2019), com efeitos fixos two-way de UF e ano, oferecendo identificação alternativa por variação within-UF entre coortes.</w:t>
      </w:r>
    </w:p>
    <w:p w14:paraId="6D62C8E5" w14:textId="77777777" w:rsidR="00125753" w:rsidRDefault="00056100" w:rsidP="0018691E">
      <w:pPr>
        <w:numPr>
          <w:ilvl w:val="0"/>
          <w:numId w:val="4"/>
        </w:numPr>
        <w:spacing w:before="60" w:after="60" w:line="264" w:lineRule="auto"/>
        <w:jc w:val="both"/>
      </w:pPr>
      <w:r>
        <w:t>Produzir nota técnica acessível, mapas interativos e artigo científico submetido a periódico de saúde coletiva, comunicando achados para o debate sobre integração intersetorial de políticas educacionais e de saúde.</w:t>
      </w:r>
    </w:p>
    <w:p w14:paraId="23866130" w14:textId="77777777" w:rsidR="00235B4E" w:rsidRDefault="00235B4E" w:rsidP="00235B4E">
      <w:pPr>
        <w:spacing w:before="240" w:after="120"/>
      </w:pPr>
      <w:r w:rsidRPr="00235B4E">
        <w:rPr>
          <w:b/>
          <w:bCs/>
          <w:color w:val="1F4E79"/>
          <w:sz w:val="28"/>
          <w:szCs w:val="28"/>
        </w:rPr>
        <w:t>3. Pergunta de Pesquisa e Hipóteses</w:t>
      </w:r>
    </w:p>
    <w:p w14:paraId="6D62C8E7" w14:textId="428F5B1E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P</w:t>
      </w:r>
      <w:r>
        <w:rPr>
          <w:b/>
          <w:bCs/>
        </w:rPr>
        <w:t>ergunta central</w:t>
      </w:r>
      <w:r w:rsidR="00235B4E">
        <w:rPr>
          <w:b/>
          <w:bCs/>
        </w:rPr>
        <w:t>:</w:t>
      </w:r>
      <w:r>
        <w:t xml:space="preserve"> O IIEM da coorte 2017 está associado, no nível municipal, a menores taxas de mortalidade por causas externas e a menores taxas de internações por condições sensíveis à atenção primária em jovens de 20 a 29 anos no período 2018–2024, após controle pelo contexto socioeconômico e pela cobertura da APS?</w:t>
      </w:r>
    </w:p>
    <w:p w14:paraId="6D62C8E8" w14:textId="03461830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Hipóteses analíticas</w:t>
      </w:r>
      <w:r w:rsidR="00235B4E">
        <w:rPr>
          <w:b/>
          <w:bCs/>
        </w:rPr>
        <w:t>:</w:t>
      </w:r>
    </w:p>
    <w:p w14:paraId="6D62C8E9" w14:textId="77777777" w:rsidR="00125753" w:rsidRDefault="00056100" w:rsidP="0018691E">
      <w:pPr>
        <w:numPr>
          <w:ilvl w:val="0"/>
          <w:numId w:val="5"/>
        </w:numPr>
        <w:spacing w:before="60" w:after="60" w:line="264" w:lineRule="auto"/>
        <w:jc w:val="both"/>
      </w:pPr>
      <w:r>
        <w:rPr>
          <w:b/>
          <w:bCs/>
        </w:rPr>
        <w:t>H1.</w:t>
      </w:r>
      <w:r>
        <w:t xml:space="preserve"> Existe gradiente decrescente entre IIEM e taxas de mortalidade por causas externas em jovens, com magnitude maior para homicídios do que para acidentes de transporte.</w:t>
      </w:r>
    </w:p>
    <w:p w14:paraId="6D62C8EA" w14:textId="77777777" w:rsidR="00125753" w:rsidRDefault="00056100" w:rsidP="0018691E">
      <w:pPr>
        <w:numPr>
          <w:ilvl w:val="0"/>
          <w:numId w:val="5"/>
        </w:numPr>
        <w:spacing w:before="60" w:after="60" w:line="264" w:lineRule="auto"/>
        <w:jc w:val="both"/>
      </w:pPr>
      <w:r>
        <w:rPr>
          <w:b/>
          <w:bCs/>
        </w:rPr>
        <w:lastRenderedPageBreak/>
        <w:t>H2.</w:t>
      </w:r>
      <w:r>
        <w:t xml:space="preserve"> Existe gradiente decrescente entre IIEM e taxas de ICSAP em jovens, com magnitude maior para condições crônicas do que para condições agudas.</w:t>
      </w:r>
    </w:p>
    <w:p w14:paraId="6D62C8EB" w14:textId="77777777" w:rsidR="00125753" w:rsidRDefault="00056100" w:rsidP="0018691E">
      <w:pPr>
        <w:numPr>
          <w:ilvl w:val="0"/>
          <w:numId w:val="5"/>
        </w:numPr>
        <w:spacing w:before="60" w:after="60" w:line="264" w:lineRule="auto"/>
        <w:jc w:val="both"/>
      </w:pPr>
      <w:r>
        <w:rPr>
          <w:b/>
          <w:bCs/>
        </w:rPr>
        <w:t>H3.</w:t>
      </w:r>
      <w:r>
        <w:t xml:space="preserve"> A magnitude da associação IIEM–saúde é heterogênea por cobertura ESF: municípios com alta cobertura apresentam atenuação parcial do gradiente educacional sobre desfechos sensíveis à APS — testando empiricamente a tese de modulação intersetorial.</w:t>
      </w:r>
    </w:p>
    <w:p w14:paraId="6D62C8EC" w14:textId="77777777" w:rsidR="00125753" w:rsidRDefault="00056100" w:rsidP="0018691E">
      <w:pPr>
        <w:numPr>
          <w:ilvl w:val="0"/>
          <w:numId w:val="5"/>
        </w:numPr>
        <w:spacing w:before="60" w:after="60" w:line="264" w:lineRule="auto"/>
        <w:jc w:val="both"/>
      </w:pPr>
      <w:r>
        <w:rPr>
          <w:b/>
          <w:bCs/>
        </w:rPr>
        <w:t>H4.</w:t>
      </w:r>
      <w:r>
        <w:t xml:space="preserve"> Os achados municipais (cross-section) são consistentes com os achados do painel estadual estimados sob efeitos fixos two-way, indicando robustez da associação a duas estratégias distintas de controle por confounding não-observado.</w:t>
      </w:r>
    </w:p>
    <w:p w14:paraId="4D24A988" w14:textId="77777777" w:rsidR="008F7A33" w:rsidRDefault="008F7A33" w:rsidP="008F7A33">
      <w:pPr>
        <w:spacing w:before="240" w:after="120"/>
      </w:pPr>
      <w:r w:rsidRPr="008F7A33">
        <w:rPr>
          <w:b/>
          <w:bCs/>
          <w:color w:val="1F4E79"/>
          <w:sz w:val="28"/>
          <w:szCs w:val="28"/>
        </w:rPr>
        <w:t>4. Dados e Metodologia</w:t>
      </w:r>
    </w:p>
    <w:p w14:paraId="23C8B375" w14:textId="77777777" w:rsidR="00FF7DC7" w:rsidRDefault="00FF7DC7" w:rsidP="00FF7DC7">
      <w:pPr>
        <w:spacing w:before="160" w:after="80"/>
      </w:pPr>
      <w:r w:rsidRPr="00FF7DC7">
        <w:rPr>
          <w:b/>
          <w:bCs/>
          <w:color w:val="2E75B6"/>
          <w:sz w:val="24"/>
          <w:szCs w:val="24"/>
        </w:rPr>
        <w:t>4.1. Bases de Dados</w:t>
      </w:r>
    </w:p>
    <w:p w14:paraId="6D62C8EF" w14:textId="479E338F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E</w:t>
      </w:r>
      <w:r>
        <w:rPr>
          <w:b/>
          <w:bCs/>
        </w:rPr>
        <w:t>xposição (IIEM):</w:t>
      </w:r>
      <w:r>
        <w:t xml:space="preserve"> dados municipais do IIE para a coorte 2017, fornecidos pela Lupa Social mediante solicitação formal após seleção (Paciencia &amp; Ismail, 2024). Variável principal: IIEM contínuo; variável secundária: indicadores de quintil. O IIEM 2017 é interpretado como medida síntese do contexto municipal de inclusão educacional, capturada em coorte </w:t>
      </w:r>
      <w:r w:rsidR="00FF7DC7">
        <w:t>específica,</w:t>
      </w:r>
      <w:r>
        <w:t xml:space="preserve"> mas tomada como proxy do tipo educacional estável do município — interpretação alinhada à literatura ecológica brasileira (Melo et al., 2017).</w:t>
      </w:r>
    </w:p>
    <w:p w14:paraId="6D62C8F0" w14:textId="77777777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Mortalidade externa:</w:t>
      </w:r>
      <w:r>
        <w:t xml:space="preserve"> óbitos em jovens 20–29 anos por município de residência (CID-10 capítulo XX), Sistema de Informações sobre Mortalidade (SIM/DATASUS), 2018–2024. Decomposição em homicídios (X85–Y09), suicídios (X60–X84) e acidentes de transporte (V01–V99). Correção da subnotificação e da indeterminação de intenção segundo Borges &amp; Cano (2017), seguindo Melo et al.  (2017).</w:t>
      </w:r>
    </w:p>
    <w:p w14:paraId="6D62C8F1" w14:textId="77777777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ICSAP:</w:t>
      </w:r>
      <w:r>
        <w:t xml:space="preserve"> </w:t>
      </w:r>
      <w:r>
        <w:t>internações em jovens 20–29 anos pela Lista Brasileira de Internações por Condições Sensíveis à Atenção Primária (Portaria SAS/MS 221/2008; Alfradique et al., 2009), Sistema de Informações Hospitalares (SIH-SUS) por residência, 2018–2024, agregada em três grupos: infecciosas, crônicas e agudas. A literatura clássica de ICSAP foca em &lt;5 e ≥60 anos; a faixa 20-29 oferece janela complementar pouco estudada, em que a inclusão educacional plena pode atuar como determinante crítico do letramento em saúde, da ades</w:t>
      </w:r>
      <w:r>
        <w:t>ão a tratamento e da navegação eficiente dos serviços de APS na transição para a vida adulta.</w:t>
      </w:r>
    </w:p>
    <w:p w14:paraId="6D62C8F2" w14:textId="77777777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Denominadores populacionais:</w:t>
      </w:r>
      <w:r>
        <w:t xml:space="preserve"> estimativas por idade simples e sexo do IBGE/DATASUS, com interpolação linear ancorada nos Censos 2010 e 2022 onde necessário.</w:t>
      </w:r>
    </w:p>
    <w:p w14:paraId="6D62C8F3" w14:textId="77777777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Covariáveis municipais:</w:t>
      </w:r>
      <w:r>
        <w:t xml:space="preserve"> cobertura ESF (e-Gestor AB/SISAB, média 2018–2024); INSE 2017 (INEP); taxa de urbanização e IDHM (Censo 2022 e PNUD); proporção de beneficiários do Bolsa Família/Auxílio Brasil (CECAD); coeficiente de Gini municipal; e taxa pré-coorte do mesmo desfecho na faixa 20–29 anos no período 2010–2014, em especificação ANCOVA.</w:t>
      </w:r>
    </w:p>
    <w:p w14:paraId="6D62C8F4" w14:textId="77777777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Validação (painel UF):</w:t>
      </w:r>
      <w:r>
        <w:t xml:space="preserve"> série histórica do IIE estadual 2013/2015/2017/2019 (Lupa Social/Metas Sociais); desfechos agregados por UF e ano nos mesmos sistemas.</w:t>
      </w:r>
    </w:p>
    <w:p w14:paraId="6D62C8F5" w14:textId="77777777" w:rsidR="00125753" w:rsidRDefault="00056100" w:rsidP="0018691E">
      <w:pPr>
        <w:numPr>
          <w:ilvl w:val="0"/>
          <w:numId w:val="6"/>
        </w:numPr>
        <w:spacing w:before="60" w:after="60" w:line="264" w:lineRule="auto"/>
        <w:jc w:val="both"/>
      </w:pPr>
      <w:r>
        <w:rPr>
          <w:b/>
          <w:bCs/>
        </w:rPr>
        <w:t>Componente espacial:</w:t>
      </w:r>
      <w:r>
        <w:t xml:space="preserve"> shapefiles oficiais via geobr (Pereira &amp; Gonçalves, 2023).</w:t>
      </w:r>
    </w:p>
    <w:p w14:paraId="3428A08B" w14:textId="77777777" w:rsidR="00C21A45" w:rsidRDefault="00C21A45" w:rsidP="00C21A45">
      <w:pPr>
        <w:spacing w:before="160" w:after="80"/>
      </w:pPr>
      <w:r w:rsidRPr="00C21A45">
        <w:rPr>
          <w:b/>
          <w:bCs/>
          <w:color w:val="2E75B6"/>
          <w:sz w:val="24"/>
          <w:szCs w:val="24"/>
        </w:rPr>
        <w:t>4.2. Estratégia Analítica</w:t>
      </w:r>
    </w:p>
    <w:p w14:paraId="6D62C8F7" w14:textId="77777777" w:rsidR="00125753" w:rsidRDefault="00056100" w:rsidP="0018691E">
      <w:pPr>
        <w:spacing w:before="60" w:after="60" w:line="264" w:lineRule="auto"/>
        <w:jc w:val="both"/>
      </w:pPr>
      <w:r>
        <w:t>A</w:t>
      </w:r>
      <w:r>
        <w:t xml:space="preserve"> estratégia combina três desenhos complementares com pesos analíticos distintos.</w:t>
      </w:r>
    </w:p>
    <w:p w14:paraId="6D62C8F8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Desenho A — Análise principal: ecológica municipal (cross-section).</w:t>
      </w:r>
      <w:r>
        <w:t xml:space="preserve"> Para cada município </w:t>
      </w:r>
      <w:proofErr w:type="gramStart"/>
      <w:r>
        <w:t>m e</w:t>
      </w:r>
      <w:proofErr w:type="gramEnd"/>
      <w:r>
        <w:t xml:space="preserve"> desfecho Y, estima-se modelo de regressão de contagem com offset populacional:</w:t>
      </w:r>
    </w:p>
    <w:p w14:paraId="6D62C8F9" w14:textId="77777777" w:rsidR="00125753" w:rsidRDefault="00056100" w:rsidP="00756C4F">
      <w:pPr>
        <w:spacing w:before="60" w:after="60" w:line="264" w:lineRule="auto"/>
        <w:jc w:val="center"/>
      </w:pPr>
      <w:r>
        <w:t>log E[Y_m] = α + β · IIEM_m + X’_m γ + log(N_m</w:t>
      </w:r>
      <w:proofErr w:type="gramStart"/>
      <w:r>
        <w:t>^{</w:t>
      </w:r>
      <w:proofErr w:type="gramEnd"/>
      <w:r>
        <w:t>20-29})</w:t>
      </w:r>
    </w:p>
    <w:p w14:paraId="6D62C8FA" w14:textId="77777777" w:rsidR="00125753" w:rsidRDefault="00056100" w:rsidP="0018691E">
      <w:pPr>
        <w:spacing w:before="60" w:after="60" w:line="264" w:lineRule="auto"/>
        <w:jc w:val="both"/>
      </w:pPr>
      <w:r>
        <w:lastRenderedPageBreak/>
        <w:t>onde IIEM_m é a exposição contínua (e, em especificação alternativa, indicadores de quintil); X_m é o vetor de controles municipais; N_m é o denominador populacional. Estimação por Poisson e binomial negativa (com testes formais de sobre-dispersão); inferência por erros-padrão robustos clusterizados por microrregião (Cameron et al., 2008). A especificação ANCOVA inclui a taxa do mesmo desfecho na mesma faixa etária no período 2010–2014, capturando heterogeneidade municipal estável e atenuando o confundiment</w:t>
      </w:r>
      <w:r>
        <w:t>o ecológico residual. Análise principal restrita a municípios com população &gt;20 mil habitantes (≈1.700 municípios), seguindo Melo et al. (2017); análise de sensibilidade inclui todos os 5.570 municípios com suavização espacial bayesiana via modelo BYM, implementado em INLA (Blangiardo et al., 2013).</w:t>
      </w:r>
    </w:p>
    <w:p w14:paraId="6D62C8FB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Desenho B — Validação: painel estadual com efeitos fixos two-way.</w:t>
      </w:r>
      <w:r>
        <w:t xml:space="preserve"> Para UF u e coorte do IIE c ∈ {2013, 2015, 2017, 2019}:</w:t>
      </w:r>
    </w:p>
    <w:p w14:paraId="6D62C8FC" w14:textId="77777777" w:rsidR="00125753" w:rsidRDefault="00056100" w:rsidP="00756C4F">
      <w:pPr>
        <w:spacing w:before="60" w:after="60" w:line="264" w:lineRule="auto"/>
        <w:jc w:val="center"/>
      </w:pPr>
      <w:r>
        <w:t xml:space="preserve">log </w:t>
      </w:r>
      <w:proofErr w:type="gramStart"/>
      <w:r>
        <w:t>E[</w:t>
      </w:r>
      <w:proofErr w:type="gramEnd"/>
      <w:r>
        <w:t>Y</w:t>
      </w:r>
      <w:proofErr w:type="gramStart"/>
      <w:r>
        <w:t>_{</w:t>
      </w:r>
      <w:proofErr w:type="gramEnd"/>
      <w:r>
        <w:t>u, c+5}] = β · IIE_{</w:t>
      </w:r>
      <w:proofErr w:type="gramStart"/>
      <w:r>
        <w:t>u,c</w:t>
      </w:r>
      <w:proofErr w:type="gramEnd"/>
      <w:r>
        <w:t>} + α_u + γ_c + X’_{</w:t>
      </w:r>
      <w:proofErr w:type="gramStart"/>
      <w:r>
        <w:t>u,c</w:t>
      </w:r>
      <w:proofErr w:type="gramEnd"/>
      <w:r>
        <w:t>+5} δ + log(N^{20-</w:t>
      </w:r>
      <w:proofErr w:type="gramStart"/>
      <w:r>
        <w:t>29}_</w:t>
      </w:r>
      <w:proofErr w:type="gramEnd"/>
      <w:r>
        <w:t>{</w:t>
      </w:r>
      <w:proofErr w:type="gramStart"/>
      <w:r>
        <w:t>u,c</w:t>
      </w:r>
      <w:proofErr w:type="gramEnd"/>
      <w:r>
        <w:t>+5})</w:t>
      </w:r>
    </w:p>
    <w:p w14:paraId="6D62C8FD" w14:textId="77777777" w:rsidR="00125753" w:rsidRDefault="00056100" w:rsidP="0018691E">
      <w:pPr>
        <w:spacing w:before="60" w:after="60" w:line="264" w:lineRule="auto"/>
        <w:jc w:val="both"/>
      </w:pPr>
      <w:r>
        <w:t>onde α_u absorve toda heterogeneidade fixa de UF (perfil cultural, infraestrutura hospitalar média, política estadual estável) e γ_c absorve choques temporais comuns. A identificação se dá por variação intra-UF entre coortes — interpretável como “variação plausivelmente exógena” na qualidade educacional ao longo do tempo, capturada por choques agregados (FUNDEB, pandemia, políticas estaduais). Erros padrão clusterizados por UF; com 27 clusters, a inferência principal é validada por wild bootstrap (Cameron e</w:t>
      </w:r>
      <w:r>
        <w:t>t al., 2008) e por wild cluster bootstrap-t (MacKinnon et al., 2023).</w:t>
      </w:r>
    </w:p>
    <w:p w14:paraId="6D62C8FE" w14:textId="77777777" w:rsidR="00125753" w:rsidRDefault="00056100" w:rsidP="00BD7133">
      <w:pPr>
        <w:spacing w:before="60" w:after="60" w:line="264" w:lineRule="auto"/>
        <w:ind w:firstLine="851"/>
        <w:jc w:val="both"/>
      </w:pPr>
      <w:r>
        <w:t xml:space="preserve">A literatura econométrica do último quinquênio documentou condições sob as quais o estimador </w:t>
      </w:r>
      <w:r>
        <w:rPr>
          <w:i/>
          <w:iCs/>
        </w:rPr>
        <w:t>two-way fixed effects</w:t>
      </w:r>
      <w:r>
        <w:t xml:space="preserve"> (TWFE) com adoção escalonada de tratamento pode produzir coeficientes enviesados, em especial quando os efeitos do tratamento variam entre coortes ou ao longo do tempo (de Chaisemartin &amp; D’Haultfœuille, 2020; Goodman-Bacon, 2021). A formulação canônica de estimadores </w:t>
      </w:r>
      <w:r>
        <w:rPr>
          <w:i/>
          <w:iCs/>
        </w:rPr>
        <w:t>group-time average treatment effects</w:t>
      </w:r>
      <w:r>
        <w:t xml:space="preserve"> alternativos (Callaway &amp; Sant’Anna, 2021) e a comparação sistemática entre TWFE clássico e métodos pós-2020 em desenhos de avaliação de políticas de saúde (Goin &amp; Riddell, 2023) consoli</w:t>
      </w:r>
      <w:r>
        <w:t>daram-se como referências centrais na avaliação de qualquer painel longitudinal contemporâneo.</w:t>
      </w:r>
    </w:p>
    <w:p w14:paraId="6D62C8FF" w14:textId="77777777" w:rsidR="00125753" w:rsidRDefault="00056100" w:rsidP="00BD7133">
      <w:pPr>
        <w:spacing w:before="60" w:after="60" w:line="264" w:lineRule="auto"/>
        <w:ind w:firstLine="851"/>
        <w:jc w:val="both"/>
      </w:pPr>
      <w:r>
        <w:t>Tais riscos não se materializam, contudo, no painel UF deste projeto. O IIE estadual constitui tratamento contínuo distribuído em todos os períodos, com todas as 27 unidades observadas em todas as coortes — variação within-UF entre coortes, sem grupo nunca-tratado e sem adoção escalonada —, de modo que as patologias do TWFE documentadas para staggered binário não se aplicam diretamente (cf. Callaway, Goodman-Bacon, &amp; Sant’Anna, 2024; de Chaisemartin et al., 2025). Como camada adicional de proteção contra he</w:t>
      </w:r>
      <w:r>
        <w:t xml:space="preserve">terogeneidade temporal residual entre coortes, o Desenho B incorpora a regressão </w:t>
      </w:r>
      <w:r>
        <w:rPr>
          <w:i/>
          <w:iCs/>
        </w:rPr>
        <w:t>two-way Mundlak</w:t>
      </w:r>
      <w:r>
        <w:t xml:space="preserve"> (TWM) estendida — formalmente equivalente, sob condições especificadas em Wooldridge (2025), ao TWFE com indicadores de coorte e interações com covariáveis tempo-variantes — implementada via Poisson de pseudo-máxima verossimilhança com efeitos fixos, mediante inclusão manual de médias intra-UF e intra-coorte do IIE como controles. A regressão Mundlak estendida é reportada como sensibilidade central nas análises </w:t>
      </w:r>
      <w:r>
        <w:t>de robustez, na mesma tabela do TWFE Poisson principal.</w:t>
      </w:r>
    </w:p>
    <w:p w14:paraId="6D62C900" w14:textId="77777777" w:rsidR="00125753" w:rsidRDefault="00056100" w:rsidP="00BD7133">
      <w:pPr>
        <w:spacing w:before="60" w:after="60" w:line="264" w:lineRule="auto"/>
        <w:ind w:firstLine="851"/>
        <w:jc w:val="both"/>
      </w:pPr>
      <w:r>
        <w:t>O Desenho B se posiciona deliberadamente na interseção de duas tradições convergentes. De um lado, a epidemiologia brasileira aplicada estabeleceu o uso de painéis municipais e estaduais com TWFE clássico em modelos de contagem como linha de base empírica para a relação entre serviços de saúde, condições socioeconômicas e mortalidade ou hospitalização (Hone et al., 2017, 2019; Pinto Junior et al., 2018; Ferreira-Batista et al., 2022, 2023). De outro, a econometria de diferenças em diferenças pós-2020 docume</w:t>
      </w:r>
      <w:r>
        <w:t xml:space="preserve">ntou vieses do TWFE clássico sob heterogeneidade temporal de efeitos e propôs estimadores robustos (Goin &amp; Riddell, 2023; Riddell &amp; Goin, 2023; Wooldridge, 2025). Estudos prévios que utilizaram o IIE estadual em painel UF (Fernandes et al., 2024) empregaram TWFE/EA tradicional sem incorporar tais avanços; este projeto avança a estratégia de identificação preservando a comparabilidade com a tradição epidemiológica aplicada (TWFE Poisson como </w:t>
      </w:r>
      <w:r>
        <w:lastRenderedPageBreak/>
        <w:t>baseline) e adicionando a camada adicional de robustez da regressão</w:t>
      </w:r>
      <w:r>
        <w:t xml:space="preserve"> Mundlak estendida (sensibilidade central nas análises de robustez), sem trocar de paradigma estimativo.</w:t>
      </w:r>
    </w:p>
    <w:p w14:paraId="6D62C901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Desenho C — Heterogeneidade.</w:t>
      </w:r>
      <w:r>
        <w:t xml:space="preserve"> Interações IIEM × cobertura ESF (teste H3); IIEM × porte municipal (cinco estratos populacionais); IIEM × macrorregião; IIEM × sexo. Significância das interações com correção de Holm para múltiplas comparações.</w:t>
      </w:r>
    </w:p>
    <w:p w14:paraId="2636B685" w14:textId="77777777" w:rsidR="00E858B9" w:rsidRDefault="00E858B9" w:rsidP="00E858B9">
      <w:pPr>
        <w:spacing w:before="160" w:after="80"/>
      </w:pPr>
      <w:r w:rsidRPr="00E858B9">
        <w:rPr>
          <w:b/>
          <w:bCs/>
          <w:color w:val="2E75B6"/>
          <w:sz w:val="24"/>
          <w:szCs w:val="24"/>
        </w:rPr>
        <w:t>4.3. Análises de Robustez</w:t>
      </w:r>
    </w:p>
    <w:p w14:paraId="6D62C903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t>M</w:t>
      </w:r>
      <w:r>
        <w:t>odelagem espacial autorregressiva (SAR) e BYM como alternativas ao clustering por microrregião, ambas implementadas via INLA.</w:t>
      </w:r>
    </w:p>
    <w:p w14:paraId="6D62C904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t>Exclusão dos anos 2020 e 2021 da análise principal, dada a perturbação dos sistemas SIM e SIH durante a pandemia de COVID-19.</w:t>
      </w:r>
    </w:p>
    <w:p w14:paraId="6D62C905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t>Pareamento exato aproximado (Iacus, King &amp; Porro, 2012) entre municípios em quintis extremos do IIEM, balanceados em porte, macrorregião, IDHM e cobertura ESF.</w:t>
      </w:r>
    </w:p>
    <w:p w14:paraId="6D62C906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t>Reescalonamento da exposição em logit-IIE para teste de não-linearidade; especificação alternativa por quintis.</w:t>
      </w:r>
    </w:p>
    <w:p w14:paraId="6D62C907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t>Análise de E-value (VanderWeele &amp; Ding, 2017) para confundimento não-observado nas estimativas principais.</w:t>
      </w:r>
    </w:p>
    <w:p w14:paraId="6D62C908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rPr>
          <w:b/>
          <w:bCs/>
        </w:rPr>
        <w:t>ETWFE/Mundlak (sensibilidade central do Desenho B):</w:t>
      </w:r>
      <w:r>
        <w:t xml:space="preserve"> estimação alternativa do painel UF com inclusão manual de médias intra-UF e intra-coorte do IIE como controles, formalmente equivalente, sob condições especificadas em Wooldridge (2025), ao TWFE com indicadores de coorte e interações com covariáveis tempo-variantes. Implementada via Poisson de pseudo-máxima verossimilhança com efeitos fixos. Reportada quantitativamente na mesma tabela do TWFE Poisson principal do Desenho B (§4.2).</w:t>
      </w:r>
    </w:p>
    <w:p w14:paraId="6D62C909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rPr>
          <w:b/>
          <w:bCs/>
        </w:rPr>
        <w:t>Não-ICSAP no Desenho A como desfecho-controle negativo:</w:t>
      </w:r>
      <w:r>
        <w:t xml:space="preserve"> estimação do efeito do IIEM sobre internações </w:t>
      </w:r>
      <w:r>
        <w:rPr>
          <w:i/>
          <w:iCs/>
        </w:rPr>
        <w:t>não</w:t>
      </w:r>
      <w:r>
        <w:t xml:space="preserve"> sensíveis à atenção primária na faixa 20–29 anos, pelo mesmo modelo Poisson com termo de exposição populacional do Desenho A. Lógica de controle negativo de desfecho (Lipsitch et al., 2010): se o IIEM realmente afeta desfechos sensíveis à APS, o efeito sobre Não-ICSAP deve ser nulo ou substantivamente menor que o estimado para ICSAP — pois um confundidor residual genérico, não associado especificamente à atenção primária, afetaria ambos os desfechos compara</w:t>
      </w:r>
      <w:r>
        <w:t>velmente. Ausência de efeito sobre Não-ICSAP é interpretada como consistente com — não prova de — ausência de confundimento residual genérico. Restrita ao Desenho A; reportada em apêndice (1–2 páginas).</w:t>
      </w:r>
    </w:p>
    <w:p w14:paraId="6D62C90A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rPr>
          <w:b/>
          <w:bCs/>
        </w:rPr>
        <w:t>Exclusão da coorte 2019 do Desenho B:</w:t>
      </w:r>
      <w:r>
        <w:t xml:space="preserve"> re-estimação do painel UF no subconjunto coorte ∈ {2013, 2015, 2017} (n = 81 observações). Motivada pela camada adicional de imputação 2017→2019 carregada apenas pela coorte 2019, decorrente da supressão de idade no SAEB 2019 (Fernandes, Felicio &amp; Saad, 2025). Sensibilidade central, não marginal: testa se conclusões qualitativas dependem da única coorte que carrega essa camada adicional de imputação.</w:t>
      </w:r>
    </w:p>
    <w:p w14:paraId="6D62C90B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rPr>
          <w:b/>
          <w:bCs/>
        </w:rPr>
        <w:t>S1 — painel UF restrito (Desenho B):</w:t>
      </w:r>
      <w:r>
        <w:t xml:space="preserve"> re-estimação do Desenho B excluindo as observações com desfecho em 2020 e 2021, dada a perturbação agregada da pandemia de COVID-19 sobre os sistemas SIM e SIH. Reportada quantitativamente na mesma tabela do TWFE Poisson principal e da ETWFE/Mundlak.</w:t>
      </w:r>
    </w:p>
    <w:p w14:paraId="6D62C90C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rPr>
          <w:b/>
          <w:bCs/>
        </w:rPr>
        <w:t>S2 — estratificação temporal por subperíodos (Desenho B):</w:t>
      </w:r>
      <w:r>
        <w:t xml:space="preserve"> estimação separada do coeficiente de interesse em dois subperíodos — pré-pandemia (2018–2019) e pós-pandemia (2022–2024) — conforme disponibilidade do IIE estadual nas coortes correspondentes. Avalia estabilidade temporal do efeito além do simples controle pelo choque pandêmico. Reportada na mesma tabela.</w:t>
      </w:r>
    </w:p>
    <w:p w14:paraId="6D62C90D" w14:textId="77777777" w:rsidR="00125753" w:rsidRDefault="00056100" w:rsidP="0018691E">
      <w:pPr>
        <w:numPr>
          <w:ilvl w:val="0"/>
          <w:numId w:val="7"/>
        </w:numPr>
        <w:spacing w:before="60" w:after="60" w:line="264" w:lineRule="auto"/>
        <w:jc w:val="both"/>
      </w:pPr>
      <w:r>
        <w:rPr>
          <w:b/>
          <w:bCs/>
        </w:rPr>
        <w:lastRenderedPageBreak/>
        <w:t>Tendências lineares por UF (Desenho B):</w:t>
      </w:r>
      <w:r>
        <w:t xml:space="preserve"> especificação alternativa do painel UF com α_u + γ_c + α_u·t, absorvendo tendências UF-específicas </w:t>
      </w:r>
      <w:r>
        <w:t>além dos efeitos fixos two-way. Sensibilidade ao pressuposto de tendências paralelas; reportada quantitativamente na mesma tabela.</w:t>
      </w:r>
    </w:p>
    <w:p w14:paraId="6D62C90E" w14:textId="77777777" w:rsidR="00125753" w:rsidRPr="00360840" w:rsidRDefault="00056100" w:rsidP="0018691E">
      <w:pPr>
        <w:spacing w:before="60" w:after="60" w:line="264" w:lineRule="auto"/>
        <w:jc w:val="both"/>
        <w:rPr>
          <w:color w:val="2E75B6"/>
        </w:rPr>
      </w:pPr>
      <w:r w:rsidRPr="00360840">
        <w:rPr>
          <w:b/>
          <w:bCs/>
          <w:color w:val="2E75B6"/>
        </w:rPr>
        <w:t>4.4. Limitações estruturais, Software, Reprodutibilidade e Equipe</w:t>
      </w:r>
    </w:p>
    <w:p w14:paraId="6D62C90F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Limitação estrutural — coortes 2021 e 2023 do IIE estadual fora do painel UF.</w:t>
      </w:r>
      <w:r>
        <w:t xml:space="preserve"> Embora ambas as coortes existam publicamente no dashboard da Lupa Social (Lupa Social, 2026b), suas observações de desfecho com lag t = c+5 cairiam em 2026 e 2028, respectivamente — a primeira em ano ainda em curso à data desta proposta, sem dados anuais completos disponíveis em SIM e SIH; a segunda fora da janela 2018–2024 estabelecida pelo título desta proposta. O painel UF do Desenho B fica, portanto, restrito a coortes c ∈ {2013, 2015, 2017, 2019}. Eventual extensão futura do projeto, com janela de des</w:t>
      </w:r>
      <w:r>
        <w:t>fecho ampliada, poderá absorver essas coortes sem alteração metodológica.</w:t>
      </w:r>
    </w:p>
    <w:p w14:paraId="6D62C910" w14:textId="77777777" w:rsidR="00125753" w:rsidRDefault="00056100" w:rsidP="00F5580A">
      <w:pPr>
        <w:spacing w:before="60" w:after="60" w:line="264" w:lineRule="auto"/>
        <w:ind w:firstLine="851"/>
        <w:jc w:val="both"/>
      </w:pPr>
      <w:r>
        <w:t>Implementação em R, com pipeline reprodutível baseada em sistema de gerenciamento de fluxo de trabalho com cache incremental e contratos de dados aplicados a cada artefato derivado; relatórios e dashboard gerados via Quarto; integração contínua e validação automatizada via GitHub Actions; código publicado em repositório público sob licença MIT. A citação completa das ferramentas de software empregadas integrará a seção de Software do artigo final.</w:t>
      </w:r>
    </w:p>
    <w:p w14:paraId="6D62C911" w14:textId="77777777" w:rsidR="00125753" w:rsidRDefault="00056100" w:rsidP="00FE0A18">
      <w:pPr>
        <w:spacing w:before="60" w:after="60" w:line="264" w:lineRule="auto"/>
        <w:ind w:firstLine="851"/>
        <w:jc w:val="both"/>
      </w:pPr>
      <w:r>
        <w:t>O projeto é conduzido por pesquisador único. Pesquisador responsável: Sidney da Silva Pereira Bissoli, psicólogo, analista de dados sênior do DataSenado/Senado Federal, com experiência extensiva no manejo de microdados do DATASUS (SIH, SIM, SINASC, CNES) e do INEP, e em desenvolvimento de software open-source para processamento de microdados educacionais do INEP (pacote indexado em CRAN).</w:t>
      </w:r>
    </w:p>
    <w:p w14:paraId="0F98C885" w14:textId="77777777" w:rsidR="00045FEA" w:rsidRDefault="00045FEA" w:rsidP="00045FEA">
      <w:pPr>
        <w:spacing w:before="240" w:after="120"/>
      </w:pPr>
      <w:r>
        <w:rPr>
          <w:b/>
          <w:bCs/>
          <w:color w:val="1F4E79"/>
          <w:sz w:val="28"/>
          <w:szCs w:val="28"/>
        </w:rPr>
        <w:t>5. Produtos Esperados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4873"/>
        <w:gridCol w:w="4491"/>
      </w:tblGrid>
      <w:tr w:rsidR="00045FEA" w14:paraId="50DB490E" w14:textId="77777777" w:rsidTr="00231942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5C10" w14:textId="77777777" w:rsidR="00045FEA" w:rsidRDefault="00045FEA" w:rsidP="00231942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C6E4" w14:textId="77777777" w:rsidR="00045FEA" w:rsidRDefault="00045FEA" w:rsidP="00231942">
            <w:r>
              <w:rPr>
                <w:b/>
                <w:bCs/>
                <w:color w:val="FFFFFF"/>
              </w:rPr>
              <w:t>Produto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D870" w14:textId="77777777" w:rsidR="00045FEA" w:rsidRDefault="00045FEA" w:rsidP="00231942">
            <w:r>
              <w:rPr>
                <w:b/>
                <w:bCs/>
                <w:color w:val="FFFFFF"/>
              </w:rPr>
              <w:t>Formato</w:t>
            </w:r>
          </w:p>
        </w:tc>
      </w:tr>
      <w:tr w:rsidR="00045FEA" w14:paraId="1B6BB810" w14:textId="77777777" w:rsidTr="00400A3D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8E68" w14:textId="77777777" w:rsidR="00045FEA" w:rsidRDefault="00045FEA" w:rsidP="00231942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E9FA" w14:textId="77777777" w:rsidR="00045FEA" w:rsidRDefault="00045FEA" w:rsidP="00231942">
            <w:r>
              <w:t>Pipeline reprodutível em R, com código-fonte público, implementando todos os desenhos (</w:t>
            </w:r>
            <w:proofErr w:type="spellStart"/>
            <w:r>
              <w:t>cross-section</w:t>
            </w:r>
            <w:proofErr w:type="spellEnd"/>
            <w:r>
              <w:t>, painel UF, heterogeneidade, sensibilidade)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C628" w14:textId="77777777" w:rsidR="00045FEA" w:rsidRDefault="00045FEA" w:rsidP="00231942">
            <w:r>
              <w:t xml:space="preserve">Repositório GitHub + release </w:t>
            </w:r>
            <w:proofErr w:type="spellStart"/>
            <w:r>
              <w:t>versionada</w:t>
            </w:r>
            <w:proofErr w:type="spellEnd"/>
          </w:p>
        </w:tc>
      </w:tr>
      <w:tr w:rsidR="00045FEA" w14:paraId="4604FA07" w14:textId="77777777" w:rsidTr="00400A3D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0BE4" w14:textId="77777777" w:rsidR="00045FEA" w:rsidRDefault="00045FEA" w:rsidP="00231942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E7A6" w14:textId="77777777" w:rsidR="00045FEA" w:rsidRDefault="00045FEA" w:rsidP="00231942">
            <w:r>
              <w:t>Artigo científico submetido a periódico de saúde coletiva (Revista de Saúde Pública, Cadernos de Saúde Pública ou Ciência &amp; Saúde Coletiva)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7929" w14:textId="77777777" w:rsidR="00045FEA" w:rsidRDefault="00045FEA" w:rsidP="00231942">
            <w:r>
              <w:t>Manuscrito no formato do periódico</w:t>
            </w:r>
          </w:p>
        </w:tc>
      </w:tr>
      <w:tr w:rsidR="00045FEA" w14:paraId="6AB69A2D" w14:textId="77777777" w:rsidTr="00400A3D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BA1B" w14:textId="77777777" w:rsidR="00045FEA" w:rsidRDefault="00045FEA" w:rsidP="00231942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764D" w14:textId="77777777" w:rsidR="00045FEA" w:rsidRDefault="00045FEA" w:rsidP="00231942">
            <w:r>
              <w:t>Nota técnica para gestores (8–12 páginas) com achados centrais, mapas e recomendações de política pública intersetorial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2F4E" w14:textId="77777777" w:rsidR="00045FEA" w:rsidRDefault="00045FEA" w:rsidP="00231942">
            <w:r>
              <w:t>PDF</w:t>
            </w:r>
          </w:p>
        </w:tc>
      </w:tr>
      <w:tr w:rsidR="00045FEA" w14:paraId="23A8F48D" w14:textId="77777777" w:rsidTr="00400A3D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9E30" w14:textId="77777777" w:rsidR="00045FEA" w:rsidRDefault="00045FEA" w:rsidP="00231942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A294" w14:textId="77777777" w:rsidR="00045FEA" w:rsidRDefault="00045FEA" w:rsidP="00231942">
            <w:r>
              <w:t>Painel interativo com visualizações dos achados por município, UF e subgrupo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ED72" w14:textId="77777777" w:rsidR="00045FEA" w:rsidRDefault="00045FEA" w:rsidP="00231942">
            <w:r>
              <w:t>Quarto Dashboard (HTML público)</w:t>
            </w:r>
          </w:p>
        </w:tc>
      </w:tr>
      <w:tr w:rsidR="00045FEA" w14:paraId="3108F0B8" w14:textId="77777777" w:rsidTr="00400A3D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794D" w14:textId="77777777" w:rsidR="00045FEA" w:rsidRDefault="00045FEA" w:rsidP="00231942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3BAA" w14:textId="77777777" w:rsidR="00045FEA" w:rsidRDefault="00045FEA" w:rsidP="00231942">
            <w:r>
              <w:t>Apresentação executiva ao Comitê Técnico do edital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C78C" w14:textId="77777777" w:rsidR="00045FEA" w:rsidRDefault="00045FEA" w:rsidP="00231942">
            <w:r>
              <w:t>Slides Quarto + reveal.js</w:t>
            </w:r>
          </w:p>
        </w:tc>
      </w:tr>
    </w:tbl>
    <w:p w14:paraId="48416492" w14:textId="77777777" w:rsidR="00045FEA" w:rsidRDefault="00045FEA" w:rsidP="0018691E">
      <w:pPr>
        <w:spacing w:before="60" w:after="60" w:line="264" w:lineRule="auto"/>
        <w:jc w:val="both"/>
        <w:rPr>
          <w:b/>
          <w:bCs/>
        </w:rPr>
      </w:pPr>
    </w:p>
    <w:p w14:paraId="6D62C92B" w14:textId="73601638" w:rsidR="00125753" w:rsidRDefault="00056100" w:rsidP="0018691E">
      <w:pPr>
        <w:spacing w:before="60" w:after="60" w:line="264" w:lineRule="auto"/>
        <w:jc w:val="both"/>
        <w:rPr>
          <w:b/>
          <w:bCs/>
          <w:color w:val="1F4E79"/>
          <w:sz w:val="28"/>
          <w:szCs w:val="28"/>
        </w:rPr>
      </w:pPr>
      <w:r w:rsidRPr="00045FEA">
        <w:rPr>
          <w:b/>
          <w:bCs/>
          <w:color w:val="1F4E79"/>
          <w:sz w:val="28"/>
          <w:szCs w:val="28"/>
        </w:rPr>
        <w:t>6. Cronograma de Execução — Modalidade B</w:t>
      </w:r>
    </w:p>
    <w:p w14:paraId="0DF595DF" w14:textId="77777777" w:rsidR="00B32B8B" w:rsidRDefault="00B32B8B" w:rsidP="0018691E">
      <w:pPr>
        <w:spacing w:before="60" w:after="60" w:line="264" w:lineRule="auto"/>
        <w:jc w:val="both"/>
        <w:rPr>
          <w:color w:val="1F4E79"/>
          <w:sz w:val="28"/>
          <w:szCs w:val="28"/>
        </w:rPr>
      </w:pPr>
    </w:p>
    <w:p w14:paraId="439D4AC8" w14:textId="77777777" w:rsidR="00B32B8B" w:rsidRDefault="00B32B8B" w:rsidP="0018691E">
      <w:pPr>
        <w:spacing w:before="60" w:after="60" w:line="264" w:lineRule="auto"/>
        <w:jc w:val="both"/>
        <w:rPr>
          <w:color w:val="1F4E79"/>
          <w:sz w:val="28"/>
          <w:szCs w:val="28"/>
        </w:rPr>
      </w:pPr>
    </w:p>
    <w:p w14:paraId="3E96F95B" w14:textId="77777777" w:rsidR="00B32B8B" w:rsidRDefault="00B32B8B" w:rsidP="0018691E">
      <w:pPr>
        <w:spacing w:before="60" w:after="60" w:line="264" w:lineRule="auto"/>
        <w:jc w:val="both"/>
        <w:rPr>
          <w:color w:val="1F4E79"/>
          <w:sz w:val="28"/>
          <w:szCs w:val="28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5778"/>
        <w:gridCol w:w="2794"/>
      </w:tblGrid>
      <w:tr w:rsidR="007070A0" w14:paraId="395ED87D" w14:textId="77777777" w:rsidTr="00231942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67DF" w14:textId="77777777" w:rsidR="007070A0" w:rsidRDefault="007070A0" w:rsidP="00231942">
            <w:pPr>
              <w:jc w:val="center"/>
            </w:pPr>
            <w:r>
              <w:rPr>
                <w:b/>
                <w:bCs/>
                <w:color w:val="FFFFFF"/>
              </w:rPr>
              <w:t>Mês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A837" w14:textId="77777777" w:rsidR="007070A0" w:rsidRDefault="007070A0" w:rsidP="00231942">
            <w:r>
              <w:rPr>
                <w:b/>
                <w:bCs/>
                <w:color w:val="FFFFFF"/>
              </w:rPr>
              <w:t>Atividades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F40F" w14:textId="77777777" w:rsidR="007070A0" w:rsidRDefault="007070A0" w:rsidP="00231942">
            <w:r>
              <w:rPr>
                <w:b/>
                <w:bCs/>
                <w:color w:val="FFFFFF"/>
              </w:rPr>
              <w:t>Marcos / Entregas</w:t>
            </w:r>
          </w:p>
        </w:tc>
      </w:tr>
      <w:tr w:rsidR="007070A0" w14:paraId="116805F7" w14:textId="77777777" w:rsidTr="00231942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1040" w14:textId="77777777" w:rsidR="007070A0" w:rsidRDefault="007070A0" w:rsidP="00231942">
            <w:pPr>
              <w:jc w:val="center"/>
            </w:pPr>
            <w:r>
              <w:rPr>
                <w:b/>
                <w:bCs/>
              </w:rPr>
              <w:t>Mês 1 (Jul/2026)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1CBF" w14:textId="77777777" w:rsidR="007070A0" w:rsidRDefault="007070A0" w:rsidP="00231942">
            <w:r>
              <w:t xml:space="preserve">Solicitação formal e recepção do IIEM 2017 (Lupa Social). Construção do pipeline de extração e harmonização SIM/SIH/CNES via </w:t>
            </w:r>
            <w:proofErr w:type="spellStart"/>
            <w:r>
              <w:t>microdatasus</w:t>
            </w:r>
            <w:proofErr w:type="spellEnd"/>
            <w:r>
              <w:t>. Compilação das covariáveis municipais e do painel UF. Análise descritiva e mapas exploratórios.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BFC1" w14:textId="77777777" w:rsidR="007070A0" w:rsidRDefault="007070A0" w:rsidP="00231942">
            <w:r>
              <w:t>Base analítica consolidada (5.570 mun.); relatório de progresso #1.</w:t>
            </w:r>
          </w:p>
        </w:tc>
      </w:tr>
      <w:tr w:rsidR="007070A0" w14:paraId="1FEF0895" w14:textId="77777777" w:rsidTr="00231942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86B5" w14:textId="77777777" w:rsidR="007070A0" w:rsidRDefault="007070A0" w:rsidP="00231942">
            <w:pPr>
              <w:jc w:val="center"/>
            </w:pPr>
            <w:r>
              <w:rPr>
                <w:b/>
                <w:bCs/>
              </w:rPr>
              <w:t>Mês 2 (</w:t>
            </w:r>
            <w:proofErr w:type="spellStart"/>
            <w:r>
              <w:rPr>
                <w:b/>
                <w:bCs/>
              </w:rPr>
              <w:t>Ago</w:t>
            </w:r>
            <w:proofErr w:type="spellEnd"/>
            <w:r>
              <w:rPr>
                <w:b/>
                <w:bCs/>
              </w:rPr>
              <w:t>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AD84" w14:textId="77777777" w:rsidR="007070A0" w:rsidRDefault="007070A0" w:rsidP="00231942">
            <w:r>
              <w:t>Implementação do Desenho A (</w:t>
            </w:r>
            <w:proofErr w:type="spellStart"/>
            <w:r>
              <w:t>cross-section</w:t>
            </w:r>
            <w:proofErr w:type="spellEnd"/>
            <w:r>
              <w:t xml:space="preserve"> municipal): modelos Poisson e binomial negativa para mortalidade externa e ICSAP, com especificação ANCOVA. Análises iniciais de sensibilidade (BYM, exclusão pandemia).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59AD" w14:textId="77777777" w:rsidR="007070A0" w:rsidRDefault="007070A0" w:rsidP="00231942">
            <w:r>
              <w:t>Estimativas principais; relatório de progresso #2.</w:t>
            </w:r>
          </w:p>
        </w:tc>
      </w:tr>
      <w:tr w:rsidR="007070A0" w14:paraId="1A77324B" w14:textId="77777777" w:rsidTr="00231942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0197" w14:textId="77777777" w:rsidR="007070A0" w:rsidRDefault="007070A0" w:rsidP="00231942">
            <w:pPr>
              <w:jc w:val="center"/>
            </w:pPr>
            <w:r>
              <w:rPr>
                <w:b/>
                <w:bCs/>
              </w:rPr>
              <w:t>Mês 3 (Set/2026)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BFF2" w14:textId="77777777" w:rsidR="007070A0" w:rsidRDefault="007070A0" w:rsidP="00231942">
            <w:r>
              <w:t xml:space="preserve">Implementação do Desenho B (painel UF) com efeitos fixos </w:t>
            </w:r>
            <w:proofErr w:type="spellStart"/>
            <w:r>
              <w:t>two-way</w:t>
            </w:r>
            <w:proofErr w:type="spellEnd"/>
            <w:r>
              <w:t xml:space="preserve"> e </w:t>
            </w:r>
            <w:proofErr w:type="spellStart"/>
            <w:r>
              <w:t>wild</w:t>
            </w:r>
            <w:proofErr w:type="spellEnd"/>
            <w:r>
              <w:t xml:space="preserve"> </w:t>
            </w:r>
            <w:proofErr w:type="spellStart"/>
            <w:r>
              <w:t>bootstrap</w:t>
            </w:r>
            <w:proofErr w:type="spellEnd"/>
            <w:r>
              <w:t>. Implementação do Desenho C (heterogeneidade): porte, macrorregião, sexo, cobertura ESF. Análise de robustez com CEM e E-</w:t>
            </w:r>
            <w:proofErr w:type="spellStart"/>
            <w:r>
              <w:t>value</w:t>
            </w:r>
            <w:proofErr w:type="spellEnd"/>
            <w:r>
              <w:t>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6256" w14:textId="77777777" w:rsidR="007070A0" w:rsidRDefault="007070A0" w:rsidP="00231942">
            <w:r>
              <w:t>Estimativas validadas e heterogeneidades; relatório #3.</w:t>
            </w:r>
          </w:p>
        </w:tc>
      </w:tr>
      <w:tr w:rsidR="007070A0" w14:paraId="6E6EC7AA" w14:textId="77777777" w:rsidTr="00231942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31CC" w14:textId="77777777" w:rsidR="007070A0" w:rsidRDefault="007070A0" w:rsidP="00231942">
            <w:pPr>
              <w:jc w:val="center"/>
            </w:pPr>
            <w:r>
              <w:rPr>
                <w:b/>
                <w:bCs/>
              </w:rPr>
              <w:t>Mês 4 (Out/2026)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550D" w14:textId="77777777" w:rsidR="007070A0" w:rsidRDefault="007070A0" w:rsidP="00231942">
            <w:r>
              <w:t>Redação do artigo científico (versão completa). Construção do painel interativo Quarto. Refinamento dos mapas e do material de comunicação.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8375" w14:textId="77777777" w:rsidR="007070A0" w:rsidRDefault="007070A0" w:rsidP="00231942">
            <w:r>
              <w:t>Manuscrito em primeira versão; painel funcional; relatório #4.</w:t>
            </w:r>
          </w:p>
        </w:tc>
      </w:tr>
      <w:tr w:rsidR="007070A0" w14:paraId="49F8EBCA" w14:textId="77777777" w:rsidTr="00231942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AC63" w14:textId="77777777" w:rsidR="007070A0" w:rsidRDefault="007070A0" w:rsidP="00231942">
            <w:pPr>
              <w:jc w:val="center"/>
            </w:pPr>
            <w:r>
              <w:rPr>
                <w:b/>
                <w:bCs/>
              </w:rPr>
              <w:t>Mês 5 (</w:t>
            </w:r>
            <w:proofErr w:type="spellStart"/>
            <w:r>
              <w:rPr>
                <w:b/>
                <w:bCs/>
              </w:rPr>
              <w:t>Nov</w:t>
            </w:r>
            <w:proofErr w:type="spellEnd"/>
            <w:r>
              <w:rPr>
                <w:b/>
                <w:bCs/>
              </w:rPr>
              <w:t>-Dez/2026)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0D89" w14:textId="77777777" w:rsidR="007070A0" w:rsidRDefault="007070A0" w:rsidP="00231942">
            <w:r>
              <w:t>Refinamento e submissão do artigo a periódico. Redação da nota técnica para gestores. Finalização do repositório GitHub público. Apresentação executiva ao Comitê Técnico.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03C1" w14:textId="77777777" w:rsidR="007070A0" w:rsidRDefault="007070A0" w:rsidP="00231942">
            <w:r>
              <w:t>Todos os produtos entregues; entrega formal ao edital.</w:t>
            </w:r>
          </w:p>
        </w:tc>
      </w:tr>
    </w:tbl>
    <w:p w14:paraId="3D4EE676" w14:textId="77777777" w:rsidR="00B32B8B" w:rsidRDefault="00B32B8B" w:rsidP="0018691E">
      <w:pPr>
        <w:spacing w:before="60" w:after="60" w:line="264" w:lineRule="auto"/>
        <w:jc w:val="both"/>
        <w:rPr>
          <w:color w:val="1F4E79"/>
          <w:sz w:val="28"/>
          <w:szCs w:val="28"/>
        </w:rPr>
      </w:pPr>
    </w:p>
    <w:p w14:paraId="6D62C944" w14:textId="77777777" w:rsidR="00125753" w:rsidRPr="00D5647F" w:rsidRDefault="00056100" w:rsidP="0018691E">
      <w:pPr>
        <w:spacing w:before="60" w:after="60" w:line="264" w:lineRule="auto"/>
        <w:jc w:val="both"/>
        <w:rPr>
          <w:color w:val="1F4E79"/>
          <w:sz w:val="28"/>
          <w:szCs w:val="28"/>
        </w:rPr>
      </w:pPr>
      <w:r w:rsidRPr="00D5647F">
        <w:rPr>
          <w:b/>
          <w:bCs/>
          <w:color w:val="1F4E79"/>
          <w:sz w:val="28"/>
          <w:szCs w:val="28"/>
        </w:rPr>
        <w:t>7. Referências</w:t>
      </w:r>
    </w:p>
    <w:p w14:paraId="180FA2C2" w14:textId="77777777" w:rsidR="00400A3D" w:rsidRDefault="00400A3D" w:rsidP="0018691E">
      <w:pPr>
        <w:spacing w:before="60" w:after="60" w:line="264" w:lineRule="auto"/>
      </w:pPr>
    </w:p>
    <w:p w14:paraId="6D62C945" w14:textId="707D7573" w:rsidR="00125753" w:rsidRPr="00400A3D" w:rsidRDefault="00056100" w:rsidP="00400A3D">
      <w:r w:rsidRPr="00400A3D">
        <w:t xml:space="preserve">Alfradique, M. E., Bonolo, P. F., Dourado, I., Lima-Costa, M. F., Macinko, J., Mendonça, C. S., Oliveira, V. B., Sampaio, L. F. R., Simoni, C., &amp; Turci, M. A. (2009). Internações por condições sensíveis à atenção primária: A construção da lista brasileira como ferramenta para medir o desempenho do sistema de saúde (Projeto ICSAP — Brasil). </w:t>
      </w:r>
      <w:r w:rsidRPr="00400A3D">
        <w:rPr>
          <w:i/>
          <w:iCs/>
        </w:rPr>
        <w:t>Cadernos de Saúde Pública</w:t>
      </w:r>
      <w:r w:rsidRPr="00400A3D">
        <w:t xml:space="preserve">, </w:t>
      </w:r>
      <w:r w:rsidRPr="00400A3D">
        <w:rPr>
          <w:i/>
          <w:iCs/>
        </w:rPr>
        <w:t>25</w:t>
      </w:r>
      <w:r w:rsidRPr="00400A3D">
        <w:t>(6), 1337–1349. https://doi.org/10.1590/S0102-311X2009000600016</w:t>
      </w:r>
    </w:p>
    <w:p w14:paraId="59189CC3" w14:textId="77777777" w:rsidR="00D5647F" w:rsidRPr="00400A3D" w:rsidRDefault="00D5647F" w:rsidP="00400A3D"/>
    <w:p w14:paraId="6D62C946" w14:textId="34D13630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Azevedo, J. P., Hasan, A., Goldemberg, D., </w:t>
      </w:r>
      <w:proofErr w:type="spellStart"/>
      <w:r w:rsidRPr="00400A3D">
        <w:rPr>
          <w:lang w:val="en-US"/>
        </w:rPr>
        <w:t>Geven</w:t>
      </w:r>
      <w:proofErr w:type="spellEnd"/>
      <w:r w:rsidRPr="00400A3D">
        <w:rPr>
          <w:lang w:val="en-US"/>
        </w:rPr>
        <w:t xml:space="preserve">, K., &amp; Iqbal, S. A. (2021). Simulating the potential impacts of COVID-19 school closures on schooling and learning outcomes: A set of global estimates. </w:t>
      </w:r>
      <w:r w:rsidRPr="00400A3D">
        <w:rPr>
          <w:i/>
          <w:iCs/>
          <w:lang w:val="en-US"/>
        </w:rPr>
        <w:t>The World Bank Research Observer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36</w:t>
      </w:r>
      <w:r w:rsidRPr="00400A3D">
        <w:rPr>
          <w:lang w:val="en-US"/>
        </w:rPr>
        <w:t>(1), 1–40. https://doi.org/10.1093/wbro/lkab003</w:t>
      </w:r>
    </w:p>
    <w:p w14:paraId="485760B0" w14:textId="77777777" w:rsidR="00654A39" w:rsidRPr="00400A3D" w:rsidRDefault="00654A39" w:rsidP="00400A3D">
      <w:pPr>
        <w:rPr>
          <w:lang w:val="en-US"/>
        </w:rPr>
      </w:pPr>
    </w:p>
    <w:p w14:paraId="6D62C947" w14:textId="20B7DAF3" w:rsidR="00125753" w:rsidRPr="00400A3D" w:rsidRDefault="00056100" w:rsidP="00400A3D">
      <w:pPr>
        <w:rPr>
          <w:lang w:val="en-US"/>
        </w:rPr>
      </w:pPr>
      <w:proofErr w:type="spellStart"/>
      <w:r w:rsidRPr="00400A3D">
        <w:rPr>
          <w:lang w:val="en-US"/>
        </w:rPr>
        <w:t>Blangiardo</w:t>
      </w:r>
      <w:proofErr w:type="spellEnd"/>
      <w:r w:rsidRPr="00400A3D">
        <w:rPr>
          <w:lang w:val="en-US"/>
        </w:rPr>
        <w:t xml:space="preserve">, M., Cameletti, M., Baio, G., &amp; Rue, H. (2013). Spatial and </w:t>
      </w:r>
      <w:proofErr w:type="spellStart"/>
      <w:r w:rsidRPr="00400A3D">
        <w:rPr>
          <w:lang w:val="en-US"/>
        </w:rPr>
        <w:t>spatio</w:t>
      </w:r>
      <w:proofErr w:type="spellEnd"/>
      <w:r w:rsidRPr="00400A3D">
        <w:rPr>
          <w:lang w:val="en-US"/>
        </w:rPr>
        <w:t xml:space="preserve">-temporal models with R-INLA. </w:t>
      </w:r>
      <w:r w:rsidRPr="00400A3D">
        <w:rPr>
          <w:i/>
          <w:iCs/>
          <w:lang w:val="en-US"/>
        </w:rPr>
        <w:t xml:space="preserve">Spatial and </w:t>
      </w:r>
      <w:proofErr w:type="spellStart"/>
      <w:r w:rsidRPr="00400A3D">
        <w:rPr>
          <w:i/>
          <w:iCs/>
          <w:lang w:val="en-US"/>
        </w:rPr>
        <w:t>Spatio</w:t>
      </w:r>
      <w:proofErr w:type="spellEnd"/>
      <w:r w:rsidRPr="00400A3D">
        <w:rPr>
          <w:i/>
          <w:iCs/>
          <w:lang w:val="en-US"/>
        </w:rPr>
        <w:t>-temporal Epidemiology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7</w:t>
      </w:r>
      <w:r w:rsidRPr="00400A3D">
        <w:rPr>
          <w:lang w:val="en-US"/>
        </w:rPr>
        <w:t>, 39–55. https://doi.org/10.1016/j.sste.2013.07.003</w:t>
      </w:r>
    </w:p>
    <w:p w14:paraId="386C23B3" w14:textId="77777777" w:rsidR="00654A39" w:rsidRPr="00400A3D" w:rsidRDefault="00654A39" w:rsidP="00400A3D"/>
    <w:p w14:paraId="6D62C948" w14:textId="5B25138E" w:rsidR="00125753" w:rsidRPr="00400A3D" w:rsidRDefault="00056100" w:rsidP="00400A3D">
      <w:r w:rsidRPr="00400A3D">
        <w:t xml:space="preserve">Borges, D., &amp; Cano, I. (Eds.). (2017). </w:t>
      </w:r>
      <w:r w:rsidRPr="00400A3D">
        <w:rPr>
          <w:i/>
          <w:iCs/>
        </w:rPr>
        <w:t>Índice de homicídios na adolescência: IHA 2014</w:t>
      </w:r>
      <w:r w:rsidRPr="00400A3D">
        <w:t>. Observatório de Favelas.</w:t>
      </w:r>
    </w:p>
    <w:p w14:paraId="1B5133A9" w14:textId="77777777" w:rsidR="00654A39" w:rsidRPr="00400A3D" w:rsidRDefault="00654A39" w:rsidP="00400A3D"/>
    <w:p w14:paraId="6D62C949" w14:textId="27A26032" w:rsidR="00125753" w:rsidRPr="00400A3D" w:rsidRDefault="00056100" w:rsidP="00400A3D">
      <w:r w:rsidRPr="00400A3D">
        <w:t xml:space="preserve">Brasil, Ministério da Saúde, Secretaria de Atenção à Saúde. (2008, 17 de abril). </w:t>
      </w:r>
      <w:r w:rsidRPr="00400A3D">
        <w:rPr>
          <w:i/>
          <w:iCs/>
        </w:rPr>
        <w:t>Portaria nº 221, de 17 de abril de 2008. Publica a Lista Brasileira de Internações por Condições Sensíveis à Atenção Primária</w:t>
      </w:r>
      <w:r w:rsidRPr="00400A3D">
        <w:t>. Diário Oficial da União, Seção 1, 70–71. https://bvsms.saude.gov.br/bvs/saudelegis/sas/2008/prt0221_17_04_2008.html</w:t>
      </w:r>
    </w:p>
    <w:p w14:paraId="10BD4501" w14:textId="77777777" w:rsidR="00654A39" w:rsidRPr="00400A3D" w:rsidRDefault="00654A39" w:rsidP="00400A3D">
      <w:pPr>
        <w:rPr>
          <w:lang w:val="en-US"/>
        </w:rPr>
      </w:pPr>
    </w:p>
    <w:p w14:paraId="6D62C94A" w14:textId="335AA31D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lastRenderedPageBreak/>
        <w:t xml:space="preserve">Callaway, B., Goodman-Bacon, A., &amp; Sant’Anna, P. H. (2024). </w:t>
      </w:r>
      <w:r w:rsidRPr="00400A3D">
        <w:rPr>
          <w:i/>
          <w:iCs/>
          <w:lang w:val="en-US"/>
        </w:rPr>
        <w:t xml:space="preserve">Difference-in-differences with </w:t>
      </w:r>
      <w:proofErr w:type="gramStart"/>
      <w:r w:rsidRPr="00400A3D">
        <w:rPr>
          <w:i/>
          <w:iCs/>
          <w:lang w:val="en-US"/>
        </w:rPr>
        <w:t>a continuous</w:t>
      </w:r>
      <w:proofErr w:type="gramEnd"/>
      <w:r w:rsidRPr="00400A3D">
        <w:rPr>
          <w:i/>
          <w:iCs/>
          <w:lang w:val="en-US"/>
        </w:rPr>
        <w:t xml:space="preserve"> treatment</w:t>
      </w:r>
      <w:r w:rsidRPr="00400A3D">
        <w:rPr>
          <w:lang w:val="en-US"/>
        </w:rPr>
        <w:t xml:space="preserve"> (NBER Working Paper No. 32117). National Bureau of Economic Research.</w:t>
      </w:r>
      <w:r w:rsidR="00654A39" w:rsidRPr="00400A3D">
        <w:rPr>
          <w:lang w:val="en-US"/>
        </w:rPr>
        <w:t xml:space="preserve"> </w:t>
      </w:r>
      <w:r w:rsidRPr="00400A3D">
        <w:rPr>
          <w:lang w:val="en-US"/>
        </w:rPr>
        <w:t>https://doi.org/10.3386/w32117</w:t>
      </w:r>
    </w:p>
    <w:p w14:paraId="5613C762" w14:textId="77777777" w:rsidR="00654A39" w:rsidRPr="00400A3D" w:rsidRDefault="00654A39" w:rsidP="00400A3D">
      <w:pPr>
        <w:rPr>
          <w:lang w:val="en-US"/>
        </w:rPr>
      </w:pPr>
    </w:p>
    <w:p w14:paraId="6D62C94B" w14:textId="3730615C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Callaway, B., &amp; Sant’Anna, P. H. C. (2021). Difference-in-differences with multiple time periods. </w:t>
      </w:r>
      <w:r w:rsidRPr="00400A3D">
        <w:rPr>
          <w:i/>
          <w:iCs/>
          <w:lang w:val="en-US"/>
        </w:rPr>
        <w:t>Journal of Econometrics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225</w:t>
      </w:r>
      <w:r w:rsidRPr="00400A3D">
        <w:rPr>
          <w:lang w:val="en-US"/>
        </w:rPr>
        <w:t>(2), 200–230. https://doi.org/10.1016/j.jeconom.2020.12.001</w:t>
      </w:r>
    </w:p>
    <w:p w14:paraId="35ACC4C8" w14:textId="77777777" w:rsidR="00654A39" w:rsidRPr="00400A3D" w:rsidRDefault="00654A39" w:rsidP="00400A3D">
      <w:pPr>
        <w:rPr>
          <w:lang w:val="en-US"/>
        </w:rPr>
      </w:pPr>
    </w:p>
    <w:p w14:paraId="6D62C94C" w14:textId="4FD4E6F2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Cameron, A. C., Gelbach, J. B., &amp; Miller, D. L. (2008). Bootstrap-based improvements for inference with clustered errors. </w:t>
      </w:r>
      <w:r w:rsidRPr="00400A3D">
        <w:rPr>
          <w:i/>
          <w:iCs/>
          <w:lang w:val="en-US"/>
        </w:rPr>
        <w:t>The Review of Economics and Statistics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90</w:t>
      </w:r>
      <w:r w:rsidRPr="00400A3D">
        <w:rPr>
          <w:lang w:val="en-US"/>
        </w:rPr>
        <w:t>(3), 414–427. https://doi.org/10.1162/rest.90.3.414</w:t>
      </w:r>
    </w:p>
    <w:p w14:paraId="3F120BE4" w14:textId="77777777" w:rsidR="00654A39" w:rsidRPr="00400A3D" w:rsidRDefault="00654A39" w:rsidP="00400A3D">
      <w:pPr>
        <w:rPr>
          <w:lang w:val="en-US"/>
        </w:rPr>
      </w:pPr>
    </w:p>
    <w:p w14:paraId="6D62C94D" w14:textId="4005F197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Cutler, D. M., &amp; Lleras-Muney, A. (2010). Understanding differences in health behaviors by education. </w:t>
      </w:r>
      <w:r w:rsidRPr="00400A3D">
        <w:rPr>
          <w:i/>
          <w:iCs/>
          <w:lang w:val="en-US"/>
        </w:rPr>
        <w:t>Journal of Health Economics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29</w:t>
      </w:r>
      <w:r w:rsidRPr="00400A3D">
        <w:rPr>
          <w:lang w:val="en-US"/>
        </w:rPr>
        <w:t>(1), 1–28. https://doi.org/10.1016/j.jhealeco.2009.10.003</w:t>
      </w:r>
    </w:p>
    <w:p w14:paraId="01E02B83" w14:textId="77777777" w:rsidR="00654A39" w:rsidRPr="00400A3D" w:rsidRDefault="00654A39" w:rsidP="00400A3D">
      <w:pPr>
        <w:rPr>
          <w:lang w:val="en-US"/>
        </w:rPr>
      </w:pPr>
    </w:p>
    <w:p w14:paraId="6D62C94E" w14:textId="325F0218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de </w:t>
      </w:r>
      <w:proofErr w:type="spellStart"/>
      <w:r w:rsidRPr="00400A3D">
        <w:rPr>
          <w:lang w:val="en-US"/>
        </w:rPr>
        <w:t>Chaisemartin</w:t>
      </w:r>
      <w:proofErr w:type="spellEnd"/>
      <w:r w:rsidRPr="00400A3D">
        <w:rPr>
          <w:lang w:val="en-US"/>
        </w:rPr>
        <w:t xml:space="preserve">, C., &amp; </w:t>
      </w:r>
      <w:proofErr w:type="spellStart"/>
      <w:r w:rsidRPr="00400A3D">
        <w:rPr>
          <w:lang w:val="en-US"/>
        </w:rPr>
        <w:t>D’Haultfœuille</w:t>
      </w:r>
      <w:proofErr w:type="spellEnd"/>
      <w:r w:rsidRPr="00400A3D">
        <w:rPr>
          <w:lang w:val="en-US"/>
        </w:rPr>
        <w:t xml:space="preserve">, X. (2020). Two-way fixed effects estimators with heterogeneous treatment effects. </w:t>
      </w:r>
      <w:r w:rsidRPr="00400A3D">
        <w:rPr>
          <w:i/>
          <w:iCs/>
          <w:lang w:val="en-US"/>
        </w:rPr>
        <w:t>American Economic Review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110</w:t>
      </w:r>
      <w:r w:rsidRPr="00400A3D">
        <w:rPr>
          <w:lang w:val="en-US"/>
        </w:rPr>
        <w:t>(9), 2964–2996. https://doi.org/10.1257/aer.20181169</w:t>
      </w:r>
    </w:p>
    <w:p w14:paraId="519451AF" w14:textId="77777777" w:rsidR="00654A39" w:rsidRPr="00400A3D" w:rsidRDefault="00654A39" w:rsidP="00400A3D">
      <w:pPr>
        <w:rPr>
          <w:lang w:val="en-US"/>
        </w:rPr>
      </w:pPr>
    </w:p>
    <w:p w14:paraId="6D62C94F" w14:textId="0FF1FD6F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de </w:t>
      </w:r>
      <w:proofErr w:type="spellStart"/>
      <w:r w:rsidRPr="00400A3D">
        <w:rPr>
          <w:lang w:val="en-US"/>
        </w:rPr>
        <w:t>Chaisemartin</w:t>
      </w:r>
      <w:proofErr w:type="spellEnd"/>
      <w:r w:rsidRPr="00400A3D">
        <w:rPr>
          <w:lang w:val="en-US"/>
        </w:rPr>
        <w:t xml:space="preserve">, C., </w:t>
      </w:r>
      <w:proofErr w:type="spellStart"/>
      <w:r w:rsidRPr="00400A3D">
        <w:rPr>
          <w:lang w:val="en-US"/>
        </w:rPr>
        <w:t>D’Haultfœuille</w:t>
      </w:r>
      <w:proofErr w:type="spellEnd"/>
      <w:r w:rsidRPr="00400A3D">
        <w:rPr>
          <w:lang w:val="en-US"/>
        </w:rPr>
        <w:t xml:space="preserve">, X., Pasquier, F., Sow, D., &amp; Vazquez-Bare, G. (2025). </w:t>
      </w:r>
      <w:r w:rsidRPr="00400A3D">
        <w:rPr>
          <w:i/>
          <w:iCs/>
          <w:lang w:val="en-US"/>
        </w:rPr>
        <w:t>Difference-in-differences for continuous treatments and instruments with stayers</w:t>
      </w:r>
      <w:r w:rsidRPr="00400A3D">
        <w:rPr>
          <w:lang w:val="en-US"/>
        </w:rPr>
        <w:t xml:space="preserve"> [</w:t>
      </w:r>
      <w:proofErr w:type="spellStart"/>
      <w:r w:rsidRPr="00400A3D">
        <w:rPr>
          <w:lang w:val="en-US"/>
        </w:rPr>
        <w:t>Manuscrito</w:t>
      </w:r>
      <w:proofErr w:type="spellEnd"/>
      <w:r w:rsidRPr="00400A3D">
        <w:rPr>
          <w:lang w:val="en-US"/>
        </w:rPr>
        <w:t xml:space="preserve"> de </w:t>
      </w:r>
      <w:proofErr w:type="spellStart"/>
      <w:r w:rsidRPr="00400A3D">
        <w:rPr>
          <w:lang w:val="en-US"/>
        </w:rPr>
        <w:t>trabalho</w:t>
      </w:r>
      <w:proofErr w:type="spellEnd"/>
      <w:r w:rsidRPr="00400A3D">
        <w:rPr>
          <w:lang w:val="en-US"/>
        </w:rPr>
        <w:t>].</w:t>
      </w:r>
    </w:p>
    <w:p w14:paraId="424CE993" w14:textId="77777777" w:rsidR="00654A39" w:rsidRPr="00400A3D" w:rsidRDefault="00654A39" w:rsidP="00400A3D"/>
    <w:p w14:paraId="6D62C950" w14:textId="420E868F" w:rsidR="00125753" w:rsidRPr="00400A3D" w:rsidRDefault="00056100" w:rsidP="00400A3D">
      <w:r w:rsidRPr="00400A3D">
        <w:t xml:space="preserve">Fernandes, R., de Felicio, F., Galvão, M. C., &amp; Ravaioli, P. F. (2024). </w:t>
      </w:r>
      <w:r w:rsidRPr="00400A3D">
        <w:rPr>
          <w:i/>
          <w:iCs/>
        </w:rPr>
        <w:t>Relação entre o Índice de Inclusão Educacional IIE e alguns indicadores socioeconômicos selecionados: Relatório técnico</w:t>
      </w:r>
      <w:r w:rsidRPr="00400A3D">
        <w:t>. Metas Sociais; Instituto Natura.</w:t>
      </w:r>
    </w:p>
    <w:p w14:paraId="52983E4C" w14:textId="77777777" w:rsidR="00654A39" w:rsidRPr="00400A3D" w:rsidRDefault="00654A39" w:rsidP="00400A3D"/>
    <w:p w14:paraId="6D62C951" w14:textId="1BA98D23" w:rsidR="00125753" w:rsidRPr="00400A3D" w:rsidRDefault="00056100" w:rsidP="00400A3D">
      <w:r w:rsidRPr="00400A3D">
        <w:t xml:space="preserve">Fernandes, R., de Felicio, F., &amp; Saad, D. (2025). </w:t>
      </w:r>
      <w:r w:rsidRPr="00400A3D">
        <w:rPr>
          <w:i/>
          <w:iCs/>
        </w:rPr>
        <w:t>A evolução do desempenho educacional dos jovens brasileiros ao final da educação básica: Acompanhamento de gerações sucessivas</w:t>
      </w:r>
      <w:r w:rsidRPr="00400A3D">
        <w:t>. Metas Sociais; Instituto Natura.</w:t>
      </w:r>
    </w:p>
    <w:p w14:paraId="301BB835" w14:textId="77777777" w:rsidR="00B91F3E" w:rsidRPr="00400A3D" w:rsidRDefault="00B91F3E" w:rsidP="00400A3D"/>
    <w:p w14:paraId="6D62C952" w14:textId="5384FE46" w:rsidR="00125753" w:rsidRPr="00400A3D" w:rsidRDefault="00056100" w:rsidP="00400A3D">
      <w:r w:rsidRPr="00400A3D">
        <w:t xml:space="preserve">Ferreira-Batista, N. N., Postali, F. A. S., Diaz, M. D. M., Teixeira, A. D., &amp; Moreno-Serra, R. (2022). </w:t>
      </w:r>
      <w:r w:rsidRPr="00400A3D">
        <w:rPr>
          <w:lang w:val="en-US"/>
        </w:rPr>
        <w:t xml:space="preserve">The Brazilian Family Health Strategy and adult health: Evidence from individual and local data for metropolitan areas. </w:t>
      </w:r>
      <w:proofErr w:type="spellStart"/>
      <w:r w:rsidRPr="00400A3D">
        <w:rPr>
          <w:i/>
          <w:iCs/>
        </w:rPr>
        <w:t>Economics</w:t>
      </w:r>
      <w:proofErr w:type="spellEnd"/>
      <w:r w:rsidRPr="00400A3D">
        <w:rPr>
          <w:i/>
          <w:iCs/>
        </w:rPr>
        <w:t xml:space="preserve"> &amp; Human </w:t>
      </w:r>
      <w:proofErr w:type="spellStart"/>
      <w:r w:rsidRPr="00400A3D">
        <w:rPr>
          <w:i/>
          <w:iCs/>
        </w:rPr>
        <w:t>Biology</w:t>
      </w:r>
      <w:proofErr w:type="spellEnd"/>
      <w:r w:rsidRPr="00400A3D">
        <w:t xml:space="preserve">, </w:t>
      </w:r>
      <w:r w:rsidRPr="00400A3D">
        <w:rPr>
          <w:i/>
          <w:iCs/>
        </w:rPr>
        <w:t>46</w:t>
      </w:r>
      <w:r w:rsidRPr="00400A3D">
        <w:t>, 101143. https://doi.org/10.1016/j.ehb.2022.101143</w:t>
      </w:r>
    </w:p>
    <w:p w14:paraId="09FD1CAF" w14:textId="77777777" w:rsidR="00B91F3E" w:rsidRPr="00400A3D" w:rsidRDefault="00B91F3E" w:rsidP="00400A3D"/>
    <w:p w14:paraId="6D62C953" w14:textId="32769349" w:rsidR="00125753" w:rsidRPr="00400A3D" w:rsidRDefault="00056100" w:rsidP="00400A3D">
      <w:pPr>
        <w:rPr>
          <w:lang w:val="en-US"/>
        </w:rPr>
      </w:pPr>
      <w:r w:rsidRPr="00400A3D">
        <w:t xml:space="preserve">Ferreira-Batista, N. N., Teixeira, A. D., Diaz, M. D. M., Postali, F. A. S., Moreno-Serra, R., &amp; Love-Koh, J. (2023). </w:t>
      </w:r>
      <w:r w:rsidRPr="00400A3D">
        <w:rPr>
          <w:lang w:val="en-US"/>
        </w:rPr>
        <w:t xml:space="preserve">Is primary health care worth it in the long run? Evidence from Brazil. </w:t>
      </w:r>
      <w:r w:rsidRPr="00400A3D">
        <w:rPr>
          <w:i/>
          <w:iCs/>
          <w:lang w:val="en-US"/>
        </w:rPr>
        <w:t>Health Economics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32</w:t>
      </w:r>
      <w:r w:rsidRPr="00400A3D">
        <w:rPr>
          <w:lang w:val="en-US"/>
        </w:rPr>
        <w:t>(7), 1504–1524. https://doi.org/10.1002/hec.4676</w:t>
      </w:r>
    </w:p>
    <w:p w14:paraId="56CB1049" w14:textId="77777777" w:rsidR="00B91F3E" w:rsidRPr="00400A3D" w:rsidRDefault="00B91F3E" w:rsidP="00400A3D">
      <w:pPr>
        <w:rPr>
          <w:lang w:val="en-US"/>
        </w:rPr>
      </w:pPr>
    </w:p>
    <w:p w14:paraId="6D62C954" w14:textId="4E420BC9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Goin, D. E., &amp; Riddell, C. A. (2023). Comparing two-way fixed effects and new estimators for difference-in-differences: A simulation study and empirical example. </w:t>
      </w:r>
      <w:r w:rsidRPr="00400A3D">
        <w:rPr>
          <w:i/>
          <w:iCs/>
          <w:lang w:val="en-US"/>
        </w:rPr>
        <w:t>Epidemiology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34</w:t>
      </w:r>
      <w:r w:rsidRPr="00400A3D">
        <w:rPr>
          <w:lang w:val="en-US"/>
        </w:rPr>
        <w:t>(4), 535–543. https://doi.org/10.1097/EDE.0000000000001611</w:t>
      </w:r>
    </w:p>
    <w:p w14:paraId="7AFD6CF6" w14:textId="77777777" w:rsidR="00B91F3E" w:rsidRPr="00400A3D" w:rsidRDefault="00B91F3E" w:rsidP="00400A3D">
      <w:pPr>
        <w:rPr>
          <w:lang w:val="en-US"/>
        </w:rPr>
      </w:pPr>
    </w:p>
    <w:p w14:paraId="6D62C955" w14:textId="473C9A6F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Goodman-Bacon, A. (2021). Difference-in-differences with variation in treatment timing. </w:t>
      </w:r>
      <w:r w:rsidRPr="00400A3D">
        <w:rPr>
          <w:i/>
          <w:iCs/>
          <w:lang w:val="en-US"/>
        </w:rPr>
        <w:t>Journal of Econometrics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225</w:t>
      </w:r>
      <w:r w:rsidRPr="00400A3D">
        <w:rPr>
          <w:lang w:val="en-US"/>
        </w:rPr>
        <w:t>(2), 254–277. https://doi.org/10.1016/j.jeconom.2021.03.014</w:t>
      </w:r>
    </w:p>
    <w:p w14:paraId="20146FC0" w14:textId="77777777" w:rsidR="00B91F3E" w:rsidRPr="00400A3D" w:rsidRDefault="00B91F3E" w:rsidP="00400A3D">
      <w:pPr>
        <w:rPr>
          <w:lang w:val="en-US"/>
        </w:rPr>
      </w:pPr>
    </w:p>
    <w:p w14:paraId="6D62C956" w14:textId="674A14FF" w:rsidR="00125753" w:rsidRPr="00400A3D" w:rsidRDefault="00056100" w:rsidP="00400A3D">
      <w:pPr>
        <w:rPr>
          <w:lang w:val="en-US"/>
        </w:rPr>
      </w:pPr>
      <w:proofErr w:type="spellStart"/>
      <w:r w:rsidRPr="00400A3D">
        <w:t>Hone</w:t>
      </w:r>
      <w:proofErr w:type="spellEnd"/>
      <w:r w:rsidRPr="00400A3D">
        <w:t xml:space="preserve">, T., </w:t>
      </w:r>
      <w:proofErr w:type="spellStart"/>
      <w:r w:rsidRPr="00400A3D">
        <w:t>Mirelman</w:t>
      </w:r>
      <w:proofErr w:type="spellEnd"/>
      <w:r w:rsidRPr="00400A3D">
        <w:t xml:space="preserve">, A. J., </w:t>
      </w:r>
      <w:proofErr w:type="spellStart"/>
      <w:r w:rsidRPr="00400A3D">
        <w:t>Rasella</w:t>
      </w:r>
      <w:proofErr w:type="spellEnd"/>
      <w:r w:rsidRPr="00400A3D">
        <w:t xml:space="preserve">, D., Paes-Sousa, R., Barreto, M. L., Rocha, R., &amp; </w:t>
      </w:r>
      <w:proofErr w:type="spellStart"/>
      <w:r w:rsidRPr="00400A3D">
        <w:t>Millett</w:t>
      </w:r>
      <w:proofErr w:type="spellEnd"/>
      <w:r w:rsidRPr="00400A3D">
        <w:t xml:space="preserve">, C. (2019). </w:t>
      </w:r>
      <w:r w:rsidRPr="00400A3D">
        <w:rPr>
          <w:lang w:val="en-US"/>
        </w:rPr>
        <w:t xml:space="preserve">Effect of economic recession and impact of health and social protection expenditures on adult mortality: A longitudinal analysis of 5565 Brazilian municipalities. </w:t>
      </w:r>
      <w:r w:rsidRPr="00400A3D">
        <w:rPr>
          <w:i/>
          <w:iCs/>
          <w:lang w:val="en-US"/>
        </w:rPr>
        <w:t>The Lancet Global Health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7</w:t>
      </w:r>
      <w:r w:rsidRPr="00400A3D">
        <w:rPr>
          <w:lang w:val="en-US"/>
        </w:rPr>
        <w:t>(11), e1575–e1583. https://doi.org/10.1016/S2214-109X(19)30409-7</w:t>
      </w:r>
    </w:p>
    <w:p w14:paraId="3D4D82DD" w14:textId="77777777" w:rsidR="00B91F3E" w:rsidRPr="00400A3D" w:rsidRDefault="00B91F3E" w:rsidP="00400A3D">
      <w:pPr>
        <w:rPr>
          <w:lang w:val="en-US"/>
        </w:rPr>
      </w:pPr>
    </w:p>
    <w:p w14:paraId="6D62C957" w14:textId="4B0FEEEB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Hone, T., Rasella, D., Barreto, M., Atun, R., Majeed, A., &amp; Millett, C. (2017). Large reductions in amenable mortality associated with Brazil’s primary care expansion and strong health governance. </w:t>
      </w:r>
      <w:r w:rsidRPr="00400A3D">
        <w:rPr>
          <w:i/>
          <w:iCs/>
          <w:lang w:val="en-US"/>
        </w:rPr>
        <w:t>Health Affairs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36</w:t>
      </w:r>
      <w:r w:rsidRPr="00400A3D">
        <w:rPr>
          <w:lang w:val="en-US"/>
        </w:rPr>
        <w:t>(1), 149–158. https://doi.org/10.1377/hlthaff.2016.0966</w:t>
      </w:r>
    </w:p>
    <w:p w14:paraId="27DC969E" w14:textId="77777777" w:rsidR="00B91F3E" w:rsidRPr="00400A3D" w:rsidRDefault="00B91F3E" w:rsidP="00400A3D">
      <w:pPr>
        <w:rPr>
          <w:lang w:val="en-US"/>
        </w:rPr>
      </w:pPr>
    </w:p>
    <w:p w14:paraId="6D62C958" w14:textId="61A23BCA" w:rsidR="00125753" w:rsidRPr="00400A3D" w:rsidRDefault="00056100" w:rsidP="00400A3D">
      <w:r w:rsidRPr="00400A3D">
        <w:rPr>
          <w:lang w:val="en-US"/>
        </w:rPr>
        <w:lastRenderedPageBreak/>
        <w:t xml:space="preserve">Iacus, S. M., King, G., &amp; Porro, G. (2012). Causal inference without balance checking: Coarsened exact matching. </w:t>
      </w:r>
      <w:proofErr w:type="spellStart"/>
      <w:r w:rsidRPr="00400A3D">
        <w:rPr>
          <w:i/>
          <w:iCs/>
        </w:rPr>
        <w:t>Political</w:t>
      </w:r>
      <w:proofErr w:type="spellEnd"/>
      <w:r w:rsidRPr="00400A3D">
        <w:rPr>
          <w:i/>
          <w:iCs/>
        </w:rPr>
        <w:t xml:space="preserve"> </w:t>
      </w:r>
      <w:proofErr w:type="spellStart"/>
      <w:r w:rsidRPr="00400A3D">
        <w:rPr>
          <w:i/>
          <w:iCs/>
        </w:rPr>
        <w:t>Analysis</w:t>
      </w:r>
      <w:proofErr w:type="spellEnd"/>
      <w:r w:rsidRPr="00400A3D">
        <w:t xml:space="preserve">, </w:t>
      </w:r>
      <w:r w:rsidRPr="00400A3D">
        <w:rPr>
          <w:i/>
          <w:iCs/>
        </w:rPr>
        <w:t>20</w:t>
      </w:r>
      <w:r w:rsidRPr="00400A3D">
        <w:t>(1), 1–24. https://doi.org/10.1093/pan/mpr013</w:t>
      </w:r>
    </w:p>
    <w:p w14:paraId="6F55A061" w14:textId="77777777" w:rsidR="00B91F3E" w:rsidRPr="00400A3D" w:rsidRDefault="00B91F3E" w:rsidP="00400A3D"/>
    <w:p w14:paraId="6D62C959" w14:textId="548AE3E5" w:rsidR="00125753" w:rsidRPr="00400A3D" w:rsidRDefault="00056100" w:rsidP="00400A3D">
      <w:pPr>
        <w:rPr>
          <w:lang w:val="en-US"/>
        </w:rPr>
      </w:pPr>
      <w:proofErr w:type="spellStart"/>
      <w:r w:rsidRPr="00400A3D">
        <w:t>Lichand</w:t>
      </w:r>
      <w:proofErr w:type="spellEnd"/>
      <w:r w:rsidRPr="00400A3D">
        <w:t xml:space="preserve">, G., Doria, C. A., Leal-Neto, O., &amp; Fernandes, J. P. C. (2022). </w:t>
      </w:r>
      <w:r w:rsidRPr="00400A3D">
        <w:rPr>
          <w:lang w:val="en-US"/>
        </w:rPr>
        <w:t xml:space="preserve">The impacts of remote learning in secondary education during the pandemic in Brazil. </w:t>
      </w:r>
      <w:r w:rsidRPr="00400A3D">
        <w:rPr>
          <w:i/>
          <w:iCs/>
          <w:lang w:val="en-US"/>
        </w:rPr>
        <w:t xml:space="preserve">Nature Human </w:t>
      </w:r>
      <w:proofErr w:type="spellStart"/>
      <w:r w:rsidRPr="00400A3D">
        <w:rPr>
          <w:i/>
          <w:iCs/>
          <w:lang w:val="en-US"/>
        </w:rPr>
        <w:t>Behaviour</w:t>
      </w:r>
      <w:proofErr w:type="spellEnd"/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6</w:t>
      </w:r>
      <w:r w:rsidRPr="00400A3D">
        <w:rPr>
          <w:lang w:val="en-US"/>
        </w:rPr>
        <w:t>(8), 1079–1086. https://doi.org/10.1038/s41562-022-01350-6</w:t>
      </w:r>
    </w:p>
    <w:p w14:paraId="0A9B9390" w14:textId="77777777" w:rsidR="00B91F3E" w:rsidRPr="00400A3D" w:rsidRDefault="00B91F3E" w:rsidP="00400A3D">
      <w:pPr>
        <w:rPr>
          <w:lang w:val="en-US"/>
        </w:rPr>
      </w:pPr>
    </w:p>
    <w:p w14:paraId="6D62C95A" w14:textId="42F6A16C" w:rsidR="00125753" w:rsidRPr="00400A3D" w:rsidRDefault="00056100" w:rsidP="00400A3D">
      <w:proofErr w:type="spellStart"/>
      <w:r w:rsidRPr="00400A3D">
        <w:rPr>
          <w:lang w:val="en-US"/>
        </w:rPr>
        <w:t>Lipsitch</w:t>
      </w:r>
      <w:proofErr w:type="spellEnd"/>
      <w:r w:rsidRPr="00400A3D">
        <w:rPr>
          <w:lang w:val="en-US"/>
        </w:rPr>
        <w:t xml:space="preserve">, M., </w:t>
      </w:r>
      <w:proofErr w:type="spellStart"/>
      <w:r w:rsidRPr="00400A3D">
        <w:rPr>
          <w:lang w:val="en-US"/>
        </w:rPr>
        <w:t>Tchetgen</w:t>
      </w:r>
      <w:proofErr w:type="spellEnd"/>
      <w:r w:rsidRPr="00400A3D">
        <w:rPr>
          <w:lang w:val="en-US"/>
        </w:rPr>
        <w:t xml:space="preserve"> </w:t>
      </w:r>
      <w:proofErr w:type="spellStart"/>
      <w:r w:rsidRPr="00400A3D">
        <w:rPr>
          <w:lang w:val="en-US"/>
        </w:rPr>
        <w:t>Tchetgen</w:t>
      </w:r>
      <w:proofErr w:type="spellEnd"/>
      <w:r w:rsidRPr="00400A3D">
        <w:rPr>
          <w:lang w:val="en-US"/>
        </w:rPr>
        <w:t xml:space="preserve">, E., &amp; Cohen, T. (2010). Negative controls: A tool for detecting confounding and bias in observational studies. </w:t>
      </w:r>
      <w:proofErr w:type="spellStart"/>
      <w:r w:rsidRPr="00400A3D">
        <w:rPr>
          <w:i/>
          <w:iCs/>
        </w:rPr>
        <w:t>Epidemiology</w:t>
      </w:r>
      <w:proofErr w:type="spellEnd"/>
      <w:r w:rsidRPr="00400A3D">
        <w:t xml:space="preserve">, </w:t>
      </w:r>
      <w:r w:rsidRPr="00400A3D">
        <w:rPr>
          <w:i/>
          <w:iCs/>
        </w:rPr>
        <w:t>21</w:t>
      </w:r>
      <w:r w:rsidRPr="00400A3D">
        <w:t>(3), 383–388. https://doi.org/10.1097/EDE.0b013e3181d61eeb</w:t>
      </w:r>
    </w:p>
    <w:p w14:paraId="6D62C95B" w14:textId="77777777" w:rsidR="00125753" w:rsidRPr="00400A3D" w:rsidRDefault="00056100" w:rsidP="00400A3D">
      <w:r w:rsidRPr="00400A3D">
        <w:t xml:space="preserve">Lupa Social. (2026a). </w:t>
      </w:r>
      <w:r w:rsidRPr="00400A3D">
        <w:rPr>
          <w:i/>
          <w:iCs/>
        </w:rPr>
        <w:t>Inclusão educacional e pobreza na transição para a vida adulta: Resultados preliminares para o Brasil</w:t>
      </w:r>
      <w:r w:rsidRPr="00400A3D">
        <w:t>. Lupa Social; Metas Sociais; Instituto Natura.</w:t>
      </w:r>
    </w:p>
    <w:p w14:paraId="6C9C4D1C" w14:textId="77777777" w:rsidR="00B91F3E" w:rsidRPr="00400A3D" w:rsidRDefault="00B91F3E" w:rsidP="00400A3D"/>
    <w:p w14:paraId="6D62C95C" w14:textId="0D78C14D" w:rsidR="00125753" w:rsidRPr="00400A3D" w:rsidRDefault="00056100" w:rsidP="00400A3D">
      <w:r w:rsidRPr="00400A3D">
        <w:t xml:space="preserve">Lupa Social. (2026b). </w:t>
      </w:r>
      <w:r w:rsidRPr="00400A3D">
        <w:rPr>
          <w:i/>
          <w:iCs/>
        </w:rPr>
        <w:t>Painel IIE — Índice de Inclusão Educacional</w:t>
      </w:r>
      <w:r w:rsidRPr="00400A3D">
        <w:t>. https://www.painel-iie.com.br/</w:t>
      </w:r>
    </w:p>
    <w:p w14:paraId="1935D7A2" w14:textId="77777777" w:rsidR="00B91F3E" w:rsidRPr="00400A3D" w:rsidRDefault="00B91F3E" w:rsidP="00400A3D">
      <w:pPr>
        <w:rPr>
          <w:lang w:val="en-US"/>
        </w:rPr>
      </w:pPr>
    </w:p>
    <w:p w14:paraId="6D62C95D" w14:textId="43471678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Macinko, J., &amp; Harris, M. J. (2015). Brazil’s Family Health Strategy — delivering community-based primary care in a universal health system. </w:t>
      </w:r>
      <w:r w:rsidRPr="00400A3D">
        <w:rPr>
          <w:i/>
          <w:iCs/>
          <w:lang w:val="en-US"/>
        </w:rPr>
        <w:t>New England Journal of Medicine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372</w:t>
      </w:r>
      <w:r w:rsidRPr="00400A3D">
        <w:rPr>
          <w:lang w:val="en-US"/>
        </w:rPr>
        <w:t>(23), 2177–2181. https://doi.org/10.1056/NEJMp1501140</w:t>
      </w:r>
    </w:p>
    <w:p w14:paraId="6868ABE7" w14:textId="77777777" w:rsidR="00B91F3E" w:rsidRPr="00400A3D" w:rsidRDefault="00B91F3E" w:rsidP="00400A3D">
      <w:pPr>
        <w:rPr>
          <w:lang w:val="en-US"/>
        </w:rPr>
      </w:pPr>
    </w:p>
    <w:p w14:paraId="6D62C95E" w14:textId="419E13C1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MacKinnon, J. G., Nielsen, M. Ø., &amp; Webb, M. D. (2023). Cluster-robust inference: A guide to empirical practice. </w:t>
      </w:r>
      <w:r w:rsidRPr="00400A3D">
        <w:rPr>
          <w:i/>
          <w:iCs/>
          <w:lang w:val="en-US"/>
        </w:rPr>
        <w:t>Journal of Econometrics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232</w:t>
      </w:r>
      <w:r w:rsidRPr="00400A3D">
        <w:rPr>
          <w:lang w:val="en-US"/>
        </w:rPr>
        <w:t>(2), 272–299. https://doi.org/10.1016/j.jeconom.2022.04.001</w:t>
      </w:r>
    </w:p>
    <w:p w14:paraId="5DE6B1FB" w14:textId="77777777" w:rsidR="00B91F3E" w:rsidRPr="00400A3D" w:rsidRDefault="00B91F3E" w:rsidP="00400A3D">
      <w:pPr>
        <w:rPr>
          <w:lang w:val="en-US"/>
        </w:rPr>
      </w:pPr>
    </w:p>
    <w:p w14:paraId="6D62C95F" w14:textId="1297A020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Marmot, M. (2017). Closing the health gap. </w:t>
      </w:r>
      <w:r w:rsidRPr="00400A3D">
        <w:rPr>
          <w:i/>
          <w:iCs/>
          <w:lang w:val="en-US"/>
        </w:rPr>
        <w:t>Scandinavian Journal of Public Health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45</w:t>
      </w:r>
      <w:r w:rsidRPr="00400A3D">
        <w:rPr>
          <w:lang w:val="en-US"/>
        </w:rPr>
        <w:t>(7), 723–731. https://doi.org/10.1177/1403494817717433</w:t>
      </w:r>
    </w:p>
    <w:p w14:paraId="1713E6BD" w14:textId="77777777" w:rsidR="00B91F3E" w:rsidRPr="00400A3D" w:rsidRDefault="00B91F3E" w:rsidP="00400A3D"/>
    <w:p w14:paraId="6D62C960" w14:textId="7646D986" w:rsidR="00125753" w:rsidRPr="00400A3D" w:rsidRDefault="00056100" w:rsidP="00400A3D">
      <w:r w:rsidRPr="00400A3D">
        <w:t xml:space="preserve">Melo, A. C. M., Silva, G. D. M., &amp; Garcia, L. P. (2017). Mortalidade de homens jovens por agressões no Brasil, 2010–2014: Estudo ecológico. </w:t>
      </w:r>
      <w:r w:rsidRPr="00400A3D">
        <w:rPr>
          <w:i/>
          <w:iCs/>
        </w:rPr>
        <w:t>Cadernos de Saúde Pública</w:t>
      </w:r>
      <w:r w:rsidRPr="00400A3D">
        <w:t xml:space="preserve">, </w:t>
      </w:r>
      <w:r w:rsidRPr="00400A3D">
        <w:rPr>
          <w:i/>
          <w:iCs/>
        </w:rPr>
        <w:t>33</w:t>
      </w:r>
      <w:r w:rsidRPr="00400A3D">
        <w:t>(11), e00168316. https://doi.org/10.1590/0102-311X00168316</w:t>
      </w:r>
    </w:p>
    <w:p w14:paraId="7A3689C7" w14:textId="77777777" w:rsidR="00B91F3E" w:rsidRPr="00400A3D" w:rsidRDefault="00B91F3E" w:rsidP="00400A3D"/>
    <w:p w14:paraId="6D62C961" w14:textId="71879A47" w:rsidR="00125753" w:rsidRPr="00400A3D" w:rsidRDefault="00056100" w:rsidP="00400A3D">
      <w:proofErr w:type="spellStart"/>
      <w:r w:rsidRPr="00400A3D">
        <w:t>Paciencia</w:t>
      </w:r>
      <w:proofErr w:type="spellEnd"/>
      <w:r w:rsidRPr="00400A3D">
        <w:t xml:space="preserve">, L., &amp; Ismail, Z. (2025). </w:t>
      </w:r>
      <w:r w:rsidRPr="00400A3D">
        <w:rPr>
          <w:i/>
          <w:iCs/>
        </w:rPr>
        <w:t>Índice de inclusão educacional municipal e suas relações com indicadores socioeconômicos</w:t>
      </w:r>
      <w:r w:rsidRPr="00400A3D">
        <w:t>. Instituto Natura. https://github.com/lupa-social/iie-indice-de-inclusao-educacional/blob/main/estudos/IIE%20Municipal.pdf</w:t>
      </w:r>
    </w:p>
    <w:p w14:paraId="44D928FC" w14:textId="77777777" w:rsidR="00B91F3E" w:rsidRPr="00400A3D" w:rsidRDefault="00B91F3E" w:rsidP="00400A3D"/>
    <w:p w14:paraId="6D62C962" w14:textId="19509E64" w:rsidR="00125753" w:rsidRPr="00400A3D" w:rsidRDefault="00056100" w:rsidP="00400A3D">
      <w:r w:rsidRPr="00400A3D">
        <w:t xml:space="preserve">Pereira, R. H. M., Gonçalves, C. N., Araujo, P. H. F. de, Carvalho, G. D., Nascimento, I., &amp; Arruda, R. A. de. </w:t>
      </w:r>
      <w:r w:rsidRPr="00400A3D">
        <w:rPr>
          <w:lang w:val="en-US"/>
        </w:rPr>
        <w:t xml:space="preserve">(2019). </w:t>
      </w:r>
      <w:proofErr w:type="spellStart"/>
      <w:r w:rsidRPr="00400A3D">
        <w:rPr>
          <w:i/>
          <w:iCs/>
          <w:lang w:val="en-US"/>
        </w:rPr>
        <w:t>geobr</w:t>
      </w:r>
      <w:proofErr w:type="spellEnd"/>
      <w:r w:rsidRPr="00400A3D">
        <w:rPr>
          <w:i/>
          <w:iCs/>
          <w:lang w:val="en-US"/>
        </w:rPr>
        <w:t>: Loads shapefiles of official spatial data sets of Brazil</w:t>
      </w:r>
      <w:r w:rsidRPr="00400A3D">
        <w:rPr>
          <w:lang w:val="en-US"/>
        </w:rPr>
        <w:t xml:space="preserve"> [R package]. </w:t>
      </w:r>
      <w:r w:rsidRPr="00400A3D">
        <w:t>CRAN. https://CRAN.R-project.org/package=geobr</w:t>
      </w:r>
    </w:p>
    <w:p w14:paraId="3A7BA5A0" w14:textId="77777777" w:rsidR="00B91F3E" w:rsidRPr="00400A3D" w:rsidRDefault="00B91F3E" w:rsidP="00400A3D"/>
    <w:p w14:paraId="6D62C963" w14:textId="5A063066" w:rsidR="00125753" w:rsidRPr="00400A3D" w:rsidRDefault="00056100" w:rsidP="00400A3D">
      <w:r w:rsidRPr="00400A3D">
        <w:t xml:space="preserve">Pinto Junior, E. P., Aquino, R., Medina, M. G., &amp; Silva, M. G. C. (2018). Efeito da Estratégia Saúde da Família nas internações por condições sensíveis à atenção primária em menores de um ano na Bahia, Brasil. </w:t>
      </w:r>
      <w:r w:rsidRPr="00400A3D">
        <w:rPr>
          <w:i/>
          <w:iCs/>
        </w:rPr>
        <w:t>Cadernos de Saúde Pública</w:t>
      </w:r>
      <w:r w:rsidRPr="00400A3D">
        <w:t xml:space="preserve">, </w:t>
      </w:r>
      <w:r w:rsidRPr="00400A3D">
        <w:rPr>
          <w:i/>
          <w:iCs/>
        </w:rPr>
        <w:t>34</w:t>
      </w:r>
      <w:r w:rsidRPr="00400A3D">
        <w:t>(2), e00133816. https://doi.org/10.1590/0102-311x00133816</w:t>
      </w:r>
    </w:p>
    <w:p w14:paraId="3EEC5C57" w14:textId="77777777" w:rsidR="00B91F3E" w:rsidRPr="00400A3D" w:rsidRDefault="00B91F3E" w:rsidP="00400A3D"/>
    <w:p w14:paraId="6D62C964" w14:textId="348DCC88" w:rsidR="00125753" w:rsidRPr="00400A3D" w:rsidRDefault="00056100" w:rsidP="00400A3D">
      <w:r w:rsidRPr="00400A3D">
        <w:rPr>
          <w:lang w:val="en-US"/>
        </w:rPr>
        <w:t xml:space="preserve">Riddell, C. A., &amp; Goin, D. E. (2023). Guide for comparing estimators of policy change effects on health. </w:t>
      </w:r>
      <w:proofErr w:type="spellStart"/>
      <w:r w:rsidRPr="00400A3D">
        <w:rPr>
          <w:i/>
          <w:iCs/>
        </w:rPr>
        <w:t>Epidemiology</w:t>
      </w:r>
      <w:proofErr w:type="spellEnd"/>
      <w:r w:rsidRPr="00400A3D">
        <w:t xml:space="preserve">, </w:t>
      </w:r>
      <w:r w:rsidRPr="00400A3D">
        <w:rPr>
          <w:i/>
          <w:iCs/>
        </w:rPr>
        <w:t>34</w:t>
      </w:r>
      <w:r w:rsidRPr="00400A3D">
        <w:t>(3), e21–e22. https://doi.org/10.1097/EDE.0000000000001586</w:t>
      </w:r>
    </w:p>
    <w:p w14:paraId="5783B0E7" w14:textId="77777777" w:rsidR="00B91F3E" w:rsidRPr="00400A3D" w:rsidRDefault="00B91F3E" w:rsidP="00400A3D"/>
    <w:p w14:paraId="6D62C965" w14:textId="0C9F54C5" w:rsidR="00125753" w:rsidRPr="00400A3D" w:rsidRDefault="00056100" w:rsidP="00400A3D">
      <w:pPr>
        <w:rPr>
          <w:lang w:val="en-US"/>
        </w:rPr>
      </w:pPr>
      <w:r w:rsidRPr="00400A3D">
        <w:t xml:space="preserve">Rue, H., Martino, S., &amp; Chopin, N. (2009). </w:t>
      </w:r>
      <w:r w:rsidRPr="00400A3D">
        <w:rPr>
          <w:lang w:val="en-US"/>
        </w:rPr>
        <w:t xml:space="preserve">Approximate Bayesian inference for </w:t>
      </w:r>
      <w:r w:rsidRPr="00400A3D">
        <w:rPr>
          <w:lang w:val="en-US"/>
        </w:rPr>
        <w:t xml:space="preserve">latent Gaussian models by using integrated nested Laplace approximations. </w:t>
      </w:r>
      <w:r w:rsidRPr="00400A3D">
        <w:rPr>
          <w:i/>
          <w:iCs/>
          <w:lang w:val="en-US"/>
        </w:rPr>
        <w:t>Journal of the Royal Statistical Society: Series B (Statistical Methodology)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71</w:t>
      </w:r>
      <w:r w:rsidRPr="00400A3D">
        <w:rPr>
          <w:lang w:val="en-US"/>
        </w:rPr>
        <w:t>(2), 319–392. https://doi.org/10.1111/j.1467-9868.2008.00700.x</w:t>
      </w:r>
    </w:p>
    <w:p w14:paraId="487B1739" w14:textId="77777777" w:rsidR="00B91F3E" w:rsidRPr="00400A3D" w:rsidRDefault="00B91F3E" w:rsidP="00400A3D">
      <w:pPr>
        <w:rPr>
          <w:lang w:val="en-US"/>
        </w:rPr>
      </w:pPr>
    </w:p>
    <w:p w14:paraId="6D62C966" w14:textId="7226759E" w:rsidR="00125753" w:rsidRPr="00400A3D" w:rsidRDefault="00056100" w:rsidP="00400A3D">
      <w:pPr>
        <w:rPr>
          <w:lang w:val="en-US"/>
        </w:rPr>
      </w:pPr>
      <w:r w:rsidRPr="00400A3D">
        <w:rPr>
          <w:lang w:val="en-US"/>
        </w:rPr>
        <w:t xml:space="preserve">VanderWeele, T. J., &amp; Ding, P. (2017). Sensitivity analysis in observational research: Introducing the E-value. </w:t>
      </w:r>
      <w:r w:rsidRPr="00400A3D">
        <w:rPr>
          <w:i/>
          <w:iCs/>
          <w:lang w:val="en-US"/>
        </w:rPr>
        <w:t>Annals of Internal Medicine</w:t>
      </w:r>
      <w:r w:rsidRPr="00400A3D">
        <w:rPr>
          <w:lang w:val="en-US"/>
        </w:rPr>
        <w:t xml:space="preserve">, </w:t>
      </w:r>
      <w:r w:rsidRPr="00400A3D">
        <w:rPr>
          <w:i/>
          <w:iCs/>
          <w:lang w:val="en-US"/>
        </w:rPr>
        <w:t>167</w:t>
      </w:r>
      <w:r w:rsidRPr="00400A3D">
        <w:rPr>
          <w:lang w:val="en-US"/>
        </w:rPr>
        <w:t>(4), 268–274. https://doi.org/10.7326/M16-2607</w:t>
      </w:r>
    </w:p>
    <w:p w14:paraId="110BA7C6" w14:textId="77777777" w:rsidR="00B91F3E" w:rsidRPr="00400A3D" w:rsidRDefault="00B91F3E" w:rsidP="00400A3D">
      <w:pPr>
        <w:rPr>
          <w:lang w:val="en-US"/>
        </w:rPr>
      </w:pPr>
    </w:p>
    <w:p w14:paraId="6D62C967" w14:textId="3536C40B" w:rsidR="00125753" w:rsidRPr="00400A3D" w:rsidRDefault="00056100" w:rsidP="00400A3D">
      <w:r w:rsidRPr="00400A3D">
        <w:rPr>
          <w:lang w:val="en-US"/>
        </w:rPr>
        <w:lastRenderedPageBreak/>
        <w:t xml:space="preserve">Wooldridge, J. M. (2025). Two-way fixed effects, the two-way </w:t>
      </w:r>
      <w:proofErr w:type="spellStart"/>
      <w:r w:rsidRPr="00400A3D">
        <w:rPr>
          <w:lang w:val="en-US"/>
        </w:rPr>
        <w:t>Mundlak</w:t>
      </w:r>
      <w:proofErr w:type="spellEnd"/>
      <w:r w:rsidRPr="00400A3D">
        <w:rPr>
          <w:lang w:val="en-US"/>
        </w:rPr>
        <w:t xml:space="preserve"> regression, and difference-in-differences estimators. </w:t>
      </w:r>
      <w:proofErr w:type="spellStart"/>
      <w:r w:rsidRPr="00400A3D">
        <w:rPr>
          <w:i/>
          <w:iCs/>
        </w:rPr>
        <w:t>Empirical</w:t>
      </w:r>
      <w:proofErr w:type="spellEnd"/>
      <w:r w:rsidRPr="00400A3D">
        <w:rPr>
          <w:i/>
          <w:iCs/>
        </w:rPr>
        <w:t xml:space="preserve"> </w:t>
      </w:r>
      <w:proofErr w:type="spellStart"/>
      <w:r w:rsidRPr="00400A3D">
        <w:rPr>
          <w:i/>
          <w:iCs/>
        </w:rPr>
        <w:t>Economics</w:t>
      </w:r>
      <w:proofErr w:type="spellEnd"/>
      <w:r w:rsidRPr="00400A3D">
        <w:t xml:space="preserve">, </w:t>
      </w:r>
      <w:r w:rsidRPr="00400A3D">
        <w:rPr>
          <w:i/>
          <w:iCs/>
        </w:rPr>
        <w:t>69</w:t>
      </w:r>
      <w:r w:rsidRPr="00400A3D">
        <w:t>(5), 2545–2587. https://doi.org/10.1007/s00181-025-02807-z</w:t>
      </w:r>
    </w:p>
    <w:p w14:paraId="621F0A71" w14:textId="77777777" w:rsidR="0018691E" w:rsidRDefault="0018691E" w:rsidP="0018691E">
      <w:pPr>
        <w:spacing w:before="60" w:after="60" w:line="264" w:lineRule="auto"/>
        <w:jc w:val="both"/>
        <w:rPr>
          <w:b/>
          <w:bCs/>
        </w:rPr>
      </w:pPr>
    </w:p>
    <w:p w14:paraId="6D62C968" w14:textId="2692A05E" w:rsidR="00125753" w:rsidRPr="005B3B30" w:rsidRDefault="00056100" w:rsidP="0018691E">
      <w:pPr>
        <w:spacing w:before="60" w:after="60" w:line="264" w:lineRule="auto"/>
        <w:jc w:val="both"/>
        <w:rPr>
          <w:color w:val="2E75B6"/>
        </w:rPr>
      </w:pPr>
      <w:r w:rsidRPr="005B3B30">
        <w:rPr>
          <w:b/>
          <w:bCs/>
          <w:color w:val="2E75B6"/>
        </w:rPr>
        <w:t>Apêndice — Declaração de uso de IA generativa</w:t>
      </w:r>
    </w:p>
    <w:p w14:paraId="6D62C969" w14:textId="77777777" w:rsidR="00125753" w:rsidRDefault="00056100" w:rsidP="005B3B30">
      <w:pPr>
        <w:spacing w:before="60" w:after="60" w:line="264" w:lineRule="auto"/>
        <w:ind w:firstLine="851"/>
        <w:jc w:val="both"/>
      </w:pPr>
      <w:r>
        <w:t>Ferramentas de IA generativa foram empregadas como apoio operacional na preparação desta proposta. A presente declaração registra esse uso de forma factual, conforme prática editorial recomendada (COPE, 2023; ICMJE, 2024) e em alinhamento com a Portaria CNPq 2.664/2026 (art. 9). A declaração compreende cinco blocos.</w:t>
      </w:r>
    </w:p>
    <w:p w14:paraId="6D62C96A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1. Ferramentas e versões.</w:t>
      </w:r>
      <w:r>
        <w:t xml:space="preserve"> Foram empregadas três interfaces de acesso a modelos da família Claude (Anthropic): Claude Desktop (aplicativo cliente, sessões 003 a 010 do projeto), Claude Code (interface CLI integrada ao repositório, sessões 001, 011, 012, 013, 013-bis e 014; a sessão 014 operou com Claude Opus 4.7 — janela de contexto estendida) e Claude.ai (interface web, utilizada em paralelo como revisor cético da sessão Code 014). A versão exata do modelo Claude variou entre as sessões conforme disponibilidade na interface no mome</w:t>
      </w:r>
      <w:r>
        <w:t>nto de uso. Outras ferramentas de IA não foram empregadas.</w:t>
      </w:r>
    </w:p>
    <w:p w14:paraId="6D62C96B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2. Áreas de uso.</w:t>
      </w:r>
      <w:r>
        <w:t xml:space="preserve"> O uso concentrou-se em cinco áreas: (i) governança documental (estruturação e manutenção de CHANGELOG, GOVERNANCE, CONVENTIONS, RISKS, README, ADRs e REVs); (ii) infraestrutura técnica (configuração de ambiente R/renv, integração Zotero/BetterBibTeX, esqueletos de pipeline, integração contínua via GitHub Actions); (iii) curadoria bibliográfica (extração de verbatins literais via leitura sistemática de PDFs, validação de DOIs e PMIDs junto a CrossRef e PubMed, auditoria de duplicatas e desconflação de entra</w:t>
      </w:r>
      <w:r>
        <w:t>das bibliográficas); (iv) redação assistida desta proposta (formulação dos parágrafos metodológicos novos da §4.2 e dos bullets novos da §4.3, com texto sempre revisto e editado pelo pesquisador); (v) verificação cruzada de afirmações (triangulação entre instâncias separadas — Code, Desktop, web — em decisões metodológicas críticas, com sessões registradas em .claude/).</w:t>
      </w:r>
    </w:p>
    <w:p w14:paraId="6D62C96C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3. Garantias de revisão humana.</w:t>
      </w:r>
      <w:r>
        <w:t xml:space="preserve"> Toda decisão metodológica final é do pesquisador. Toda paráfrase no corpo da proposta tem ancoragem auditável na matriz de síntese (assets/synthesis_matrix_proposta_v02.csv, colunas trecho_verbatim e </w:t>
      </w:r>
      <w:proofErr w:type="gramStart"/>
      <w:r>
        <w:t>pagina</w:t>
      </w:r>
      <w:proofErr w:type="gramEnd"/>
      <w:r>
        <w:t>), com versão de rascunho preservada em manuscripts/_drafts/proposta-de-pesquisa-v02-with-tags.md contendo as tags epistêmicas e os verbatins laterais conforme protocolo da skill de revisão acadêmica empregada. Nenhum DOI, autor, ano, página ou fato empírico foi gerado por IA sem verificação humana subse</w:t>
      </w:r>
      <w:r>
        <w:t>quente. Sessões anteriores documentaram detecção e descarte de informações factualmente incorretas geradas por IA antes da consolidação no corpus bibliográfico ou em artefatos do repositório.</w:t>
      </w:r>
    </w:p>
    <w:p w14:paraId="6D62C96D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4. Declaração de responsabilidade autoral.</w:t>
      </w:r>
      <w:r>
        <w:t xml:space="preserve"> Sidney da Silva Pereira Bissoli é o único autor responsável pelo conteúdo, pelas decisões metodológicas, pela interpretação e pelas conclusões desta proposta. As ferramentas de IA generativa empregadas constituem apoio operacional, não coautoria. Erros remanescentes são de responsabilidade do autor.</w:t>
      </w:r>
    </w:p>
    <w:p w14:paraId="6D62C96E" w14:textId="77777777" w:rsidR="00125753" w:rsidRDefault="00056100" w:rsidP="0018691E">
      <w:pPr>
        <w:spacing w:before="60" w:after="60" w:line="264" w:lineRule="auto"/>
        <w:jc w:val="both"/>
      </w:pPr>
      <w:r>
        <w:rPr>
          <w:b/>
          <w:bCs/>
        </w:rPr>
        <w:t>5. Compromisso de transparência.</w:t>
      </w:r>
      <w:r>
        <w:t xml:space="preserve"> O repositório público </w:t>
      </w:r>
      <w:hyperlink r:id="rId7">
        <w:r>
          <w:rPr>
            <w:rStyle w:val="Hyperlink"/>
          </w:rPr>
          <w:t>https://github.com/SidneyBissoli/iie-municipal-vs-saude</w:t>
        </w:r>
      </w:hyperlink>
      <w:r>
        <w:t xml:space="preserve"> contém: logs completos das sessões Code (.claude/sessao-NNN.md), manifests de sessão com hashes de artefatos (.claude/sessao-NNN-manifest.json), matriz de síntese auditável, decisões arquiteturais (ADRs em decisions/) com motivação registrada, CHANGELOG com rastreabilidade de cada decisão e versão correspondente do roadmap, e o rascunho anotado da proposta com tags epistêmicas preservado em manuscripts/_drafts/. O conjunto desses artefatos sustenta auditoria externa do uso de IA empregado em qualquer ponto</w:t>
      </w:r>
      <w:r>
        <w:t xml:space="preserve"> do projeto. Disponibilização sob licença declarada em LICENSE (MIT).</w:t>
      </w:r>
    </w:p>
    <w:sectPr w:rsidR="0012575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E50F" w14:textId="77777777" w:rsidR="00056100" w:rsidRDefault="00056100">
      <w:r>
        <w:separator/>
      </w:r>
    </w:p>
  </w:endnote>
  <w:endnote w:type="continuationSeparator" w:id="0">
    <w:p w14:paraId="33F3373F" w14:textId="77777777" w:rsidR="00056100" w:rsidRDefault="00056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C972" w14:textId="77777777" w:rsidR="00056100" w:rsidRDefault="00056100">
    <w:pPr>
      <w:pBdr>
        <w:top w:val="single" w:sz="4" w:space="4" w:color="D6E4F0"/>
      </w:pBdr>
      <w:spacing w:before="60"/>
      <w:jc w:val="center"/>
    </w:pPr>
    <w:r>
      <w:rPr>
        <w:color w:val="AAAAAA"/>
        <w:sz w:val="18"/>
        <w:szCs w:val="18"/>
      </w:rPr>
      <w:t>Edital nº 01/</w:t>
    </w:r>
    <w:proofErr w:type="gramStart"/>
    <w:r>
      <w:rPr>
        <w:color w:val="AAAAAA"/>
        <w:sz w:val="18"/>
        <w:szCs w:val="18"/>
      </w:rPr>
      <w:t>2026  ·</w:t>
    </w:r>
    <w:proofErr w:type="gramEnd"/>
    <w:r>
      <w:rPr>
        <w:color w:val="AAAAAA"/>
        <w:sz w:val="18"/>
        <w:szCs w:val="18"/>
      </w:rPr>
      <w:t xml:space="preserve">  Pesquisa Aplicada · Modalidade </w:t>
    </w:r>
    <w:proofErr w:type="gramStart"/>
    <w:r>
      <w:rPr>
        <w:color w:val="AAAAAA"/>
        <w:sz w:val="18"/>
        <w:szCs w:val="18"/>
      </w:rPr>
      <w:t>B  ·</w:t>
    </w:r>
    <w:proofErr w:type="gramEnd"/>
    <w:r>
      <w:rPr>
        <w:color w:val="AAAAAA"/>
        <w:sz w:val="18"/>
        <w:szCs w:val="18"/>
      </w:rPr>
      <w:t xml:space="preserve">  página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de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NUMPAGES</w:instrText>
    </w:r>
    <w:r>
      <w:rPr>
        <w:color w:val="AAAAAA"/>
        <w:sz w:val="18"/>
        <w:szCs w:val="18"/>
      </w:rPr>
      <w:fldChar w:fldCharType="separate"/>
    </w:r>
    <w:r>
      <w:rPr>
        <w:noProof/>
        <w:color w:val="AAAAAA"/>
        <w:sz w:val="18"/>
        <w:szCs w:val="18"/>
      </w:rPr>
      <w:t>2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3EE9" w14:textId="77777777" w:rsidR="00056100" w:rsidRDefault="00056100">
      <w:r>
        <w:separator/>
      </w:r>
    </w:p>
  </w:footnote>
  <w:footnote w:type="continuationSeparator" w:id="0">
    <w:p w14:paraId="53AFF9EB" w14:textId="77777777" w:rsidR="00056100" w:rsidRDefault="00056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C971" w14:textId="77777777" w:rsidR="00056100" w:rsidRDefault="000561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4288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2A872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B1F3309"/>
    <w:multiLevelType w:val="hybridMultilevel"/>
    <w:tmpl w:val="3C4823E2"/>
    <w:lvl w:ilvl="0" w:tplc="0450BF4C">
      <w:start w:val="1"/>
      <w:numFmt w:val="bullet"/>
      <w:lvlText w:val="•"/>
      <w:lvlJc w:val="left"/>
      <w:pPr>
        <w:ind w:left="360" w:hanging="240"/>
      </w:pPr>
    </w:lvl>
    <w:lvl w:ilvl="1" w:tplc="6994DA82">
      <w:numFmt w:val="decimal"/>
      <w:lvlText w:val=""/>
      <w:lvlJc w:val="left"/>
    </w:lvl>
    <w:lvl w:ilvl="2" w:tplc="42F2A8A0">
      <w:numFmt w:val="decimal"/>
      <w:lvlText w:val=""/>
      <w:lvlJc w:val="left"/>
    </w:lvl>
    <w:lvl w:ilvl="3" w:tplc="82DEE156">
      <w:numFmt w:val="decimal"/>
      <w:lvlText w:val=""/>
      <w:lvlJc w:val="left"/>
    </w:lvl>
    <w:lvl w:ilvl="4" w:tplc="4F3644E2">
      <w:numFmt w:val="decimal"/>
      <w:lvlText w:val=""/>
      <w:lvlJc w:val="left"/>
    </w:lvl>
    <w:lvl w:ilvl="5" w:tplc="1B20F258">
      <w:numFmt w:val="decimal"/>
      <w:lvlText w:val=""/>
      <w:lvlJc w:val="left"/>
    </w:lvl>
    <w:lvl w:ilvl="6" w:tplc="D7A44CA6">
      <w:numFmt w:val="decimal"/>
      <w:lvlText w:val=""/>
      <w:lvlJc w:val="left"/>
    </w:lvl>
    <w:lvl w:ilvl="7" w:tplc="D518B8EA">
      <w:numFmt w:val="decimal"/>
      <w:lvlText w:val=""/>
      <w:lvlJc w:val="left"/>
    </w:lvl>
    <w:lvl w:ilvl="8" w:tplc="743C82A2">
      <w:numFmt w:val="decimal"/>
      <w:lvlText w:val=""/>
      <w:lvlJc w:val="left"/>
    </w:lvl>
  </w:abstractNum>
  <w:abstractNum w:abstractNumId="3" w15:restartNumberingAfterBreak="0">
    <w:nsid w:val="51875F3C"/>
    <w:multiLevelType w:val="hybridMultilevel"/>
    <w:tmpl w:val="78724A00"/>
    <w:lvl w:ilvl="0" w:tplc="6F080C9E">
      <w:start w:val="1"/>
      <w:numFmt w:val="bullet"/>
      <w:lvlText w:val="●"/>
      <w:lvlJc w:val="left"/>
      <w:pPr>
        <w:ind w:left="720" w:hanging="360"/>
      </w:pPr>
    </w:lvl>
    <w:lvl w:ilvl="1" w:tplc="5490A072">
      <w:start w:val="1"/>
      <w:numFmt w:val="bullet"/>
      <w:lvlText w:val="○"/>
      <w:lvlJc w:val="left"/>
      <w:pPr>
        <w:ind w:left="1440" w:hanging="360"/>
      </w:pPr>
    </w:lvl>
    <w:lvl w:ilvl="2" w:tplc="AD6C7274">
      <w:start w:val="1"/>
      <w:numFmt w:val="bullet"/>
      <w:lvlText w:val="■"/>
      <w:lvlJc w:val="left"/>
      <w:pPr>
        <w:ind w:left="2160" w:hanging="360"/>
      </w:pPr>
    </w:lvl>
    <w:lvl w:ilvl="3" w:tplc="543E49EE">
      <w:start w:val="1"/>
      <w:numFmt w:val="bullet"/>
      <w:lvlText w:val="●"/>
      <w:lvlJc w:val="left"/>
      <w:pPr>
        <w:ind w:left="2880" w:hanging="360"/>
      </w:pPr>
    </w:lvl>
    <w:lvl w:ilvl="4" w:tplc="A9383BC6">
      <w:start w:val="1"/>
      <w:numFmt w:val="bullet"/>
      <w:lvlText w:val="○"/>
      <w:lvlJc w:val="left"/>
      <w:pPr>
        <w:ind w:left="3600" w:hanging="360"/>
      </w:pPr>
    </w:lvl>
    <w:lvl w:ilvl="5" w:tplc="8B6E7720">
      <w:start w:val="1"/>
      <w:numFmt w:val="bullet"/>
      <w:lvlText w:val="■"/>
      <w:lvlJc w:val="left"/>
      <w:pPr>
        <w:ind w:left="4320" w:hanging="360"/>
      </w:pPr>
    </w:lvl>
    <w:lvl w:ilvl="6" w:tplc="6A804EB6">
      <w:start w:val="1"/>
      <w:numFmt w:val="bullet"/>
      <w:lvlText w:val="●"/>
      <w:lvlJc w:val="left"/>
      <w:pPr>
        <w:ind w:left="5040" w:hanging="360"/>
      </w:pPr>
    </w:lvl>
    <w:lvl w:ilvl="7" w:tplc="0EC4EF5C">
      <w:start w:val="1"/>
      <w:numFmt w:val="bullet"/>
      <w:lvlText w:val="●"/>
      <w:lvlJc w:val="left"/>
      <w:pPr>
        <w:ind w:left="5760" w:hanging="360"/>
      </w:pPr>
    </w:lvl>
    <w:lvl w:ilvl="8" w:tplc="45123DFA">
      <w:start w:val="1"/>
      <w:numFmt w:val="bullet"/>
      <w:lvlText w:val="●"/>
      <w:lvlJc w:val="left"/>
      <w:pPr>
        <w:ind w:left="6480" w:hanging="360"/>
      </w:pPr>
    </w:lvl>
  </w:abstractNum>
  <w:num w:numId="1" w16cid:durableId="1194919836">
    <w:abstractNumId w:val="3"/>
    <w:lvlOverride w:ilvl="0">
      <w:startOverride w:val="1"/>
    </w:lvlOverride>
  </w:num>
  <w:num w:numId="2" w16cid:durableId="1512793283">
    <w:abstractNumId w:val="2"/>
    <w:lvlOverride w:ilvl="0">
      <w:startOverride w:val="1"/>
    </w:lvlOverride>
  </w:num>
  <w:num w:numId="3" w16cid:durableId="867176852">
    <w:abstractNumId w:val="0"/>
  </w:num>
  <w:num w:numId="4" w16cid:durableId="973750694">
    <w:abstractNumId w:val="1"/>
  </w:num>
  <w:num w:numId="5" w16cid:durableId="472481603">
    <w:abstractNumId w:val="1"/>
  </w:num>
  <w:num w:numId="6" w16cid:durableId="929393170">
    <w:abstractNumId w:val="1"/>
  </w:num>
  <w:num w:numId="7" w16cid:durableId="199675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753"/>
    <w:rsid w:val="00045FEA"/>
    <w:rsid w:val="00056100"/>
    <w:rsid w:val="00103793"/>
    <w:rsid w:val="00125753"/>
    <w:rsid w:val="001570E8"/>
    <w:rsid w:val="0018691E"/>
    <w:rsid w:val="001B5C16"/>
    <w:rsid w:val="00235B4E"/>
    <w:rsid w:val="002A53AF"/>
    <w:rsid w:val="00360840"/>
    <w:rsid w:val="003B4BB3"/>
    <w:rsid w:val="00400A3D"/>
    <w:rsid w:val="00453F55"/>
    <w:rsid w:val="00507AF6"/>
    <w:rsid w:val="00596A7B"/>
    <w:rsid w:val="005B3B30"/>
    <w:rsid w:val="0060656C"/>
    <w:rsid w:val="00654A39"/>
    <w:rsid w:val="006C55EB"/>
    <w:rsid w:val="006D78E6"/>
    <w:rsid w:val="007070A0"/>
    <w:rsid w:val="00756C4F"/>
    <w:rsid w:val="008504B6"/>
    <w:rsid w:val="008F7A33"/>
    <w:rsid w:val="00900941"/>
    <w:rsid w:val="009F6DA8"/>
    <w:rsid w:val="00B32B8B"/>
    <w:rsid w:val="00B91F3E"/>
    <w:rsid w:val="00BA2916"/>
    <w:rsid w:val="00BD7133"/>
    <w:rsid w:val="00C0638A"/>
    <w:rsid w:val="00C21A45"/>
    <w:rsid w:val="00D5647F"/>
    <w:rsid w:val="00E858B9"/>
    <w:rsid w:val="00F5580A"/>
    <w:rsid w:val="00FE0A18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2C8D5"/>
  <w15:docId w15:val="{65F4CA39-F355-4A62-A0FB-80D75F45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idneyBissoli/iie-municipal-vs-sau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4677</Words>
  <Characters>29045</Characters>
  <Application>Microsoft Office Word</Application>
  <DocSecurity>0</DocSecurity>
  <Lines>500</Lines>
  <Paragraphs>212</Paragraphs>
  <ScaleCrop>false</ScaleCrop>
  <Company>Senado Federal</Company>
  <LinksUpToDate>false</LinksUpToDate>
  <CharactersWithSpaces>33510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Sidney Bissoli</cp:lastModifiedBy>
  <cp:revision>35</cp:revision>
  <dcterms:created xsi:type="dcterms:W3CDTF">2026-05-08T22:17:00Z</dcterms:created>
  <dcterms:modified xsi:type="dcterms:W3CDTF">2026-05-09T01:22:00Z</dcterms:modified>
</cp:coreProperties>
</file>