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TradBOT — Analyse Boom 1000 Index</w:t>
      </w:r>
    </w:p>
    <w:p>
      <w:pPr>
        <w:jc w:val="center"/>
      </w:pPr>
      <w:r>
        <w:t>Date : 2026-05-20    |    Genere le : 2026-05-20</w:t>
      </w:r>
    </w:p>
    <w:p/>
    <w:p>
      <w:pPr>
        <w:pStyle w:val="Heading2"/>
      </w:pPr>
      <w:r>
        <w:t>Signal TradingAgents</w:t>
      </w:r>
    </w:p>
    <w:tbl>
      <w:tblPr>
        <w:tblStyle w:val="LightShading-Accent1"/>
        <w:tblW w:type="auto" w:w="0"/>
        <w:tblLook w:firstColumn="1" w:firstRow="1" w:lastColumn="0" w:lastRow="0" w:noHBand="0" w:noVBand="1" w:val="04A0"/>
      </w:tblPr>
      <w:tblGrid>
        <w:gridCol w:w="4320"/>
        <w:gridCol w:w="4320"/>
      </w:tblGrid>
      <w:tr>
        <w:tc>
          <w:tcPr>
            <w:tcW w:type="dxa" w:w="4320"/>
          </w:tcPr>
          <w:p>
            <w:r>
              <w:t>Rating brut</w:t>
            </w:r>
          </w:p>
        </w:tc>
        <w:tc>
          <w:tcPr>
            <w:tcW w:type="dxa" w:w="4320"/>
          </w:tcPr>
          <w:p>
            <w:r>
              <w:t>Sell</w:t>
            </w:r>
          </w:p>
        </w:tc>
      </w:tr>
      <w:tr>
        <w:tc>
          <w:tcPr>
            <w:tcW w:type="dxa" w:w="4320"/>
          </w:tcPr>
          <w:p>
            <w:r>
              <w:t>Decision</w:t>
            </w:r>
          </w:p>
        </w:tc>
        <w:tc>
          <w:tcPr>
            <w:tcW w:type="dxa" w:w="4320"/>
          </w:tcPr>
          <w:p>
            <w:r>
              <w:rPr>
                <w:b/>
                <w:color w:val="C80000"/>
              </w:rPr>
              <w:t>SELL</w:t>
            </w:r>
          </w:p>
        </w:tc>
      </w:tr>
      <w:tr>
        <w:tc>
          <w:tcPr>
            <w:tcW w:type="dxa" w:w="4320"/>
          </w:tcPr>
          <w:p>
            <w:r>
              <w:t>Entry price</w:t>
            </w:r>
          </w:p>
        </w:tc>
        <w:tc>
          <w:tcPr>
            <w:tcW w:type="dxa" w:w="4320"/>
          </w:tcPr>
          <w:p>
            <w:r>
              <w:t>non fourni</w:t>
            </w:r>
          </w:p>
        </w:tc>
      </w:tr>
      <w:tr>
        <w:tc>
          <w:tcPr>
            <w:tcW w:type="dxa" w:w="4320"/>
          </w:tcPr>
          <w:p>
            <w:r>
              <w:t>Stop Loss</w:t>
            </w:r>
          </w:p>
        </w:tc>
        <w:tc>
          <w:tcPr>
            <w:tcW w:type="dxa" w:w="4320"/>
          </w:tcPr>
          <w:p>
            <w:r>
              <w:t>non fourni</w:t>
            </w:r>
          </w:p>
        </w:tc>
      </w:tr>
      <w:tr>
        <w:tc>
          <w:tcPr>
            <w:tcW w:type="dxa" w:w="4320"/>
          </w:tcPr>
          <w:p>
            <w:r>
              <w:t>Take Profit</w:t>
            </w:r>
          </w:p>
        </w:tc>
        <w:tc>
          <w:tcPr>
            <w:tcW w:type="dxa" w:w="4320"/>
          </w:tcPr>
          <w:p>
            <w:r>
              <w:t>non fourni</w:t>
            </w:r>
          </w:p>
        </w:tc>
      </w:tr>
    </w:tbl>
    <w:p/>
    <w:p>
      <w:pPr>
        <w:pStyle w:val="Heading2"/>
      </w:pPr>
      <w:r>
        <w:t>Ordre envoye au serveur</w:t>
      </w:r>
    </w:p>
    <w:tbl>
      <w:tblPr>
        <w:tblStyle w:val="LightShading-Accent2"/>
        <w:tblW w:type="auto" w:w="0"/>
        <w:tblLook w:firstColumn="1" w:firstRow="1" w:lastColumn="0" w:lastRow="0" w:noHBand="0" w:noVBand="1" w:val="04A0"/>
      </w:tblPr>
      <w:tblGrid>
        <w:gridCol w:w="4320"/>
        <w:gridCol w:w="4320"/>
      </w:tblGrid>
      <w:tr>
        <w:tc>
          <w:tcPr>
            <w:tcW w:type="dxa" w:w="4320"/>
          </w:tcPr>
          <w:p>
            <w:r>
              <w:t>Direction</w:t>
            </w:r>
          </w:p>
        </w:tc>
        <w:tc>
          <w:tcPr>
            <w:tcW w:type="dxa" w:w="4320"/>
          </w:tcPr>
          <w:p>
            <w:r>
              <w:t>SELL</w:t>
            </w:r>
          </w:p>
        </w:tc>
      </w:tr>
      <w:tr>
        <w:tc>
          <w:tcPr>
            <w:tcW w:type="dxa" w:w="4320"/>
          </w:tcPr>
          <w:p>
            <w:r>
              <w:t>Type</w:t>
            </w:r>
          </w:p>
        </w:tc>
        <w:tc>
          <w:tcPr>
            <w:tcW w:type="dxa" w:w="4320"/>
          </w:tcPr>
          <w:p>
            <w:r>
              <w:t>market</w:t>
            </w:r>
          </w:p>
        </w:tc>
      </w:tr>
      <w:tr>
        <w:tc>
          <w:tcPr>
            <w:tcW w:type="dxa" w:w="4320"/>
          </w:tcPr>
          <w:p>
            <w:r>
              <w:t>Entry price</w:t>
            </w:r>
          </w:p>
        </w:tc>
        <w:tc>
          <w:tcPr>
            <w:tcW w:type="dxa" w:w="4320"/>
          </w:tcPr>
          <w:p>
            <w:r>
              <w:t>marche</w:t>
            </w:r>
          </w:p>
        </w:tc>
      </w:tr>
      <w:tr>
        <w:tc>
          <w:tcPr>
            <w:tcW w:type="dxa" w:w="4320"/>
          </w:tcPr>
          <w:p>
            <w:r>
              <w:t>Stop Loss</w:t>
            </w:r>
          </w:p>
        </w:tc>
        <w:tc>
          <w:tcPr>
            <w:tcW w:type="dxa" w:w="4320"/>
          </w:tcPr>
          <w:p>
            <w:r>
              <w:t>-</w:t>
            </w:r>
          </w:p>
        </w:tc>
      </w:tr>
      <w:tr>
        <w:tc>
          <w:tcPr>
            <w:tcW w:type="dxa" w:w="4320"/>
          </w:tcPr>
          <w:p>
            <w:r>
              <w:t>Take Profit</w:t>
            </w:r>
          </w:p>
        </w:tc>
        <w:tc>
          <w:tcPr>
            <w:tcW w:type="dxa" w:w="4320"/>
          </w:tcPr>
          <w:p>
            <w:r>
              <w:t>-</w:t>
            </w:r>
          </w:p>
        </w:tc>
      </w:tr>
    </w:tbl>
    <w:p/>
    <w:p>
      <w:pPr>
        <w:pStyle w:val="Heading2"/>
      </w:pPr>
      <w:r>
        <w:t>Decision Portfolio Manager</w:t>
      </w:r>
    </w:p>
    <w:p>
      <w:r>
        <w:t>**Rating**: Sell</w:t>
      </w:r>
    </w:p>
    <w:p>
      <w:r>
        <w:t>**Executive Summary**: Exit 100% of any existing BOOM1000=X position immediately. The complete absence of verifiable market data, independent price discovery, and regulatory infrastructure creates unquantifiable counterparty and platform risk that cannot be managed through position sizing alone. The instrument operates through a single-counterparty proprietary algorithm with no transparent order books, no alternative execution venues, and no investor protection mechanisms—structural deficiencies that disqualify it from fiduciary portfolio management regardless of theoretical volatility patterns.</w:t>
      </w:r>
    </w:p>
    <w:p>
      <w:r>
        <w:t>**Investment Thesis**: The Conservative Analyst's rebuttal is decisive and must guide this decision. While the Aggressive Analyst presents an appealing contrarian narrative about "first-mover advantage" and "exploitable algorithmic patterns," this thesis collapses under scrutiny of what we actually know versus what we're being asked to assume.</w:t>
      </w:r>
    </w:p>
    <w:p>
      <w:r>
        <w:t>**Core Structural Deficiencies**: The instrument exhibits five disqualifying characteristics: (1) single counterparty risk with Deriv or "a similar platform"—we cannot even confirm counterparty identity with certainty; (2) zero independent price discovery, meaning we accept whatever price the platform's proprietary algorithm generates with no market validation; (3) no alternative execution venues, eliminating our ability to exit during platform stress or technical failures; (4) complete absence of verifiable historical data, making all technical analysis and "proven playbooks" purely speculative; and (5) no regulatory investor protections, insurance schemes, or legal recourse mechanisms.</w:t>
      </w:r>
    </w:p>
    <w:p>
      <w:r>
        <w:t>**The "Predictability" Illusion**: The Aggressive Analyst claims the synthetic structure with "programmed spike events" creates exploitable patterns superior to traditional markets. This fundamentally misunderstands information asymmetry. The platform controls the algorithm, sees aggregate positioning, and can modify parameters—we have access to none of this. As the Conservative Analyst correctly states, we're not exploiting a model; we're gambling against a house that sets its own rules. The research report describes what Boom indices generally are, but we have zero verified data on THIS instrument's spike frequency, magnitude distribution, or drawdown patterns.</w:t>
      </w:r>
    </w:p>
    <w:p>
      <w:r>
        <w:t>**Regulatory Absence as Risk, Not Opportunity**: The Neutral Analyst notes Deriv holds certain licenses, but these don't create the capital adequacy requirements, segregated client funds, or independent audits that protect traditional securities investors. The Aggressive Analyst romanticizes regulatory absence as "freedom," but history—Mt. Gox, Quadriga, FTX—demonstrates that unregulated platforms with opaque operations eventually collapse. The fact we haven't found fraud allegations in a basic search is not verification of operational integrity; it may simply mean we're in the window before structural problems emerge.</w:t>
      </w:r>
    </w:p>
    <w:p>
      <w:r>
        <w:t>**The "Early" Misdiagnosis**: The complete void in sentiment data (zero Bloomberg coverage, zero StockTwits, zero Reddit, zero institutional participation) is presented by the Aggressive Analyst as proof we're early to an opportunity. The Conservative Analyst provides the correct interpretation: sophisticated investors with entire due diligence teams likely examined this instrument and walked away for exactly the reasons we've identified. The absence of institutional participation isn't bureaucratic slowness—it's evidence that this instrument fails basic suitability standards. This isn't Amazon in 1997 where you could read SEC filings and understand the business; this is being asked to invest without financial statements, management disclosure, or jurisdictional clarity.</w:t>
      </w:r>
    </w:p>
    <w:p>
      <w:r>
        <w:t>**Technical Analysis Inapplicability**: The research recommends RSI, MACD, ATR, and Bollinger Bands, but as the Conservative Analyst notes, these indicators were developed for markets with genuine price discovery driven by supply-demand dynamics. Applying them to a proprietary algorithm is using the wrong analytical framework. We cannot verify whether patterns exist, whether they're stable, or whether they're deliberately designed to attract capital before reversing.</w:t>
      </w:r>
    </w:p>
    <w:p>
      <w:r>
        <w:t>**The Neutral Position Fails Cost-Benefit Analysis**: The Neutral Analyst proposes a 1-2% exploratory position to "gather information" over 60 days. This approach fails on three grounds. First, a 60-day learning period cannot solve the structural information gaps—we still won't have audited financials, algorithm transparency, or independent liquidity verification. Second, maintaining any position accepts the tail risk that the platform experiences operational failure, regulatory action, or liquidity crisis during that period with zero recourse. Third, the opportunity cost argument is backwards: the universe of legitimate opportunities with transparent structure is vast. Capital preservation isn't about missing opportunities; it's about ensuring we can capitalize on real opportunities that don't require abandoning every risk management principle.</w:t>
      </w:r>
    </w:p>
    <w:p>
      <w:r>
        <w:t>**Counterparty Risk is Binary and Unhedgeable**: When the platform itself is your sole counterparty with proprietary pricing, you cannot hedge this risk through derivatives, cannot diversify across execution venues, and cannot rely on regulatory intervention during disputes. The risk isn't continuous and manageable through position sizing—it's binary. Either the platform honors obligations or it doesn't, and we have no independent verification of its capacity to do so under stress.</w:t>
      </w:r>
    </w:p>
    <w:p>
      <w:r>
        <w:t>**Verdict**: This is not contrarian investing in a misunderstood asset; it's accepting existential structural risks for returns we cannot verify through a counterparty we cannot validate. The Research Manager and Trader correctly identified this as unsuitable for any fiduciary portfolio. The Conservative Analyst's systematic dismantling of the bull case is grounded in specific, verifiable facts about what we cannot know and cannot control. Exit immediately and reallocate to regulated instruments with transparent price discovery, multiple execution venues, and institutional validation—venues where risk can actually be quantified and managed.</w:t>
      </w:r>
    </w:p>
    <w:p>
      <w:r>
        <w:t>**Time Horizon**: Immediate exit; no re-entry under current structure</w:t>
      </w:r>
    </w:p>
    <w:p>
      <w:pPr>
        <w:pStyle w:val="Heading2"/>
      </w:pPr>
      <w:r>
        <w:t>Plan Trader</w:t>
      </w:r>
    </w:p>
    <w:p>
      <w:r>
        <w:t>**Action**: Sell</w:t>
      </w:r>
    </w:p>
    <w:p>
      <w:r>
        <w:t>**Reasoning**: The comprehensive analysis reveals extreme structural risks that disqualify BOOM1000=X from any prudent portfolio. The instrument operates with a single counterparty, zero independent price discovery, no regulatory oversight, and unverifiable performance data—these are fundamental red flags, not contrarian opportunities. The platform's proprietary pricing algorithm creates information asymmetry that favors the house, while the absence of institutional participation and Bloomberg coverage reflects legitimate due diligence concerns rather than early-mover advantage. The bear's rebuttal was decisive: counterparty risk is unquantifiable, liquidity structure hides systemic vulnerability, and we cannot verify any claims about patterns or returns. This isn't market timing—it's structural unsuitability requiring immediate exit of any existing positions.</w:t>
      </w:r>
    </w:p>
    <w:p>
      <w:r>
        <w:t>**Position Sizing**: Exit 100% of any existing position immediately. Do not initiate new positions under any circumstances. Zero capital allocation warranted given unquantifiable platform and counterparty risk.</w:t>
      </w:r>
    </w:p>
    <w:p>
      <w:r>
        <w:t>FINAL TRANSACTION PROPOSAL: **SELL**</w:t>
      </w:r>
    </w:p>
    <w:p>
      <w:pPr>
        <w:pStyle w:val="Heading2"/>
      </w:pPr>
      <w:r>
        <w:t>Rapport Marche</w:t>
      </w:r>
    </w:p>
    <w:p>
      <w:r>
        <w:t>I apologize for the difficulty in retrieving data for BOOM1000=X. This appears to be a synthetic index (likely the Boom 1000 Index from Deriv or a similar platform), and the data source may not have this specific ticker available under the format provided.</w:t>
      </w:r>
    </w:p>
    <w:p>
      <w:r>
        <w:t>## Analysis Status Report</w:t>
      </w:r>
    </w:p>
    <w:p>
      <w:r>
        <w:t xml:space="preserve">**Instrument:** BOOM1000=X  </w:t>
        <w:br/>
        <w:t xml:space="preserve">**Analysis Date:** 2026-05-20  </w:t>
        <w:br/>
        <w:t>**Status:** Unable to retrieve historical data</w:t>
      </w:r>
    </w:p>
    <w:p>
      <w:r>
        <w:t>### Issue Encountered:</w:t>
        <w:br/>
        <w:t>The ticker BOOM1000=X does not appear to be available in the current data provider's database. I attempted multiple ticker format variations including:</w:t>
        <w:br/>
        <w:t>- BOOM1000=X (original format)</w:t>
        <w:br/>
        <w:t>- BOOM1000 (without suffix)</w:t>
        <w:br/>
        <w:t>- 1HZ1000V (Deriv API format)</w:t>
        <w:br/>
        <w:t>- synBOOM1000 (synthetic prefix format)</w:t>
      </w:r>
    </w:p>
    <w:p>
      <w:r>
        <w:t>### About BOOM1000 Index:</w:t>
        <w:br/>
        <w:t>The Boom 1000 Index is typically a **synthetic index** that simulates a market with constant volatility and occasional upward spikes. It's commonly traded on platforms like Deriv.com and is popular among traders who prefer synthetic instruments with predictable volatility characteristics.</w:t>
      </w:r>
    </w:p>
    <w:p>
      <w:r>
        <w:t>### Recommended Indicators for Boom Indices (General Guidance):</w:t>
        <w:br/>
        <w:t>If data were available, the most suitable indicators for this type of synthetic instrument would be:</w:t>
      </w:r>
    </w:p>
    <w:p>
      <w:r>
        <w:t>1. **RSI** - Critical for identifying overbought/oversold conditions in the frequent spikes</w:t>
        <w:br/>
        <w:t>2. **MACD** - Captures momentum shifts during spike formations</w:t>
        <w:br/>
        <w:t>3. **ATR** - Essential for volatility-based position sizing given the synthetic nature</w:t>
        <w:br/>
        <w:t>4. **Bollinger Bands (boll, boll_ub, boll_lb)** - Excellent for identifying breakout spikes characteristic of Boom indices</w:t>
        <w:br/>
        <w:t>5. **10 EMA** - Responsive to quick price movements typical in synthetic indices</w:t>
        <w:br/>
        <w:t>6. **50 SMA** - Medium-term trend reference</w:t>
      </w:r>
    </w:p>
    <w:p>
      <w:r>
        <w:t>### Next Steps:</w:t>
        <w:br/>
        <w:t>To proceed with analysis, you would need to:</w:t>
        <w:br/>
        <w:t>1. Verify the correct ticker symbol format with your data provider</w:t>
        <w:br/>
        <w:t>2. Confirm data availability for synthetic indices</w:t>
        <w:br/>
        <w:t>3. Consider using a specialized Deriv API connection if trading this instrument specifically</w:t>
      </w:r>
    </w:p>
    <w:p>
      <w:r>
        <w:t>| **Category** | **Details** |</w:t>
        <w:br/>
        <w:t>|--------------|-------------|</w:t>
        <w:br/>
        <w:t>| **Instrument** | BOOM1000=X (Synthetic Index) |</w:t>
        <w:br/>
        <w:t>| **Analysis Date** | 2026-05-20 |</w:t>
        <w:br/>
        <w:t>| **Data Status** | Not Available |</w:t>
        <w:br/>
        <w:t>| **Asset Class** | Synthetic Index with upward spike characteristics |</w:t>
        <w:br/>
        <w:t>| **Typical Volatility** | High, with programmed spike events |</w:t>
        <w:br/>
        <w:t>| **Recommended Strategy** | Spike/breakout trading with tight risk management |</w:t>
        <w:br/>
        <w:t>| **Key Challenge** | Data source compatibility |</w:t>
      </w:r>
    </w:p>
    <w:p>
      <w:r>
        <w:t>I was unable to complete the technical analysis due to data availability limitations. If you have access to this instrument through a different platform or ticker format, please provide the alternative symbol.</w:t>
      </w:r>
    </w:p>
    <w:p>
      <w:pPr>
        <w:pStyle w:val="Heading2"/>
      </w:pPr>
      <w:r>
        <w:t>Rapport Sentiment</w:t>
      </w:r>
    </w:p>
    <w:p>
      <w:r>
        <w:t># Sentiment Report: BOOM1000=X</w:t>
        <w:br/>
        <w:t xml:space="preserve">**Period:** 2026-05-13 to 2026-05-20  </w:t>
        <w:br/>
        <w:t>**Report Date:** 2026-05-20</w:t>
      </w:r>
    </w:p>
    <w:p>
      <w:r>
        <w:t>---</w:t>
      </w:r>
    </w:p>
    <w:p>
      <w:r>
        <w:t>## 1. Overall Sentiment Direction</w:t>
      </w:r>
    </w:p>
    <w:p>
      <w:r>
        <w:t xml:space="preserve">**NEUTRAL (Insufficient Data)**  </w:t>
        <w:br/>
        <w:t>**Confidence:** Very Low</w:t>
      </w:r>
    </w:p>
    <w:p>
      <w:r>
        <w:t>The sentiment analysis for BOOM1000=X is severely constrained by a complete absence of actionable data across all three sources. No news coverage, no StockTwits messages (due to HTTP error), and no Reddit discussion were identified for this instrument during the target period. This data void itself is a meaningful signal—it indicates extremely limited retail awareness, negligible institutional media coverage, and potentially thin liquidity or low trading interest in this specific instrument.</w:t>
      </w:r>
    </w:p>
    <w:p>
      <w:r>
        <w:t>---</w:t>
      </w:r>
    </w:p>
    <w:p>
      <w:r>
        <w:t>## 2. Source-by-Source Breakdown</w:t>
      </w:r>
    </w:p>
    <w:p>
      <w:r>
        <w:t>### A. News Headlines (Yahoo Finance, past 7 days)</w:t>
        <w:br/>
        <w:t>**Finding:** Zero news articles returned.</w:t>
      </w:r>
    </w:p>
    <w:p>
      <w:r>
        <w:t xml:space="preserve">**Interpretation:**  </w:t>
        <w:br/>
        <w:t>- No institutional media coverage suggests BOOM1000=X is either a niche derivative/synthetic instrument, a newly listed product, or operates in a segment that does not attract financial journalism attention.</w:t>
        <w:br/>
        <w:t>- The ticker format (=X suffix) typically denotes indices or forex pairs on certain platforms, which may not generate standalone news flow the way individual equities do.</w:t>
        <w:br/>
        <w:t>- **Signal:** Institutional silence. No catalysts or narrative framing from traditional financial media.</w:t>
      </w:r>
    </w:p>
    <w:p>
      <w:r>
        <w:t>### B. StockTwits (Retail Social Sentiment)</w:t>
        <w:br/>
        <w:t>**Finding:** Data unavailable due to HTTPError.</w:t>
      </w:r>
    </w:p>
    <w:p>
      <w:r>
        <w:t xml:space="preserve">**Interpretation:**  </w:t>
        <w:br/>
        <w:t>- Technical failure prevents sentiment ratio analysis.</w:t>
        <w:br/>
        <w:t>- Even if data were available, the ticker format may not be widely tracked on StockTwits, which is optimized for U.S. equities and popular crypto assets.</w:t>
        <w:br/>
        <w:t>- **Signal:** Cannot assess retail sentiment direction, momentum, or conviction level.</w:t>
      </w:r>
    </w:p>
    <w:p>
      <w:r>
        <w:t>### C. Reddit (r/wallstreetbets, r/stocks, r/investing, past 7 days)</w:t>
        <w:br/>
        <w:t>**Finding:** Zero posts mentioning BOOM1000=X across all three subreddits.</w:t>
      </w:r>
    </w:p>
    <w:p>
      <w:r>
        <w:t xml:space="preserve">**Interpretation:**  </w:t>
        <w:br/>
        <w:t>- No grassroots discussion, meme momentum, or community-driven narrative.</w:t>
        <w:br/>
        <w:t>- The absence is consistent with either:</w:t>
        <w:br/>
        <w:t xml:space="preserve">  - A non-equity instrument (e.g., index, forex pair, derivative) that doesn't fit typical Reddit trading discourse, or</w:t>
        <w:br/>
        <w:t xml:space="preserve">  - Extremely low awareness/liquidity, making it irrelevant to retail traders on these platforms.</w:t>
        <w:br/>
        <w:t>- **Signal:** No retail community engagement. No emerging narratives, hype cycles, or contrarian plays.</w:t>
      </w:r>
    </w:p>
    <w:p>
      <w:r>
        <w:t>---</w:t>
      </w:r>
    </w:p>
    <w:p>
      <w:r>
        <w:t>## 3. Divergences, Alignments, and Key Narratives</w:t>
      </w:r>
    </w:p>
    <w:p>
      <w:r>
        <w:t>### Cross-Source Alignment</w:t>
        <w:br/>
        <w:t>All three sources are aligned in their **silence**. There is no divergence because there is no data variance—news, social, and community channels are uniformly absent.</w:t>
      </w:r>
    </w:p>
    <w:p>
      <w:r>
        <w:t>### Key Narratives</w:t>
        <w:br/>
        <w:t>**None identified.** No recurring themes, catalysts, or sentiment-driving events emerged from the data collection.</w:t>
      </w:r>
    </w:p>
    <w:p>
      <w:r>
        <w:t>### What the Silence Tells Us</w:t>
        <w:br/>
        <w:t>The complete data void suggests:</w:t>
        <w:br/>
        <w:t>- **Instrument characteristics:** BOOM1000=X is likely a synthetic index, volatility derivative, or forex instrument with limited retail penetration.</w:t>
        <w:br/>
        <w:t>- **Liquidity risk:** Low media and social footprint often correlates with thin order books and wider bid-ask spreads.</w:t>
        <w:br/>
        <w:t>- **Audience mismatch:** The ticker may be relevant in professional/institutional contexts (e.g., Bloomberg terminals, prop trading desks) but is not on the radar of retail sentiment channels.</w:t>
      </w:r>
    </w:p>
    <w:p>
      <w:r>
        <w:t>---</w:t>
      </w:r>
    </w:p>
    <w:p>
      <w:r>
        <w:t>## 4. Catalysts and Risks</w:t>
      </w:r>
    </w:p>
    <w:p>
      <w:r>
        <w:t>### Identified Catalysts</w:t>
        <w:br/>
        <w:t>**None.** No upcoming earnings, product launches, regulatory events, or macro triggers were surfaced by the available data.</w:t>
      </w:r>
    </w:p>
    <w:p>
      <w:r>
        <w:t>### Identified Risks</w:t>
        <w:br/>
        <w:t>1. **Liquidity Risk:** Absence of discussion and news coverage suggests potential difficulty entering/exiting positions at desired prices.</w:t>
        <w:br/>
        <w:t>2. **Information Asymmetry:** Lack of public discourse means any material developments may not be widely disseminated or priced in efficiently.</w:t>
        <w:br/>
        <w:t>3. **Data Opacity:** If this is a derivative or synthetic instrument, understanding the underlying components, rebalancing events, or roll schedules may require specialist knowledge not captured in retail sentiment channels.</w:t>
      </w:r>
    </w:p>
    <w:p>
      <w:r>
        <w:t>---</w:t>
      </w:r>
    </w:p>
    <w:p>
      <w:r>
        <w:t>## 5. Summary Table: Sentiment Signals</w:t>
      </w:r>
    </w:p>
    <w:p>
      <w:r>
        <w:t>| **Signal Source** | **Sentiment Direction** | **Strength** | **Supporting Evidence** |</w:t>
        <w:br/>
        <w:t>|-------------------|-------------------------|--------------|-------------------------|</w:t>
        <w:br/>
        <w:t>| **Yahoo Finance News** | No signal | N/A | 0 articles found for BOOM1000=X in past 7 days |</w:t>
        <w:br/>
        <w:t>| **StockTwits** | No signal | N/A | Data unavailable (HTTPError); no sentiment ratio calculable |</w:t>
        <w:br/>
        <w:t>| **Reddit (WSB)** | No signal | N/A | 0 posts mentioning BOOM1000=X in past 7 days |</w:t>
        <w:br/>
        <w:t>| **Reddit (r/stocks)** | No signal | N/A | 0 posts mentioning BOOM1000=X in past 7 days |</w:t>
        <w:br/>
        <w:t>| **Reddit (r/investing)** | No signal | N/A | 0 posts mentioning BOOM1000=X in past 7 days |</w:t>
        <w:br/>
        <w:t>| **Overall Retail Sentiment** | **Neutral (Insufficient Data)** | Very Low Confidence | Complete absence of retail discussion and institutional media coverage |</w:t>
      </w:r>
    </w:p>
    <w:p>
      <w:r>
        <w:t>---</w:t>
      </w:r>
    </w:p>
    <w:p>
      <w:r>
        <w:t>## Conclusion</w:t>
      </w:r>
    </w:p>
    <w:p>
      <w:r>
        <w:t>The sentiment landscape for **BOOM1000=X** is characterized by a **complete absence of measurable signals** across news, social, and community channels. This is not a case of neutral or mixed sentiment—it is a data void indicating extremely low market awareness and engagement.</w:t>
      </w:r>
    </w:p>
    <w:p>
      <w:r>
        <w:t>**Recommendations for the trader:**</w:t>
        <w:br/>
        <w:t>- **Treat sentiment as non-informative** for this instrument. Traditional price action, order flow, and fundamental analysis (if applicable) should carry greater weight.</w:t>
        <w:br/>
        <w:t>- **Investigate instrument specifications:** Confirm whether BOOM1000=X is an index, derivative, or synthetic product, and assess liquidity via bid-ask spreads and average daily volume.</w:t>
        <w:br/>
        <w:t>- **Monitor for sudden sentiment emergence:** If retail or media attention materializes, it may signal a structural shift (e.g., new listing, viral attention, or institutional marketing push) that could impact volatility and liquidity.</w:t>
      </w:r>
    </w:p>
    <w:p>
      <w:r>
        <w:t>**Data quality caveat:** This report is constrained by source unavailability (StockTwits) and zero coverage elsewhere. The lack of sentiment data is itself the primary finding.</w:t>
      </w:r>
    </w:p>
    <w:p>
      <w:r>
        <w:t>---</w:t>
      </w:r>
    </w:p>
    <w:p>
      <w:r>
        <w:rPr>
          <w:b/>
        </w:rPr>
        <w:t>End of Sentiment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