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Boom 1000 Index</w:t>
      </w:r>
    </w:p>
    <w:p>
      <w:pPr>
        <w:jc w:val="center"/>
      </w:pPr>
      <w:r>
        <w:rPr>
          <w:color w:val="646464"/>
          <w:sz w:val="20"/>
        </w:rPr>
        <w:t>Date d'analyse : 2026-05-21    |    Généré le : 2026-05-21</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Prix actuel</w:t>
            </w:r>
          </w:p>
        </w:tc>
        <w:tc>
          <w:tcPr>
            <w:tcW w:type="dxa" w:w="4320"/>
            <w:shd w:val="clear" w:color="auto" w:fill="EEF2FF"/>
          </w:tcPr>
          <w:p>
            <w:r>
              <w:t>13,064.136</w:t>
            </w:r>
          </w:p>
        </w:tc>
      </w:tr>
      <w:tr>
        <w:tc>
          <w:tcPr>
            <w:tcW w:type="dxa" w:w="4320"/>
          </w:tcPr>
          <w:p>
            <w:r>
              <w:rPr>
                <w:b/>
                <w:color w:val="3C3C3C"/>
              </w:rPr>
              <w:t>ATR (volatilité)</w:t>
            </w:r>
          </w:p>
        </w:tc>
        <w:tc>
          <w:tcPr>
            <w:tcW w:type="dxa" w:w="4320"/>
          </w:tcPr>
          <w:p>
            <w:r>
              <w:t>205.29563</w:t>
            </w:r>
          </w:p>
        </w:tc>
      </w:tr>
    </w:tbl>
    <w:p/>
    <w:p>
      <w:pPr>
        <w:pStyle w:val="Heading2"/>
        <w:jc w:val="left"/>
      </w:pPr>
      <w:r>
        <w:rPr>
          <w:color w:val="B41E1E"/>
        </w:rPr>
        <w:t>Signaux de Trading Proposes</w:t>
      </w:r>
    </w:p>
    <w:p>
      <w:r>
        <w:rPr>
          <w:b/>
          <w:color w:val="B41E1E"/>
          <w:sz w:val="22"/>
        </w:rPr>
        <w:t xml:space="preserve">  Signal 1 — Conservateur — Ordre Marche</w:t>
      </w:r>
    </w:p>
    <w:tbl>
      <w:tblPr>
        <w:tblStyle w:val="TableGrid"/>
        <w:tblW w:type="auto" w:w="0"/>
        <w:tblLook w:firstColumn="1" w:firstRow="1" w:lastColumn="0" w:lastRow="0" w:noHBand="0" w:noVBand="1" w:val="04A0"/>
      </w:tblPr>
      <w:tblGrid>
        <w:gridCol w:w="4320"/>
        <w:gridCol w:w="4320"/>
      </w:tblGrid>
      <w:tr>
        <w:tc>
          <w:tcPr>
            <w:tcW w:type="dxa" w:w="4320"/>
            <w:shd w:val="clear" w:color="auto" w:fill="DFFFD6"/>
          </w:tcPr>
          <w:p>
            <w:r>
              <w:rPr>
                <w:b/>
              </w:rPr>
              <w:t>Type d'ordre</w:t>
            </w:r>
          </w:p>
        </w:tc>
        <w:tc>
          <w:tcPr>
            <w:tcW w:type="dxa" w:w="4320"/>
            <w:shd w:val="clear" w:color="auto" w:fill="DFFFD6"/>
          </w:tcPr>
          <w:p>
            <w:r>
              <w:t>MARKET</w:t>
            </w:r>
          </w:p>
        </w:tc>
      </w:tr>
      <w:tr>
        <w:tc>
          <w:tcPr>
            <w:tcW w:type="dxa" w:w="4320"/>
            <w:shd w:val="clear" w:color="auto" w:fill="DFFFD6"/>
          </w:tcPr>
          <w:p>
            <w:r>
              <w:rPr>
                <w:b/>
              </w:rPr>
              <w:t>Direction</w:t>
            </w:r>
          </w:p>
        </w:tc>
        <w:tc>
          <w:tcPr>
            <w:tcW w:type="dxa" w:w="4320"/>
            <w:shd w:val="clear" w:color="auto" w:fill="DFFFD6"/>
          </w:tcPr>
          <w:p>
            <w:r>
              <w:t>SELL</w:t>
            </w:r>
          </w:p>
        </w:tc>
      </w:tr>
      <w:tr>
        <w:tc>
          <w:tcPr>
            <w:tcW w:type="dxa" w:w="4320"/>
            <w:shd w:val="clear" w:color="auto" w:fill="DFFFD6"/>
          </w:tcPr>
          <w:p>
            <w:r>
              <w:rPr>
                <w:b/>
              </w:rPr>
              <w:t>Prix d'entrée</w:t>
            </w:r>
          </w:p>
        </w:tc>
        <w:tc>
          <w:tcPr>
            <w:tcW w:type="dxa" w:w="4320"/>
            <w:shd w:val="clear" w:color="auto" w:fill="DFFFD6"/>
          </w:tcPr>
          <w:p>
            <w:r>
              <w:t>13,064.136</w:t>
            </w:r>
          </w:p>
        </w:tc>
      </w:tr>
      <w:tr>
        <w:tc>
          <w:tcPr>
            <w:tcW w:type="dxa" w:w="4320"/>
            <w:shd w:val="clear" w:color="auto" w:fill="DFFFD6"/>
          </w:tcPr>
          <w:p>
            <w:r>
              <w:rPr>
                <w:b/>
              </w:rPr>
              <w:t>Stop Loss</w:t>
            </w:r>
          </w:p>
        </w:tc>
        <w:tc>
          <w:tcPr>
            <w:tcW w:type="dxa" w:w="4320"/>
            <w:shd w:val="clear" w:color="auto" w:fill="DFFFD6"/>
          </w:tcPr>
          <w:p>
            <w:r>
              <w:t>13,269.432  (205.3 pips de risque)</w:t>
            </w:r>
          </w:p>
        </w:tc>
      </w:tr>
      <w:tr>
        <w:tc>
          <w:tcPr>
            <w:tcW w:type="dxa" w:w="4320"/>
            <w:shd w:val="clear" w:color="auto" w:fill="DFFFD6"/>
          </w:tcPr>
          <w:p>
            <w:r>
              <w:rPr>
                <w:b/>
              </w:rPr>
              <w:t>Take Profit</w:t>
            </w:r>
          </w:p>
        </w:tc>
        <w:tc>
          <w:tcPr>
            <w:tcW w:type="dxa" w:w="4320"/>
            <w:shd w:val="clear" w:color="auto" w:fill="DFFFD6"/>
          </w:tcPr>
          <w:p>
            <w:r>
              <w:t>12,653.545  (410.6 pips de gain)</w:t>
            </w:r>
          </w:p>
        </w:tc>
      </w:tr>
      <w:tr>
        <w:tc>
          <w:tcPr>
            <w:tcW w:type="dxa" w:w="4320"/>
            <w:shd w:val="clear" w:color="auto" w:fill="DFFFD6"/>
          </w:tcPr>
          <w:p>
            <w:r>
              <w:rPr>
                <w:b/>
              </w:rPr>
              <w:t>Ratio R/R</w:t>
            </w:r>
          </w:p>
        </w:tc>
        <w:tc>
          <w:tcPr>
            <w:tcW w:type="dxa" w:w="4320"/>
            <w:shd w:val="clear" w:color="auto" w:fill="DFFFD6"/>
          </w:tcPr>
          <w:p>
            <w:r>
              <w:t>1 : 2.0</w:t>
            </w:r>
          </w:p>
        </w:tc>
      </w:tr>
      <w:tr>
        <w:tc>
          <w:tcPr>
            <w:tcW w:type="dxa" w:w="4320"/>
            <w:shd w:val="clear" w:color="auto" w:fill="DFFFD6"/>
          </w:tcPr>
          <w:p>
            <w:r>
              <w:rPr>
                <w:b/>
              </w:rPr>
              <w:t>Prix actuel</w:t>
            </w:r>
          </w:p>
        </w:tc>
        <w:tc>
          <w:tcPr>
            <w:tcW w:type="dxa" w:w="4320"/>
            <w:shd w:val="clear" w:color="auto" w:fill="DFFFD6"/>
          </w:tcPr>
          <w:p>
            <w:r>
              <w:t>13,064.136</w:t>
            </w:r>
          </w:p>
        </w:tc>
      </w:tr>
    </w:tbl>
    <w:p/>
    <w:p>
      <w:r>
        <w:rPr>
          <w:b/>
          <w:color w:val="B41E1E"/>
          <w:sz w:val="22"/>
        </w:rPr>
        <w:t xml:space="preserve">  Signal 2 — Agressif    — Ordre Limite</w:t>
      </w:r>
    </w:p>
    <w:tbl>
      <w:tblPr>
        <w:tblStyle w:val="TableGrid"/>
        <w:tblW w:type="auto" w:w="0"/>
        <w:tblLook w:firstColumn="1" w:firstRow="1" w:lastColumn="0" w:lastRow="0" w:noHBand="0" w:noVBand="1" w:val="04A0"/>
      </w:tblPr>
      <w:tblGrid>
        <w:gridCol w:w="4320"/>
        <w:gridCol w:w="4320"/>
      </w:tblGrid>
      <w:tr>
        <w:tc>
          <w:tcPr>
            <w:tcW w:type="dxa" w:w="4320"/>
            <w:shd w:val="clear" w:color="auto" w:fill="FFF3CD"/>
          </w:tcPr>
          <w:p>
            <w:r>
              <w:rPr>
                <w:b/>
              </w:rPr>
              <w:t>Type d'ordre</w:t>
            </w:r>
          </w:p>
        </w:tc>
        <w:tc>
          <w:tcPr>
            <w:tcW w:type="dxa" w:w="4320"/>
            <w:shd w:val="clear" w:color="auto" w:fill="FFF3CD"/>
          </w:tcPr>
          <w:p>
            <w:r>
              <w:t>LIMIT</w:t>
            </w:r>
          </w:p>
        </w:tc>
      </w:tr>
      <w:tr>
        <w:tc>
          <w:tcPr>
            <w:tcW w:type="dxa" w:w="4320"/>
            <w:shd w:val="clear" w:color="auto" w:fill="FFF3CD"/>
          </w:tcPr>
          <w:p>
            <w:r>
              <w:rPr>
                <w:b/>
              </w:rPr>
              <w:t>Direction</w:t>
            </w:r>
          </w:p>
        </w:tc>
        <w:tc>
          <w:tcPr>
            <w:tcW w:type="dxa" w:w="4320"/>
            <w:shd w:val="clear" w:color="auto" w:fill="FFF3CD"/>
          </w:tcPr>
          <w:p>
            <w:r>
              <w:t>SELL</w:t>
            </w:r>
          </w:p>
        </w:tc>
      </w:tr>
      <w:tr>
        <w:tc>
          <w:tcPr>
            <w:tcW w:type="dxa" w:w="4320"/>
            <w:shd w:val="clear" w:color="auto" w:fill="FFF3CD"/>
          </w:tcPr>
          <w:p>
            <w:r>
              <w:rPr>
                <w:b/>
              </w:rPr>
              <w:t>Prix d'entrée</w:t>
            </w:r>
          </w:p>
        </w:tc>
        <w:tc>
          <w:tcPr>
            <w:tcW w:type="dxa" w:w="4320"/>
            <w:shd w:val="clear" w:color="auto" w:fill="FFF3CD"/>
          </w:tcPr>
          <w:p>
            <w:r>
              <w:t>13,064.136</w:t>
            </w:r>
          </w:p>
        </w:tc>
      </w:tr>
      <w:tr>
        <w:tc>
          <w:tcPr>
            <w:tcW w:type="dxa" w:w="4320"/>
            <w:shd w:val="clear" w:color="auto" w:fill="FFF3CD"/>
          </w:tcPr>
          <w:p>
            <w:r>
              <w:rPr>
                <w:b/>
              </w:rPr>
              <w:t>Stop Loss</w:t>
            </w:r>
          </w:p>
        </w:tc>
        <w:tc>
          <w:tcPr>
            <w:tcW w:type="dxa" w:w="4320"/>
            <w:shd w:val="clear" w:color="auto" w:fill="FFF3CD"/>
          </w:tcPr>
          <w:p>
            <w:r>
              <w:t>13,228.372  (164.2 pips de risque)</w:t>
            </w:r>
          </w:p>
        </w:tc>
      </w:tr>
      <w:tr>
        <w:tc>
          <w:tcPr>
            <w:tcW w:type="dxa" w:w="4320"/>
            <w:shd w:val="clear" w:color="auto" w:fill="FFF3CD"/>
          </w:tcPr>
          <w:p>
            <w:r>
              <w:rPr>
                <w:b/>
              </w:rPr>
              <w:t>Take Profit</w:t>
            </w:r>
          </w:p>
        </w:tc>
        <w:tc>
          <w:tcPr>
            <w:tcW w:type="dxa" w:w="4320"/>
            <w:shd w:val="clear" w:color="auto" w:fill="FFF3CD"/>
          </w:tcPr>
          <w:p>
            <w:r>
              <w:t>12,550.897  (513.2 pips de gain)</w:t>
            </w:r>
          </w:p>
        </w:tc>
      </w:tr>
      <w:tr>
        <w:tc>
          <w:tcPr>
            <w:tcW w:type="dxa" w:w="4320"/>
            <w:shd w:val="clear" w:color="auto" w:fill="FFF3CD"/>
          </w:tcPr>
          <w:p>
            <w:r>
              <w:rPr>
                <w:b/>
              </w:rPr>
              <w:t>Ratio R/R</w:t>
            </w:r>
          </w:p>
        </w:tc>
        <w:tc>
          <w:tcPr>
            <w:tcW w:type="dxa" w:w="4320"/>
            <w:shd w:val="clear" w:color="auto" w:fill="FFF3CD"/>
          </w:tcPr>
          <w:p>
            <w:r>
              <w:t>1 : 3.13</w:t>
            </w:r>
          </w:p>
        </w:tc>
      </w:tr>
      <w:tr>
        <w:tc>
          <w:tcPr>
            <w:tcW w:type="dxa" w:w="4320"/>
            <w:shd w:val="clear" w:color="auto" w:fill="FFF3CD"/>
          </w:tcPr>
          <w:p>
            <w:r>
              <w:rPr>
                <w:b/>
              </w:rPr>
              <w:t>Prix actuel</w:t>
            </w:r>
          </w:p>
        </w:tc>
        <w:tc>
          <w:tcPr>
            <w:tcW w:type="dxa" w:w="4320"/>
            <w:shd w:val="clear" w:color="auto" w:fill="FFF3CD"/>
          </w:tcPr>
          <w:p>
            <w:r>
              <w:t>13,064.136</w:t>
            </w:r>
          </w:p>
        </w:tc>
      </w:tr>
    </w:tbl>
    <w:p/>
    <w:p>
      <w:pPr>
        <w:pBdr>
          <w:bottom w:val="single" w:sz="6" w:space="1" w:color="CCCCCC"/>
        </w:pBdr>
      </w:pPr>
    </w:p>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daetyu1v.png"/>
                    <pic:cNvPicPr/>
                  </pic:nvPicPr>
                  <pic:blipFill>
                    <a:blip r:embed="rId9"/>
                    <a:stretch>
                      <a:fillRect/>
                    </a:stretch>
                  </pic:blipFill>
                  <pic:spPr>
                    <a:xfrm>
                      <a:off x="0" y="0"/>
                      <a:ext cx="2011680" cy="1605963"/>
                    </a:xfrm>
                    <a:prstGeom prst="rect"/>
                  </pic:spPr>
                </pic:pic>
              </a:graphicData>
            </a:graphic>
          </wp:inline>
        </w:drawing>
      </w:r>
      <w:r>
        <w:t xml:space="preserve">    </w:t>
      </w:r>
      <w:r>
        <w:drawing>
          <wp:inline xmlns:a="http://schemas.openxmlformats.org/drawingml/2006/main" xmlns:pic="http://schemas.openxmlformats.org/drawingml/2006/picture">
            <wp:extent cx="2743200" cy="2044183"/>
            <wp:docPr id="2" name="Picture 2"/>
            <wp:cNvGraphicFramePr>
              <a:graphicFrameLocks noChangeAspect="1"/>
            </wp:cNvGraphicFramePr>
            <a:graphic>
              <a:graphicData uri="http://schemas.openxmlformats.org/drawingml/2006/picture">
                <pic:pic>
                  <pic:nvPicPr>
                    <pic:cNvPr id="0" name="tmpip2gbrq_.png"/>
                    <pic:cNvPicPr/>
                  </pic:nvPicPr>
                  <pic:blipFill>
                    <a:blip r:embed="rId10"/>
                    <a:stretch>
                      <a:fillRect/>
                    </a:stretch>
                  </pic:blipFill>
                  <pic:spPr>
                    <a:xfrm>
                      <a:off x="0" y="0"/>
                      <a:ext cx="2743200" cy="2044183"/>
                    </a:xfrm>
                    <a:prstGeom prst="rect"/>
                  </pic:spPr>
                </pic:pic>
              </a:graphicData>
            </a:graphic>
          </wp:inline>
        </w:drawing>
      </w:r>
    </w:p>
    <w:p>
      <w:pPr>
        <w:pBdr>
          <w:bottom w:val="single" w:sz="6" w:space="1" w:color="CCCCCC"/>
        </w:pBdr>
      </w:pPr>
    </w:p>
    <w:p>
      <w:pPr>
        <w:pStyle w:val="Heading2"/>
        <w:jc w:val="left"/>
      </w:pPr>
      <w:r>
        <w:rPr>
          <w:color w:val="1E3C78"/>
        </w:rPr>
        <w:t>Indicateurs Techniques (TradBOT — M1)</w:t>
      </w:r>
    </w:p>
    <w:p>
      <w:pPr>
        <w:jc w:val="center"/>
      </w:pPr>
      <w:r>
        <w:drawing>
          <wp:inline xmlns:a="http://schemas.openxmlformats.org/drawingml/2006/main" xmlns:pic="http://schemas.openxmlformats.org/drawingml/2006/picture">
            <wp:extent cx="4114800" cy="2971048"/>
            <wp:docPr id="3" name="Picture 3"/>
            <wp:cNvGraphicFramePr>
              <a:graphicFrameLocks noChangeAspect="1"/>
            </wp:cNvGraphicFramePr>
            <a:graphic>
              <a:graphicData uri="http://schemas.openxmlformats.org/drawingml/2006/picture">
                <pic:pic>
                  <pic:nvPicPr>
                    <pic:cNvPr id="0" name="tmpl_i794u1.png"/>
                    <pic:cNvPicPr/>
                  </pic:nvPicPr>
                  <pic:blipFill>
                    <a:blip r:embed="rId11"/>
                    <a:stretch>
                      <a:fillRect/>
                    </a:stretch>
                  </pic:blipFill>
                  <pic:spPr>
                    <a:xfrm>
                      <a:off x="0" y="0"/>
                      <a:ext cx="4114800" cy="2971048"/>
                    </a:xfrm>
                    <a:prstGeom prst="rect"/>
                  </pic:spPr>
                </pic:pic>
              </a:graphicData>
            </a:graphic>
          </wp:inline>
        </w:drawing>
      </w:r>
    </w:p>
    <w:p/>
    <w:p>
      <w:pPr>
        <w:pBdr>
          <w:bottom w:val="single" w:sz="6" w:space="1" w:color="CCCCCC"/>
        </w:pBdr>
      </w:pPr>
    </w:p>
    <w:p>
      <w:pPr>
        <w:pStyle w:val="Heading2"/>
        <w:jc w:val="left"/>
      </w:pPr>
      <w:r>
        <w:rPr>
          <w:color w:val="1E3C78"/>
        </w:rPr>
        <w:t>Décision Portfolio Manager</w:t>
      </w:r>
    </w:p>
    <w:p>
      <w:pPr>
        <w:jc w:val="both"/>
      </w:pPr>
      <w:r>
        <w:rPr>
          <w:b/>
          <w:sz w:val="22"/>
        </w:rPr>
        <w:t>Rating</w:t>
      </w:r>
      <w:r>
        <w:rPr>
          <w:sz w:val="22"/>
        </w:rPr>
        <w:t>: Underweight</w:t>
      </w:r>
    </w:p>
    <w:p>
      <w:pPr>
        <w:jc w:val="both"/>
      </w:pPr>
      <w:r>
        <w:rPr>
          <w:b/>
          <w:sz w:val="20"/>
        </w:rPr>
        <w:t>Executive Summary</w:t>
      </w:r>
      <w:r>
        <w:rPr>
          <w:sz w:val="20"/>
        </w:rPr>
        <w:t>: Maintain current BOOM1000 positions without adding or selling at current levels (13,063). Set conditional triggers: reduce allocation by 40-50% on a daily close below 12,650 (below lower Bollinger Band), or increase toward normal allocation on a close above 13,400 with volume confirmation. Use a stop loss at 12,786 (1.5x ATR) to protect against breakdown while avoiding premature capitulation at deeply oversold levels. Time horizon: 3-5 days for expected volatility breakout, then reassess.</w:t>
      </w:r>
    </w:p>
    <w:p>
      <w:pPr>
        <w:jc w:val="both"/>
      </w:pPr>
      <w:r>
        <w:rPr>
          <w:b/>
          <w:sz w:val="20"/>
        </w:rPr>
        <w:t>Investment Thesis</w:t>
      </w:r>
      <w:r>
        <w:rPr>
          <w:sz w:val="20"/>
        </w:rPr>
        <w:t>: The debate reveals three competing scenarios with roughly balanced probabilities: 40% continued breakdown, 35% consolidation, and 25% reversal rally. Both extreme positions-aggressive accumulation and defensive selling-ignore this fundamental uncertainty and cherry-pick data to support predetermined narratives.</w:t>
      </w:r>
    </w:p>
    <w:p>
      <w:pPr>
        <w:jc w:val="both"/>
      </w:pPr>
      <w:r>
        <w:rPr>
          <w:sz w:val="20"/>
        </w:rPr>
        <w:t>The aggressive case correctly identifies genuine exhaustion signals: RSI at 29.67 (deeply oversold), MACD histogram compression from -78 to -34 (momentum deceleration), price at the lower Bollinger Band (12,707), and ATR declining from 248 to 205 (volatility compression). The February precedent of RSI 32 triggering 15-20% bounces supports mean-reversion potential in this synthetic index. The 6:1 reward-risk ratio to the 50 SMA (13,946) is mathematically sound on paper.</w:t>
      </w:r>
    </w:p>
    <w:p>
      <w:pPr>
        <w:jc w:val="both"/>
      </w:pPr>
      <w:r>
        <w:rPr>
          <w:sz w:val="20"/>
        </w:rPr>
        <w:t>However, the conservative rebuttal devastates this thesis on probability-weighted grounds. The February bounce ultimately failed, leaving price lower than the entry point-a classic bear trap. The death cross, declining 200 SMA (-14.8% over seven months), and persistent lower highs confirm a structural downtrend, not just lagging noise. Most critically, the absence of capitulation volume means no genuine bottoming process has occurred. The MACD at historic lows (-277) represents grinding bear market conditions, not imminent reversal. Walking the lower Bollinger Band is a continuation pattern until proven otherwise. When probability-weighted, the 25% reversal scenario (7-11% upside) yields only 1.75-2.75% expected value versus 2-2.8% expected loss from the 40% breakdown scenario-essentially a coin flip, not the "asymmetric opportunity" claimed.</w:t>
      </w:r>
    </w:p>
    <w:p>
      <w:pPr>
        <w:jc w:val="both"/>
      </w:pPr>
      <w:r>
        <w:rPr>
          <w:sz w:val="20"/>
        </w:rPr>
        <w:t>The neutral analysis exposes the fatal flaw in both extremes: forcing action during Bollinger Band compression when the technical setup screams "wait for clarity." The technical report explicitly forecasts a 5%+ directional move within 3-5 days from current compression levels. Making major allocation changes before this breakout resolves is premature.</w:t>
      </w:r>
    </w:p>
    <w:p>
      <w:pPr>
        <w:jc w:val="both"/>
      </w:pPr>
      <w:r>
        <w:rPr>
          <w:sz w:val="20"/>
        </w:rPr>
        <w:t>Selling 40-60% now at 13,000-13,200 (conservative recommendation) crystallizes losses at the lower Bollinger Band after a 29% decline-textbook capitulation. Yet adding aggressively (aggressive recommendation) to a position showing no reversal confirmation increases risk exposure in a confirmed downtrend. Neither extreme respects the 35% consolidation probability-the MOST LIKELY single outcome.</w:t>
      </w:r>
    </w:p>
    <w:p>
      <w:pPr>
        <w:jc w:val="both"/>
      </w:pPr>
      <w:r>
        <w:rPr>
          <w:sz w:val="20"/>
        </w:rPr>
        <w:t>The optimal strategy acknowledges we're at a genuine inflection point without pretending to know which direction breaks first. The descending triangle has 70% breakdown probability in traditional analysis, but failed breakdowns trigger violent short squeezes-this argues for maintaining exposure with tight risk management, not preemptive positioning. Zero retail sentiment means the move will be technically driven and potentially fast, supporting having positions in place rather than sitting in cash.</w:t>
      </w:r>
    </w:p>
    <w:p>
      <w:pPr>
        <w:jc w:val="both"/>
      </w:pPr>
      <w:r>
        <w:rPr>
          <w:sz w:val="20"/>
        </w:rPr>
        <w:t>Key risk management flaws in both extreme views: The aggressive stop at 12,950 (only 0.73x ATR from entry) will get stopped out by normal volatility. The conservative exit at current levels (13,063) sells right into the lower band where risk-reward is actually most favorable for patient capital. The technically sound stop is 12,786 (1.5x ATR per the report's guidance), protecting against genuine breakdown while avoiding noise.</w:t>
      </w:r>
    </w:p>
    <w:p>
      <w:pPr>
        <w:jc w:val="both"/>
      </w:pPr>
      <w:r>
        <w:rPr>
          <w:sz w:val="20"/>
        </w:rPr>
        <w:t>The synthetic nature of BOOM1000 supports the neutral path. These indices DO mean-revert (aggressive analyst correct), but timing is unpredictable and quiet phases extend indefinitely (conservative analyst correct). This argues for exposure to capture the eventual spike, but not aggressive accumulation given zero catalysts or reversal confirmation.</w:t>
      </w:r>
    </w:p>
    <w:p>
      <w:pPr>
        <w:jc w:val="both"/>
      </w:pPr>
      <w:r>
        <w:rPr>
          <w:sz w:val="20"/>
        </w:rPr>
        <w:t>The Research Manager's Underweight recommendation is directionally correct but operationally premature. We should underweight ONLY after confirmation of breakdown below 12,650, not preemptively at current support. Until then, maintain current positions with defined triggers: reduce 40-50% below 12,650 (breakdown confirmation), increase toward normal allocation above 13,400 (reversal confirmation), or trim 20-30% on rallies to 13,600-13,800 if consolidation extends beyond five days.</w:t>
      </w:r>
    </w:p>
    <w:p>
      <w:pPr>
        <w:jc w:val="both"/>
      </w:pPr>
      <w:r>
        <w:rPr>
          <w:sz w:val="20"/>
        </w:rPr>
        <w:t>This respects the overwhelming technical deterioration (death cross, MACD at -277, seven-month downtrend) that justifies an Underweight stance, while avoiding the tactical error of selling at the lower Bollinger Band before the imminent volatility breakout resolves. The probability distribution doesn't support aggressive action in either direction-it supports conditional positioning with capital preservation until technical clarity emerges.</w:t>
      </w:r>
    </w:p>
    <w:p>
      <w:pPr>
        <w:jc w:val="both"/>
      </w:pPr>
      <w:r>
        <w:rPr>
          <w:b/>
          <w:sz w:val="22"/>
        </w:rPr>
        <w:t>Price Target</w:t>
      </w:r>
      <w:r>
        <w:rPr>
          <w:sz w:val="22"/>
        </w:rPr>
        <w:t>: 13400.0</w:t>
      </w:r>
    </w:p>
    <w:p>
      <w:pPr>
        <w:jc w:val="both"/>
      </w:pPr>
      <w:r>
        <w:rPr>
          <w:b/>
          <w:sz w:val="22"/>
        </w:rPr>
        <w:t>Time Horizon</w:t>
      </w:r>
      <w:r>
        <w:rPr>
          <w:sz w:val="22"/>
        </w:rPr>
        <w:t>: 3-5 days for initial volatility breakout; 2-4 weeks for full position reassessment</w:t>
      </w:r>
    </w:p>
    <w:p>
      <w:pPr>
        <w:pBdr>
          <w:bottom w:val="single" w:sz="6" w:space="1" w:color="CCCCCC"/>
        </w:pBdr>
      </w:pPr>
    </w:p>
    <w:p>
      <w:pPr>
        <w:pStyle w:val="Heading2"/>
        <w:jc w:val="left"/>
      </w:pPr>
      <w:r>
        <w:rPr>
          <w:color w:val="1E643C"/>
        </w:rPr>
        <w:t>Plan Trader</w:t>
      </w:r>
    </w:p>
    <w:p>
      <w:pPr>
        <w:jc w:val="both"/>
      </w:pPr>
      <w:r>
        <w:rPr>
          <w:b/>
          <w:sz w:val="22"/>
        </w:rPr>
        <w:t>Action</w:t>
      </w:r>
      <w:r>
        <w:rPr>
          <w:sz w:val="22"/>
        </w:rPr>
        <w:t>: Sell</w:t>
      </w:r>
    </w:p>
    <w:p>
      <w:pPr>
        <w:jc w:val="both"/>
      </w:pPr>
      <w:r>
        <w:rPr>
          <w:b/>
          <w:sz w:val="20"/>
        </w:rPr>
        <w:t>Reasoning</w:t>
      </w:r>
      <w:r>
        <w:rPr>
          <w:sz w:val="20"/>
        </w:rPr>
        <w:t>: The investment plan recommends reducing BOOM1000 exposure by 40-60% given the overwhelming technical evidence: confirmed death cross, RSI stuck at 29.67 with failed bounce attempts, MACD at historic lows (-277), and a 75% probability of range/breakdown versus only 25% reversal probability. The absence of capitulation volume and price "walking the lower Bollinger Band" signals continuation rather than reversal. With no catalyst for upside and gravity favoring the established downtrend, we should trim positions now and wait for concrete reversal confirmation (price above 13,400, MACD positive crossover, volume breakout) before re-entering.</w:t>
      </w:r>
    </w:p>
    <w:p>
      <w:pPr>
        <w:jc w:val="both"/>
      </w:pPr>
      <w:r>
        <w:rPr>
          <w:b/>
          <w:sz w:val="22"/>
        </w:rPr>
        <w:t>Entry Price</w:t>
      </w:r>
      <w:r>
        <w:rPr>
          <w:sz w:val="22"/>
        </w:rPr>
        <w:t>: 13100.0</w:t>
      </w:r>
    </w:p>
    <w:p>
      <w:pPr>
        <w:jc w:val="both"/>
      </w:pPr>
      <w:r>
        <w:rPr>
          <w:b/>
          <w:sz w:val="22"/>
        </w:rPr>
        <w:t>Stop Loss</w:t>
      </w:r>
      <w:r>
        <w:rPr>
          <w:sz w:val="22"/>
        </w:rPr>
        <w:t>: 12950.0</w:t>
      </w:r>
    </w:p>
    <w:p>
      <w:pPr>
        <w:jc w:val="both"/>
      </w:pPr>
      <w:r>
        <w:rPr>
          <w:b/>
          <w:sz w:val="22"/>
        </w:rPr>
        <w:t>Position Sizing</w:t>
      </w:r>
      <w:r>
        <w:rPr>
          <w:sz w:val="22"/>
        </w:rPr>
        <w:t>: Reduce current holdings by 40-60% at 13,000-13,200 range; exit further on any strength toward 13,260-13,400. Maintain only 40-50% of normal allocation until reversal confirmation.</w:t>
      </w:r>
    </w:p>
    <w:p>
      <w:pPr>
        <w:jc w:val="both"/>
      </w:pPr>
      <w:r>
        <w:rPr>
          <w:sz w:val="22"/>
        </w:rPr>
        <w:t xml:space="preserve">FINAL TRANSACTION PROPOSAL: </w:t>
      </w:r>
      <w:r>
        <w:rPr>
          <w:b/>
          <w:sz w:val="22"/>
        </w:rPr>
        <w:t>SELL</w:t>
      </w:r>
    </w:p>
    <w:p>
      <w:pPr>
        <w:pBdr>
          <w:bottom w:val="single" w:sz="6" w:space="1" w:color="CCCCCC"/>
        </w:pBdr>
      </w:pPr>
    </w:p>
    <w:p>
      <w:pPr>
        <w:pStyle w:val="Heading2"/>
        <w:jc w:val="left"/>
      </w:pPr>
      <w:r>
        <w:rPr>
          <w:color w:val="502878"/>
        </w:rPr>
        <w:t>Rapport Marché</w:t>
      </w:r>
    </w:p>
    <w:p>
      <w:pPr>
        <w:jc w:val="both"/>
      </w:pPr>
      <w:r>
        <w:rPr>
          <w:sz w:val="22"/>
        </w:rPr>
        <w:t>Excellent! Now I have all the data needed to provide a comprehensive technical analysis. Let me analyze the trends and provide actionable insights.</w:t>
      </w:r>
    </w:p>
    <w:p>
      <w:pPr>
        <w:pBdr>
          <w:bottom w:val="single" w:sz="6" w:space="1" w:color="CCCCCC"/>
        </w:pBdr>
      </w:pPr>
    </w:p>
    <w:p>
      <w:pPr>
        <w:pStyle w:val="Heading2"/>
        <w:jc w:val="left"/>
      </w:pPr>
      <w:r>
        <w:rPr>
          <w:color w:val="502878"/>
          <w:sz w:val="28"/>
        </w:rPr>
        <w:t>**BOOM1000 Technical Analysis Report**</w:t>
      </w:r>
    </w:p>
    <w:p>
      <w:pPr>
        <w:pBdr>
          <w:bottom w:val="single" w:sz="6" w:space="1" w:color="CCCCCC"/>
        </w:pBdr>
      </w:pPr>
    </w:p>
    <w:p>
      <w:pPr>
        <w:pStyle w:val="Heading3"/>
        <w:jc w:val="left"/>
      </w:pPr>
      <w:r>
        <w:rPr>
          <w:color w:val="502878"/>
          <w:sz w:val="24"/>
        </w:rPr>
        <w:t>**EXECUTIVE SUMMARY**</w:t>
      </w:r>
    </w:p>
    <w:p>
      <w:pPr>
        <w:jc w:val="both"/>
      </w:pPr>
      <w:r>
        <w:rPr>
          <w:sz w:val="20"/>
        </w:rPr>
        <w:t xml:space="preserve">BOOM1000 is currently experiencing </w:t>
      </w:r>
      <w:r>
        <w:rPr>
          <w:b/>
          <w:sz w:val="20"/>
        </w:rPr>
        <w:t>severe bearish pressure</w:t>
      </w:r>
      <w:r>
        <w:rPr>
          <w:sz w:val="20"/>
        </w:rPr>
        <w:t xml:space="preserve"> with the price at </w:t>
      </w:r>
      <w:r>
        <w:rPr>
          <w:b/>
          <w:sz w:val="20"/>
        </w:rPr>
        <w:t>13,063.64</w:t>
      </w:r>
      <w:r>
        <w:rPr>
          <w:sz w:val="20"/>
        </w:rPr>
        <w:t xml:space="preserve">, representing a </w:t>
      </w:r>
      <w:r>
        <w:rPr>
          <w:b/>
          <w:sz w:val="20"/>
        </w:rPr>
        <w:t>dramatic -29.2% decline</w:t>
      </w:r>
      <w:r>
        <w:rPr>
          <w:sz w:val="20"/>
        </w:rPr>
        <w:t xml:space="preserve"> from its September 2025 peak near 19,300. The synthetic index has broken below all major moving averages and is trading in deeply oversold territory. Multiple technical indicators are flashing warning signals, suggesting this downtrend is mature but not yet showing definitive reversal signals.</w:t>
      </w:r>
    </w:p>
    <w:p>
      <w:pPr>
        <w:jc w:val="both"/>
      </w:pPr>
      <w:r>
        <w:rPr>
          <w:b/>
          <w:sz w:val="20"/>
        </w:rPr>
        <w:t>Current Price:</w:t>
      </w:r>
      <w:r>
        <w:rPr>
          <w:sz w:val="20"/>
        </w:rPr>
        <w:t xml:space="preserve"> 13,063.64</w:t>
      </w:r>
    </w:p>
    <w:p>
      <w:pPr>
        <w:jc w:val="both"/>
      </w:pPr>
      <w:r>
        <w:rPr>
          <w:b/>
          <w:sz w:val="20"/>
        </w:rPr>
        <w:t>Position relative to 200 SMA:</w:t>
      </w:r>
      <w:r>
        <w:rPr>
          <w:sz w:val="20"/>
        </w:rPr>
        <w:t xml:space="preserve"> -14.8% (2,269 points below)</w:t>
      </w:r>
    </w:p>
    <w:p>
      <w:pPr>
        <w:jc w:val="both"/>
      </w:pPr>
      <w:r>
        <w:rPr>
          <w:b/>
          <w:sz w:val="20"/>
        </w:rPr>
        <w:t>Position relative to 50 SMA:</w:t>
      </w:r>
      <w:r>
        <w:rPr>
          <w:sz w:val="20"/>
        </w:rPr>
        <w:t xml:space="preserve"> -6.3% (883 points below)</w:t>
      </w:r>
    </w:p>
    <w:p>
      <w:pPr>
        <w:jc w:val="both"/>
      </w:pPr>
      <w:r>
        <w:rPr>
          <w:b/>
          <w:sz w:val="20"/>
        </w:rPr>
        <w:t>Position relative to 10 EMA:</w:t>
      </w:r>
      <w:r>
        <w:rPr>
          <w:sz w:val="20"/>
        </w:rPr>
        <w:t xml:space="preserve"> -1.5% (196 points below)</w:t>
      </w:r>
    </w:p>
    <w:p>
      <w:pPr>
        <w:pBdr>
          <w:bottom w:val="single" w:sz="6" w:space="1" w:color="CCCCCC"/>
        </w:pBdr>
      </w:pPr>
    </w:p>
    <w:p>
      <w:pPr>
        <w:pStyle w:val="Heading3"/>
        <w:jc w:val="left"/>
      </w:pPr>
      <w:r>
        <w:rPr>
          <w:color w:val="502878"/>
          <w:sz w:val="24"/>
        </w:rPr>
        <w:t>**DETAILED TREND ANALYSIS**</w:t>
      </w:r>
    </w:p>
    <w:p>
      <w:pPr>
        <w:pStyle w:val="Heading4"/>
        <w:jc w:val="left"/>
      </w:pPr>
      <w:r>
        <w:rPr>
          <w:color w:val="502878"/>
          <w:sz w:val="22"/>
        </w:rPr>
        <w:t>**1. MOVING AVERAGES - DEATH CROSS CONFIRMED**</w:t>
      </w:r>
    </w:p>
    <w:p>
      <w:pPr>
        <w:jc w:val="both"/>
      </w:pPr>
      <w:r>
        <w:rPr>
          <w:b/>
          <w:sz w:val="22"/>
        </w:rPr>
        <w:t>Critical Observation:</w:t>
      </w:r>
      <w:r>
        <w:rPr>
          <w:sz w:val="22"/>
        </w:rPr>
        <w:t xml:space="preserve"> BOOM1000 has formed a </w:t>
      </w:r>
      <w:r>
        <w:rPr>
          <w:b/>
          <w:sz w:val="22"/>
        </w:rPr>
        <w:t>classic death cross</w:t>
      </w:r>
      <w:r>
        <w:rPr>
          <w:sz w:val="22"/>
        </w:rPr>
        <w:t xml:space="preserve"> pattern where shorter-term averages have crossed below longer-term averages, a historically bearish signal.</w:t>
      </w:r>
    </w:p>
    <w:p>
      <w:pPr>
        <w:pStyle w:val="ListBullet"/>
      </w:pPr>
      <w:r>
        <w:rPr>
          <w:b/>
          <w:sz w:val="20"/>
        </w:rPr>
        <w:t>200 SMA (15,332.74):</w:t>
      </w:r>
      <w:r>
        <w:rPr>
          <w:sz w:val="20"/>
        </w:rPr>
        <w:t xml:space="preserve"> The long-term benchmark is declining but still far above current price. The 200 SMA has been trending down since October 2025, dropping from ~18,000 to current levels-a loss of </w:t>
      </w:r>
      <w:r>
        <w:rPr>
          <w:b/>
          <w:sz w:val="20"/>
        </w:rPr>
        <w:t>-14.8%</w:t>
      </w:r>
      <w:r>
        <w:rPr>
          <w:sz w:val="20"/>
        </w:rPr>
        <w:t xml:space="preserve"> over 7 months.</w:t>
      </w:r>
    </w:p>
    <w:p>
      <w:pPr>
        <w:pStyle w:val="ListBullet"/>
      </w:pPr>
      <w:r>
        <w:rPr>
          <w:b/>
          <w:sz w:val="20"/>
        </w:rPr>
        <w:t>50 SMA (13,946.35):</w:t>
      </w:r>
      <w:r>
        <w:rPr>
          <w:sz w:val="20"/>
        </w:rPr>
        <w:t xml:space="preserve"> The medium-term average crossed below the 200 SMA in early April 2026, confirming the death cross. The 50 SMA has accelerated its decline, dropping </w:t>
      </w:r>
      <w:r>
        <w:rPr>
          <w:b/>
          <w:sz w:val="20"/>
        </w:rPr>
        <w:t>-15.4%</w:t>
      </w:r>
      <w:r>
        <w:rPr>
          <w:sz w:val="20"/>
        </w:rPr>
        <w:t xml:space="preserve"> from 16,500 in early February to current levels.</w:t>
      </w:r>
    </w:p>
    <w:p>
      <w:pPr>
        <w:pStyle w:val="ListBullet"/>
      </w:pPr>
      <w:r>
        <w:rPr>
          <w:b/>
          <w:sz w:val="20"/>
        </w:rPr>
        <w:t>10 EMA (13,259.67):</w:t>
      </w:r>
      <w:r>
        <w:rPr>
          <w:sz w:val="20"/>
        </w:rPr>
        <w:t xml:space="preserve"> The most responsive average is showing slight stabilization after a steep decline. It has been consistently below the 50 SMA since late March, indicating persistent short-term bearish momentum.</w:t>
      </w:r>
    </w:p>
    <w:p>
      <w:pPr>
        <w:jc w:val="both"/>
      </w:pPr>
      <w:r>
        <w:rPr>
          <w:b/>
          <w:sz w:val="20"/>
        </w:rPr>
        <w:t>Actionable Insight:</w:t>
      </w:r>
      <w:r>
        <w:rPr>
          <w:sz w:val="20"/>
        </w:rPr>
        <w:t xml:space="preserve"> The alignment (200 SMA &gt; 50 SMA &gt; 10 EMA &gt; Price) creates a </w:t>
      </w:r>
      <w:r>
        <w:rPr>
          <w:b/>
          <w:sz w:val="20"/>
        </w:rPr>
        <w:t>"bearish staircase"</w:t>
      </w:r>
      <w:r>
        <w:rPr>
          <w:sz w:val="20"/>
        </w:rPr>
        <w:t xml:space="preserve"> formation. Any meaningful reversal would require price to first reclaim the 10 EMA (~13,260), then the 50 SMA (~13,946), and finally challenge the 200 SMA (~15,333). This represents a </w:t>
      </w:r>
      <w:r>
        <w:rPr>
          <w:b/>
          <w:sz w:val="20"/>
        </w:rPr>
        <w:t>17.4% upside</w:t>
      </w:r>
      <w:r>
        <w:rPr>
          <w:sz w:val="20"/>
        </w:rPr>
        <w:t xml:space="preserve"> just to return to long-term equilibrium.</w:t>
      </w:r>
    </w:p>
    <w:p>
      <w:pPr>
        <w:pBdr>
          <w:bottom w:val="single" w:sz="6" w:space="1" w:color="CCCCCC"/>
        </w:pBdr>
      </w:pPr>
    </w:p>
    <w:p>
      <w:pPr>
        <w:pStyle w:val="Heading4"/>
        <w:jc w:val="left"/>
      </w:pPr>
      <w:r>
        <w:rPr>
          <w:color w:val="502878"/>
          <w:sz w:val="22"/>
        </w:rPr>
        <w:t>**2. MACD - DEEP NEGATIVE TERRITORY WITH EARLY DIVERGENCE HINTS**</w:t>
      </w:r>
    </w:p>
    <w:p>
      <w:pPr>
        <w:jc w:val="both"/>
      </w:pPr>
      <w:r>
        <w:rPr>
          <w:b/>
          <w:sz w:val="20"/>
        </w:rPr>
        <w:t>Current MACD Reading:</w:t>
      </w:r>
      <w:r>
        <w:rPr>
          <w:sz w:val="20"/>
        </w:rPr>
        <w:t xml:space="preserve"> -277.80</w:t>
      </w:r>
    </w:p>
    <w:p>
      <w:pPr>
        <w:jc w:val="both"/>
      </w:pPr>
      <w:r>
        <w:rPr>
          <w:b/>
          <w:sz w:val="20"/>
        </w:rPr>
        <w:t>Current MACD Histogram:</w:t>
      </w:r>
      <w:r>
        <w:rPr>
          <w:sz w:val="20"/>
        </w:rPr>
        <w:t xml:space="preserve"> -34.17</w:t>
      </w:r>
    </w:p>
    <w:p>
      <w:pPr>
        <w:jc w:val="both"/>
      </w:pPr>
      <w:r>
        <w:rPr>
          <w:b/>
          <w:sz w:val="22"/>
        </w:rPr>
        <w:t>Key Observations:</w:t>
      </w:r>
    </w:p>
    <w:p>
      <w:pPr>
        <w:pStyle w:val="ListBullet"/>
      </w:pPr>
      <w:r>
        <w:rPr>
          <w:b/>
          <w:sz w:val="20"/>
        </w:rPr>
        <w:t>Historic Low:</w:t>
      </w:r>
      <w:r>
        <w:rPr>
          <w:sz w:val="20"/>
        </w:rPr>
        <w:t xml:space="preserve"> The MACD reached its most negative reading of -277.80 on May 21, down from -230 in mid-April. This indicates </w:t>
      </w:r>
      <w:r>
        <w:rPr>
          <w:b/>
          <w:sz w:val="20"/>
        </w:rPr>
        <w:t>accelerating bearish momentum</w:t>
      </w:r>
      <w:r>
        <w:rPr>
          <w:sz w:val="20"/>
        </w:rPr>
        <w:t xml:space="preserve"> over the past month.</w:t>
      </w:r>
    </w:p>
    <w:p>
      <w:pPr>
        <w:pStyle w:val="ListBullet"/>
      </w:pPr>
      <w:r>
        <w:rPr>
          <w:b/>
          <w:sz w:val="20"/>
        </w:rPr>
        <w:t>Histogram Compression:</w:t>
      </w:r>
      <w:r>
        <w:rPr>
          <w:sz w:val="20"/>
        </w:rPr>
        <w:t xml:space="preserve"> Despite the MACD remaining deeply negative, the histogram has been </w:t>
      </w:r>
      <w:r>
        <w:rPr>
          <w:b/>
          <w:sz w:val="20"/>
        </w:rPr>
        <w:t>compressing</w:t>
      </w:r>
      <w:r>
        <w:rPr>
          <w:sz w:val="20"/>
        </w:rPr>
        <w:t xml:space="preserve"> from -78 on May 15 to -34 on May 21. This suggests the </w:t>
      </w:r>
      <w:r>
        <w:rPr>
          <w:b/>
          <w:sz w:val="20"/>
        </w:rPr>
        <w:t>rate of decline is slowing</w:t>
      </w:r>
      <w:r>
        <w:rPr>
          <w:sz w:val="20"/>
        </w:rPr>
        <w:t>, which can precede a momentum shift.</w:t>
      </w:r>
    </w:p>
    <w:p>
      <w:pPr>
        <w:pStyle w:val="ListBullet"/>
      </w:pPr>
      <w:r>
        <w:rPr>
          <w:b/>
          <w:sz w:val="20"/>
        </w:rPr>
        <w:t>No Bullish Crossover Yet:</w:t>
      </w:r>
      <w:r>
        <w:rPr>
          <w:sz w:val="20"/>
        </w:rPr>
        <w:t xml:space="preserve"> The MACD line remains well below its signal line, meaning we haven't seen a bullish crossover. However, the narrowing gap suggests one could materialize within the next 1-2 weeks if the price stabilizes.</w:t>
      </w:r>
    </w:p>
    <w:p>
      <w:pPr>
        <w:jc w:val="both"/>
      </w:pPr>
      <w:r>
        <w:rPr>
          <w:b/>
          <w:sz w:val="20"/>
        </w:rPr>
        <w:t>Actionable Insight:</w:t>
      </w:r>
      <w:r>
        <w:rPr>
          <w:sz w:val="20"/>
        </w:rPr>
        <w:t xml:space="preserve"> The MACD histogram compression is the </w:t>
      </w:r>
      <w:r>
        <w:rPr>
          <w:b/>
          <w:sz w:val="20"/>
        </w:rPr>
        <w:t>first glimmer</w:t>
      </w:r>
      <w:r>
        <w:rPr>
          <w:sz w:val="20"/>
        </w:rPr>
        <w:t xml:space="preserve"> of positive technical development. Traders should watch for:</w:t>
      </w:r>
    </w:p>
    <w:p>
      <w:pPr>
        <w:jc w:val="both"/>
      </w:pPr>
      <w:r>
        <w:rPr>
          <w:sz w:val="20"/>
        </w:rPr>
        <w:t>- Histogram turning positive (currently -34)</w:t>
      </w:r>
    </w:p>
    <w:p>
      <w:pPr>
        <w:jc w:val="both"/>
      </w:pPr>
      <w:r>
        <w:rPr>
          <w:sz w:val="20"/>
        </w:rPr>
        <w:t>- MACD line crossing above signal line</w:t>
      </w:r>
    </w:p>
    <w:p>
      <w:pPr>
        <w:jc w:val="both"/>
      </w:pPr>
      <w:r>
        <w:rPr>
          <w:sz w:val="20"/>
        </w:rPr>
        <w:t>- Price action forming higher lows simultaneously</w:t>
      </w:r>
    </w:p>
    <w:p>
      <w:pPr>
        <w:jc w:val="both"/>
      </w:pPr>
      <w:r>
        <w:rPr>
          <w:sz w:val="22"/>
        </w:rPr>
        <w:t xml:space="preserve">A bullish MACD crossover from these extreme levels historically signals strong reversal potential, but </w:t>
      </w:r>
      <w:r>
        <w:rPr>
          <w:b/>
          <w:sz w:val="22"/>
        </w:rPr>
        <w:t>confirmation from price action is essential</w:t>
      </w:r>
      <w:r>
        <w:rPr>
          <w:sz w:val="22"/>
        </w:rPr>
        <w:t>.</w:t>
      </w:r>
    </w:p>
    <w:p>
      <w:pPr>
        <w:pBdr>
          <w:bottom w:val="single" w:sz="6" w:space="1" w:color="CCCCCC"/>
        </w:pBdr>
      </w:pPr>
    </w:p>
    <w:p>
      <w:pPr>
        <w:pStyle w:val="Heading4"/>
        <w:jc w:val="left"/>
      </w:pPr>
      <w:r>
        <w:rPr>
          <w:color w:val="502878"/>
          <w:sz w:val="22"/>
        </w:rPr>
        <w:t>**3. RSI - DEEPLY OVERSOLD BUT NOT YET REVERSING**</w:t>
      </w:r>
    </w:p>
    <w:p>
      <w:pPr>
        <w:jc w:val="both"/>
      </w:pPr>
      <w:r>
        <w:rPr>
          <w:b/>
          <w:sz w:val="22"/>
        </w:rPr>
        <w:t>Current RSI:</w:t>
      </w:r>
      <w:r>
        <w:rPr>
          <w:sz w:val="22"/>
        </w:rPr>
        <w:t xml:space="preserve"> 29.67 (on 14-day basis)</w:t>
      </w:r>
    </w:p>
    <w:p>
      <w:pPr>
        <w:jc w:val="both"/>
      </w:pPr>
      <w:r>
        <w:rPr>
          <w:b/>
          <w:sz w:val="22"/>
        </w:rPr>
        <w:t>Critical Analysis:</w:t>
      </w:r>
    </w:p>
    <w:p>
      <w:pPr>
        <w:pStyle w:val="ListBullet"/>
      </w:pPr>
      <w:r>
        <w:rPr>
          <w:b/>
          <w:sz w:val="20"/>
        </w:rPr>
        <w:t>Below Oversold Threshold:</w:t>
      </w:r>
      <w:r>
        <w:rPr>
          <w:sz w:val="20"/>
        </w:rPr>
        <w:t xml:space="preserve"> RSI at 29.67 is firmly below the traditional 30 threshold, indicating the asset is technically oversold. However, it has been oscillating between 29-35 for the past two weeks, suggesting </w:t>
      </w:r>
      <w:r>
        <w:rPr>
          <w:b/>
          <w:sz w:val="20"/>
        </w:rPr>
        <w:t>exhaustion rather than reversal</w:t>
      </w:r>
      <w:r>
        <w:rPr>
          <w:sz w:val="20"/>
        </w:rPr>
        <w:t>.</w:t>
      </w:r>
    </w:p>
    <w:p>
      <w:pPr>
        <w:pStyle w:val="ListBullet"/>
      </w:pPr>
      <w:r>
        <w:rPr>
          <w:b/>
          <w:sz w:val="20"/>
        </w:rPr>
        <w:t>No Bullish Divergence Yet:</w:t>
      </w:r>
      <w:r>
        <w:rPr>
          <w:sz w:val="20"/>
        </w:rPr>
        <w:t xml:space="preserve"> While price made new lows on May 21 (13,063), the RSI has not shown clear bullish divergence (where RSI makes higher lows while price makes lower lows). The RSI on May 21 (29.67) is roughly equal to May 16 (29.33), showing </w:t>
      </w:r>
      <w:r>
        <w:rPr>
          <w:b/>
          <w:sz w:val="20"/>
        </w:rPr>
        <w:t>flat momentum</w:t>
      </w:r>
      <w:r>
        <w:rPr>
          <w:sz w:val="20"/>
        </w:rPr>
        <w:t xml:space="preserve"> at depressed levels.</w:t>
      </w:r>
    </w:p>
    <w:p>
      <w:pPr>
        <w:pStyle w:val="ListBullet"/>
      </w:pPr>
      <w:r>
        <w:rPr>
          <w:b/>
          <w:sz w:val="20"/>
        </w:rPr>
        <w:t>Historical Context:</w:t>
      </w:r>
      <w:r>
        <w:rPr>
          <w:sz w:val="20"/>
        </w:rPr>
        <w:t xml:space="preserve"> RSI dropped below 30 in mid-May and has struggled to break back above. Previous oversold readings in February 2026 (RSI ~32) were followed by a 15-20% bounce over 4 weeks.</w:t>
      </w:r>
    </w:p>
    <w:p>
      <w:pPr>
        <w:jc w:val="both"/>
      </w:pPr>
      <w:r>
        <w:rPr>
          <w:b/>
          <w:sz w:val="20"/>
        </w:rPr>
        <w:t>Actionable Insight:</w:t>
      </w:r>
      <w:r>
        <w:rPr>
          <w:sz w:val="20"/>
        </w:rPr>
        <w:t xml:space="preserve"> The RSI suggests the market is </w:t>
      </w:r>
      <w:r>
        <w:rPr>
          <w:b/>
          <w:sz w:val="20"/>
        </w:rPr>
        <w:t>oversold but not yet capitulating</w:t>
      </w:r>
      <w:r>
        <w:rPr>
          <w:sz w:val="20"/>
        </w:rPr>
        <w:t>. For a reversal signal, traders should watch for:</w:t>
      </w:r>
    </w:p>
    <w:p>
      <w:pPr>
        <w:jc w:val="both"/>
      </w:pPr>
      <w:r>
        <w:rPr>
          <w:sz w:val="20"/>
        </w:rPr>
        <w:t>- RSI breaking above 35-40 (momentum shift)</w:t>
      </w:r>
    </w:p>
    <w:p>
      <w:pPr>
        <w:jc w:val="both"/>
      </w:pPr>
      <w:r>
        <w:rPr>
          <w:sz w:val="20"/>
        </w:rPr>
        <w:t>- Bullish divergence forming if price tests recent lows</w:t>
      </w:r>
    </w:p>
    <w:p>
      <w:pPr>
        <w:jc w:val="both"/>
      </w:pPr>
      <w:r>
        <w:rPr>
          <w:sz w:val="20"/>
        </w:rPr>
        <w:t>- Sustained RSI above 50 for trend confirmation</w:t>
      </w:r>
    </w:p>
    <w:p>
      <w:pPr>
        <w:jc w:val="both"/>
      </w:pPr>
      <w:r>
        <w:rPr>
          <w:b/>
          <w:sz w:val="22"/>
        </w:rPr>
        <w:t>Warning:</w:t>
      </w:r>
      <w:r>
        <w:rPr>
          <w:sz w:val="22"/>
        </w:rPr>
        <w:t xml:space="preserve"> In strong downtrends, RSI can remain below 40 for extended periods. The failure to bounce meaningfully from oversold levels (29-32 range) suggests selling pressure remains dominant.</w:t>
      </w:r>
    </w:p>
    <w:p>
      <w:pPr>
        <w:pBdr>
          <w:bottom w:val="single" w:sz="6" w:space="1" w:color="CCCCCC"/>
        </w:pBdr>
      </w:pPr>
    </w:p>
    <w:p>
      <w:pPr>
        <w:pStyle w:val="Heading4"/>
        <w:jc w:val="left"/>
      </w:pPr>
      <w:r>
        <w:rPr>
          <w:color w:val="502878"/>
          <w:sz w:val="22"/>
        </w:rPr>
        <w:t>**4. BOLLINGER BANDS - PRICE HUGGING LOWER BAND**</w:t>
      </w:r>
    </w:p>
    <w:p>
      <w:r>
        <w:rPr>
          <w:b/>
          <w:sz w:val="20"/>
        </w:rPr>
        <w:t>Current Bollinger Bands:</w:t>
      </w:r>
    </w:p>
    <w:p>
      <w:pPr>
        <w:jc w:val="both"/>
      </w:pPr>
      <w:r>
        <w:rPr>
          <w:sz w:val="20"/>
        </w:rPr>
        <w:t xml:space="preserve">- </w:t>
      </w:r>
      <w:r>
        <w:rPr>
          <w:b/>
          <w:sz w:val="20"/>
        </w:rPr>
        <w:t>Upper Band:</w:t>
      </w:r>
      <w:r>
        <w:rPr>
          <w:sz w:val="20"/>
        </w:rPr>
        <w:t xml:space="preserve"> 14,474.59</w:t>
      </w:r>
    </w:p>
    <w:p>
      <w:pPr>
        <w:jc w:val="both"/>
      </w:pPr>
      <w:r>
        <w:rPr>
          <w:sz w:val="20"/>
        </w:rPr>
        <w:t xml:space="preserve">- </w:t>
      </w:r>
      <w:r>
        <w:rPr>
          <w:b/>
          <w:sz w:val="20"/>
        </w:rPr>
        <w:t>Middle Band (20 SMA):</w:t>
      </w:r>
      <w:r>
        <w:rPr>
          <w:sz w:val="20"/>
        </w:rPr>
        <w:t xml:space="preserve"> ~13,591 (calculated)</w:t>
      </w:r>
    </w:p>
    <w:p>
      <w:pPr>
        <w:jc w:val="both"/>
      </w:pPr>
      <w:r>
        <w:rPr>
          <w:sz w:val="20"/>
        </w:rPr>
        <w:t xml:space="preserve">- </w:t>
      </w:r>
      <w:r>
        <w:rPr>
          <w:b/>
          <w:sz w:val="20"/>
        </w:rPr>
        <w:t>Lower Band:</w:t>
      </w:r>
      <w:r>
        <w:rPr>
          <w:sz w:val="20"/>
        </w:rPr>
        <w:t xml:space="preserve"> 12,707.33</w:t>
      </w:r>
    </w:p>
    <w:p>
      <w:pPr>
        <w:jc w:val="both"/>
      </w:pPr>
      <w:r>
        <w:rPr>
          <w:sz w:val="20"/>
        </w:rPr>
        <w:t xml:space="preserve">- </w:t>
      </w:r>
      <w:r>
        <w:rPr>
          <w:b/>
          <w:sz w:val="20"/>
        </w:rPr>
        <w:t>Current Price:</w:t>
      </w:r>
      <w:r>
        <w:rPr>
          <w:sz w:val="20"/>
        </w:rPr>
        <w:t xml:space="preserve"> 13,063.64</w:t>
      </w:r>
    </w:p>
    <w:p>
      <w:pPr>
        <w:jc w:val="both"/>
      </w:pPr>
      <w:r>
        <w:rPr>
          <w:b/>
          <w:sz w:val="22"/>
        </w:rPr>
        <w:t>Analysis:</w:t>
      </w:r>
    </w:p>
    <w:p>
      <w:pPr>
        <w:pStyle w:val="ListBullet"/>
      </w:pPr>
      <w:r>
        <w:rPr>
          <w:b/>
          <w:sz w:val="20"/>
        </w:rPr>
        <w:t>Walking the Lower Band:</w:t>
      </w:r>
      <w:r>
        <w:rPr>
          <w:sz w:val="20"/>
        </w:rPr>
        <w:t xml:space="preserve"> Price has been trading near or below the lower Bollinger Band for most of May, a classic sign of </w:t>
      </w:r>
      <w:r>
        <w:rPr>
          <w:b/>
          <w:sz w:val="20"/>
        </w:rPr>
        <w:t>extreme bearish momentum</w:t>
      </w:r>
      <w:r>
        <w:rPr>
          <w:sz w:val="20"/>
        </w:rPr>
        <w:t xml:space="preserve">. The current price is just </w:t>
      </w:r>
      <w:r>
        <w:rPr>
          <w:b/>
          <w:sz w:val="20"/>
        </w:rPr>
        <w:t>356 points above</w:t>
      </w:r>
      <w:r>
        <w:rPr>
          <w:sz w:val="20"/>
        </w:rPr>
        <w:t xml:space="preserve"> the lower band, representing only 2.8% cushion.</w:t>
      </w:r>
    </w:p>
    <w:p>
      <w:pPr>
        <w:pStyle w:val="ListBullet"/>
      </w:pPr>
      <w:r>
        <w:rPr>
          <w:b/>
          <w:sz w:val="20"/>
        </w:rPr>
        <w:t>Band Compression:</w:t>
      </w:r>
      <w:r>
        <w:rPr>
          <w:sz w:val="20"/>
        </w:rPr>
        <w:t xml:space="preserve"> The band width has narrowed significantly from ~1,900 points in early May to ~1,767 points on May 21. This </w:t>
      </w:r>
      <w:r>
        <w:rPr>
          <w:b/>
          <w:sz w:val="20"/>
        </w:rPr>
        <w:t>volatility compression</w:t>
      </w:r>
      <w:r>
        <w:rPr>
          <w:sz w:val="20"/>
        </w:rPr>
        <w:t xml:space="preserve"> often precedes a significant directional move-either a sharp bounce or breakdown.</w:t>
      </w:r>
    </w:p>
    <w:p>
      <w:pPr>
        <w:pStyle w:val="ListBullet"/>
      </w:pPr>
      <w:r>
        <w:rPr>
          <w:b/>
          <w:sz w:val="20"/>
        </w:rPr>
        <w:t>No Breakout Yet:</w:t>
      </w:r>
      <w:r>
        <w:rPr>
          <w:sz w:val="20"/>
        </w:rPr>
        <w:t xml:space="preserve"> Despite touching the lower band multiple times since May 7, price hasn't managed a sustained move back toward the middle band (which represents the 20-day SMA). This indicates </w:t>
      </w:r>
      <w:r>
        <w:rPr>
          <w:b/>
          <w:sz w:val="20"/>
        </w:rPr>
        <w:t>weak buying interest</w:t>
      </w:r>
      <w:r>
        <w:rPr>
          <w:sz w:val="20"/>
        </w:rPr>
        <w:t xml:space="preserve"> even at technically oversold levels.</w:t>
      </w:r>
    </w:p>
    <w:p>
      <w:pPr>
        <w:jc w:val="both"/>
      </w:pPr>
      <w:r>
        <w:rPr>
          <w:b/>
          <w:sz w:val="20"/>
        </w:rPr>
        <w:t>Actionable Insight:</w:t>
      </w:r>
      <w:r>
        <w:rPr>
          <w:sz w:val="20"/>
        </w:rPr>
        <w:t xml:space="preserve"> Bollinger Band theory suggests that when price persistently hugs one band, a </w:t>
      </w:r>
      <w:r>
        <w:rPr>
          <w:b/>
          <w:sz w:val="20"/>
        </w:rPr>
        <w:t>"walk the band"</w:t>
      </w:r>
      <w:r>
        <w:rPr>
          <w:sz w:val="20"/>
        </w:rPr>
        <w:t xml:space="preserve"> pattern is in effect, typically continuing until exhaustion. Key signals to watch:</w:t>
      </w:r>
    </w:p>
    <w:p>
      <w:pPr>
        <w:jc w:val="both"/>
      </w:pPr>
      <w:r>
        <w:rPr>
          <w:sz w:val="20"/>
        </w:rPr>
        <w:t xml:space="preserve">- </w:t>
      </w:r>
      <w:r>
        <w:rPr>
          <w:b/>
          <w:sz w:val="20"/>
        </w:rPr>
        <w:t>Reversal Signal:</w:t>
      </w:r>
      <w:r>
        <w:rPr>
          <w:sz w:val="20"/>
        </w:rPr>
        <w:t xml:space="preserve"> A strong daily close above the middle band (~13,600) would suggest the downtrend is breaking</w:t>
      </w:r>
    </w:p>
    <w:p>
      <w:pPr>
        <w:jc w:val="both"/>
      </w:pPr>
      <w:r>
        <w:rPr>
          <w:sz w:val="20"/>
        </w:rPr>
        <w:t xml:space="preserve">- </w:t>
      </w:r>
      <w:r>
        <w:rPr>
          <w:b/>
          <w:sz w:val="20"/>
        </w:rPr>
        <w:t>Continuation Signal:</w:t>
      </w:r>
      <w:r>
        <w:rPr>
          <w:sz w:val="20"/>
        </w:rPr>
        <w:t xml:space="preserve"> A break below 12,707 (lower band) could trigger another -5-7% decline toward 12,000</w:t>
      </w:r>
    </w:p>
    <w:p>
      <w:pPr>
        <w:jc w:val="both"/>
      </w:pPr>
      <w:r>
        <w:rPr>
          <w:sz w:val="20"/>
        </w:rPr>
        <w:t xml:space="preserve">- </w:t>
      </w:r>
      <w:r>
        <w:rPr>
          <w:b/>
          <w:sz w:val="20"/>
        </w:rPr>
        <w:t>Squeeze Play:</w:t>
      </w:r>
      <w:r>
        <w:rPr>
          <w:sz w:val="20"/>
        </w:rPr>
        <w:t xml:space="preserve"> The narrowing bands suggest an imminent volatility expansion-likely within 3-5 trading days</w:t>
      </w:r>
    </w:p>
    <w:p>
      <w:pPr>
        <w:pBdr>
          <w:bottom w:val="single" w:sz="6" w:space="1" w:color="CCCCCC"/>
        </w:pBdr>
      </w:pPr>
    </w:p>
    <w:p>
      <w:pPr>
        <w:pStyle w:val="Heading4"/>
        <w:jc w:val="left"/>
      </w:pPr>
      <w:r>
        <w:rPr>
          <w:color w:val="502878"/>
          <w:sz w:val="22"/>
        </w:rPr>
        <w:t>**5. ATR - VOLATILITY DECLINING BUT STILL ELEVATED**</w:t>
      </w:r>
    </w:p>
    <w:p>
      <w:pPr>
        <w:jc w:val="both"/>
      </w:pPr>
      <w:r>
        <w:rPr>
          <w:b/>
          <w:sz w:val="22"/>
        </w:rPr>
        <w:t>Current ATR:</w:t>
      </w:r>
      <w:r>
        <w:rPr>
          <w:sz w:val="22"/>
        </w:rPr>
        <w:t xml:space="preserve"> 205.35 (14-day Average True Range)</w:t>
      </w:r>
    </w:p>
    <w:p>
      <w:pPr>
        <w:jc w:val="both"/>
      </w:pPr>
      <w:r>
        <w:rPr>
          <w:b/>
          <w:sz w:val="22"/>
        </w:rPr>
        <w:t>Volatility Analysis:</w:t>
      </w:r>
    </w:p>
    <w:p>
      <w:pPr>
        <w:pStyle w:val="ListBullet"/>
      </w:pPr>
      <w:r>
        <w:rPr>
          <w:b/>
          <w:sz w:val="20"/>
        </w:rPr>
        <w:t>Declining from Peak:</w:t>
      </w:r>
      <w:r>
        <w:rPr>
          <w:sz w:val="20"/>
        </w:rPr>
        <w:t xml:space="preserve"> ATR has decreased from ~248 in late April to 205 currently, indicating </w:t>
      </w:r>
      <w:r>
        <w:rPr>
          <w:b/>
          <w:sz w:val="20"/>
        </w:rPr>
        <w:t>volatility is compressing</w:t>
      </w:r>
      <w:r>
        <w:rPr>
          <w:sz w:val="20"/>
        </w:rPr>
        <w:t xml:space="preserve"> as the downtrend matures. However, it remains elevated compared to historical norms.</w:t>
      </w:r>
    </w:p>
    <w:p>
      <w:pPr>
        <w:pStyle w:val="ListBullet"/>
      </w:pPr>
      <w:r>
        <w:rPr>
          <w:b/>
          <w:sz w:val="20"/>
        </w:rPr>
        <w:t>Relative Context:</w:t>
      </w:r>
      <w:r>
        <w:rPr>
          <w:sz w:val="20"/>
        </w:rPr>
        <w:t xml:space="preserve"> The current ATR of 205 points represents approximately </w:t>
      </w:r>
      <w:r>
        <w:rPr>
          <w:b/>
          <w:sz w:val="20"/>
        </w:rPr>
        <w:t>1.6% of price</w:t>
      </w:r>
      <w:r>
        <w:rPr>
          <w:sz w:val="20"/>
        </w:rPr>
        <w:t>, which is moderate volatility for BOOM1000. During the strongest phase of the decline (February-March), ATR spiked above 240.</w:t>
      </w:r>
    </w:p>
    <w:p>
      <w:pPr>
        <w:pStyle w:val="ListBullet"/>
      </w:pPr>
      <w:r>
        <w:rPr>
          <w:b/>
          <w:sz w:val="20"/>
        </w:rPr>
        <w:t>Risk Management Implications:</w:t>
      </w:r>
      <w:r>
        <w:rPr>
          <w:sz w:val="20"/>
        </w:rPr>
        <w:t xml:space="preserve"> With daily price swings of ~205 points (ATR), traders setting stop-losses should account for at least 1.5x ATR (~308 points or 2.4%) to avoid premature stop-outs from normal volatility.</w:t>
      </w:r>
    </w:p>
    <w:p>
      <w:pPr>
        <w:jc w:val="both"/>
      </w:pPr>
      <w:r>
        <w:rPr>
          <w:b/>
          <w:sz w:val="20"/>
        </w:rPr>
        <w:t>Actionable Insight:</w:t>
      </w:r>
      <w:r>
        <w:rPr>
          <w:sz w:val="20"/>
        </w:rPr>
        <w:t xml:space="preserve"> The declining ATR combined with Bollinger Band compression suggests the market is </w:t>
      </w:r>
      <w:r>
        <w:rPr>
          <w:b/>
          <w:sz w:val="20"/>
        </w:rPr>
        <w:t>coiling</w:t>
      </w:r>
      <w:r>
        <w:rPr>
          <w:sz w:val="20"/>
        </w:rPr>
        <w:t>. This typically precedes a breakout move. Traders should:</w:t>
      </w:r>
    </w:p>
    <w:p>
      <w:pPr>
        <w:jc w:val="both"/>
      </w:pPr>
      <w:r>
        <w:rPr>
          <w:sz w:val="20"/>
        </w:rPr>
        <w:t>- Use wider stops (300+ points) given current volatility</w:t>
      </w:r>
    </w:p>
    <w:p>
      <w:pPr>
        <w:jc w:val="both"/>
      </w:pPr>
      <w:r>
        <w:rPr>
          <w:sz w:val="20"/>
        </w:rPr>
        <w:t>- Reduce position sizes until directional clarity emerges</w:t>
      </w:r>
    </w:p>
    <w:p>
      <w:pPr>
        <w:jc w:val="both"/>
      </w:pPr>
      <w:r>
        <w:rPr>
          <w:sz w:val="20"/>
        </w:rPr>
        <w:t>- Monitor for ATR expansion (&gt;230) as confirmation of a new trend leg</w:t>
      </w:r>
    </w:p>
    <w:p>
      <w:pPr>
        <w:pBdr>
          <w:bottom w:val="single" w:sz="6" w:space="1" w:color="CCCCCC"/>
        </w:pBdr>
      </w:pPr>
    </w:p>
    <w:p>
      <w:pPr>
        <w:pStyle w:val="Heading3"/>
        <w:jc w:val="left"/>
      </w:pPr>
      <w:r>
        <w:rPr>
          <w:color w:val="502878"/>
          <w:sz w:val="24"/>
        </w:rPr>
        <w:t>**PRICE ACTION OBSERVATIONS**</w:t>
      </w:r>
    </w:p>
    <w:p>
      <w:pPr>
        <w:pStyle w:val="Heading4"/>
        <w:jc w:val="left"/>
      </w:pPr>
      <w:r>
        <w:rPr>
          <w:color w:val="502878"/>
          <w:sz w:val="22"/>
        </w:rPr>
        <w:t>**Recent Daily Candles (May 15-21):**</w:t>
      </w:r>
    </w:p>
    <w:p>
      <w:pPr>
        <w:jc w:val="both"/>
      </w:pPr>
      <w:r>
        <w:rPr>
          <w:b/>
          <w:sz w:val="20"/>
        </w:rPr>
        <w:t>Pattern Recognition:</w:t>
      </w:r>
      <w:r>
        <w:rPr>
          <w:sz w:val="20"/>
        </w:rPr>
        <w:t xml:space="preserve"> Price has formed a </w:t>
      </w:r>
      <w:r>
        <w:rPr>
          <w:b/>
          <w:sz w:val="20"/>
        </w:rPr>
        <w:t>descending triangle</w:t>
      </w:r>
      <w:r>
        <w:rPr>
          <w:sz w:val="20"/>
        </w:rPr>
        <w:t xml:space="preserve"> pattern with:</w:t>
      </w:r>
    </w:p>
    <w:p>
      <w:pPr>
        <w:jc w:val="both"/>
      </w:pPr>
      <w:r>
        <w:rPr>
          <w:sz w:val="20"/>
        </w:rPr>
        <w:t xml:space="preserve">- </w:t>
      </w:r>
      <w:r>
        <w:rPr>
          <w:b/>
          <w:sz w:val="20"/>
        </w:rPr>
        <w:t>Lower highs:</w:t>
      </w:r>
      <w:r>
        <w:rPr>
          <w:sz w:val="20"/>
        </w:rPr>
        <w:t xml:space="preserve"> 13,362 (May 14) → 13,282 (May 20)</w:t>
      </w:r>
    </w:p>
    <w:p>
      <w:pPr>
        <w:jc w:val="both"/>
      </w:pPr>
      <w:r>
        <w:rPr>
          <w:sz w:val="20"/>
        </w:rPr>
        <w:t xml:space="preserve">- </w:t>
      </w:r>
      <w:r>
        <w:rPr>
          <w:b/>
          <w:sz w:val="20"/>
        </w:rPr>
        <w:t>Flat support:</w:t>
      </w:r>
      <w:r>
        <w:rPr>
          <w:sz w:val="20"/>
        </w:rPr>
        <w:t xml:space="preserve"> Multiple tests around 13,050-13,150</w:t>
      </w:r>
    </w:p>
    <w:p>
      <w:pPr>
        <w:jc w:val="both"/>
      </w:pPr>
      <w:r>
        <w:rPr>
          <w:sz w:val="22"/>
        </w:rPr>
        <w:t xml:space="preserve">This pattern typically resolves with a </w:t>
      </w:r>
      <w:r>
        <w:rPr>
          <w:b/>
          <w:sz w:val="22"/>
        </w:rPr>
        <w:t>breakdown</w:t>
      </w:r>
      <w:r>
        <w:rPr>
          <w:sz w:val="22"/>
        </w:rPr>
        <w:t xml:space="preserve"> (70% probability), but if support holds and price breaks above 13,400, it could signal a </w:t>
      </w:r>
      <w:r>
        <w:rPr>
          <w:b/>
          <w:sz w:val="22"/>
        </w:rPr>
        <w:t>failed breakdown</w:t>
      </w:r>
      <w:r>
        <w:rPr>
          <w:sz w:val="22"/>
        </w:rPr>
        <w:t xml:space="preserve"> and trigger short covering.</w:t>
      </w:r>
    </w:p>
    <w:p>
      <w:pPr>
        <w:pBdr>
          <w:bottom w:val="single" w:sz="6" w:space="1" w:color="CCCCCC"/>
        </w:pBdr>
      </w:pPr>
    </w:p>
    <w:p>
      <w:pPr>
        <w:pStyle w:val="Heading3"/>
        <w:jc w:val="left"/>
      </w:pPr>
      <w:r>
        <w:rPr>
          <w:color w:val="502878"/>
          <w:sz w:val="24"/>
        </w:rPr>
        <w:t>**SUPPORT AND RESISTANCE LEVELS**</w:t>
      </w:r>
    </w:p>
    <w:p>
      <w:pPr>
        <w:pStyle w:val="Heading4"/>
        <w:jc w:val="left"/>
      </w:pPr>
      <w:r>
        <w:rPr>
          <w:color w:val="502878"/>
          <w:sz w:val="22"/>
        </w:rPr>
        <w:t>**Immediate Support Zones:**</w:t>
      </w:r>
    </w:p>
    <w:p>
      <w:pPr>
        <w:pStyle w:val="Heading4"/>
        <w:jc w:val="left"/>
      </w:pPr>
      <w:r>
        <w:rPr>
          <w:color w:val="502878"/>
          <w:sz w:val="22"/>
        </w:rPr>
        <w:t>**Immediate Resistance Zones:**</w:t>
      </w:r>
    </w:p>
    <w:p>
      <w:pPr>
        <w:pBdr>
          <w:bottom w:val="single" w:sz="6" w:space="1" w:color="CCCCCC"/>
        </w:pBdr>
      </w:pPr>
    </w:p>
    <w:p>
      <w:pPr>
        <w:pStyle w:val="Heading3"/>
        <w:jc w:val="left"/>
      </w:pPr>
      <w:r>
        <w:rPr>
          <w:color w:val="502878"/>
          <w:sz w:val="24"/>
        </w:rPr>
        <w:t>**MARKET STRUCTURE ASSESSMENT**</w:t>
      </w:r>
    </w:p>
    <w:p>
      <w:r>
        <w:rPr>
          <w:b/>
          <w:sz w:val="20"/>
        </w:rPr>
        <w:t>Trend Classification:</w:t>
      </w:r>
    </w:p>
    <w:p>
      <w:pPr>
        <w:jc w:val="both"/>
      </w:pPr>
      <w:r>
        <w:rPr>
          <w:sz w:val="20"/>
        </w:rPr>
        <w:t xml:space="preserve">- </w:t>
      </w:r>
      <w:r>
        <w:rPr>
          <w:b/>
          <w:sz w:val="20"/>
        </w:rPr>
        <w:t>Long-term (200 SMA):</w:t>
      </w:r>
      <w:r>
        <w:rPr>
          <w:sz w:val="20"/>
        </w:rPr>
        <w:t xml:space="preserve"> ⬇️ </w:t>
      </w:r>
      <w:r>
        <w:rPr>
          <w:b/>
          <w:sz w:val="20"/>
        </w:rPr>
        <w:t>Bearish</w:t>
      </w:r>
      <w:r>
        <w:rPr>
          <w:sz w:val="20"/>
        </w:rPr>
        <w:t xml:space="preserve"> (downtrending since October 2025)</w:t>
      </w:r>
    </w:p>
    <w:p>
      <w:pPr>
        <w:jc w:val="both"/>
      </w:pPr>
      <w:r>
        <w:rPr>
          <w:sz w:val="20"/>
        </w:rPr>
        <w:t xml:space="preserve">- </w:t>
      </w:r>
      <w:r>
        <w:rPr>
          <w:b/>
          <w:sz w:val="20"/>
        </w:rPr>
        <w:t>Medium-term (50 SMA):</w:t>
      </w:r>
      <w:r>
        <w:rPr>
          <w:sz w:val="20"/>
        </w:rPr>
        <w:t xml:space="preserve"> ⬇️ </w:t>
      </w:r>
      <w:r>
        <w:rPr>
          <w:b/>
          <w:sz w:val="20"/>
        </w:rPr>
        <w:t>Strongly Bearish</w:t>
      </w:r>
      <w:r>
        <w:rPr>
          <w:sz w:val="20"/>
        </w:rPr>
        <w:t xml:space="preserve"> (accelerating decline)</w:t>
      </w:r>
    </w:p>
    <w:p>
      <w:pPr>
        <w:jc w:val="both"/>
      </w:pPr>
      <w:r>
        <w:rPr>
          <w:sz w:val="20"/>
        </w:rPr>
        <w:t xml:space="preserve">- </w:t>
      </w:r>
      <w:r>
        <w:rPr>
          <w:b/>
          <w:sz w:val="20"/>
        </w:rPr>
        <w:t>Short-term (10 EMA):</w:t>
      </w:r>
      <w:r>
        <w:rPr>
          <w:sz w:val="20"/>
        </w:rPr>
        <w:t xml:space="preserve"> ⬇️ </w:t>
      </w:r>
      <w:r>
        <w:rPr>
          <w:b/>
          <w:sz w:val="20"/>
        </w:rPr>
        <w:t>Bearish but stabilizing</w:t>
      </w:r>
    </w:p>
    <w:p>
      <w:r>
        <w:rPr>
          <w:b/>
          <w:sz w:val="20"/>
        </w:rPr>
        <w:t>Momentum Status:</w:t>
      </w:r>
    </w:p>
    <w:p>
      <w:pPr>
        <w:jc w:val="both"/>
      </w:pPr>
      <w:r>
        <w:rPr>
          <w:sz w:val="20"/>
        </w:rPr>
        <w:t xml:space="preserve">- </w:t>
      </w:r>
      <w:r>
        <w:rPr>
          <w:b/>
          <w:sz w:val="20"/>
        </w:rPr>
        <w:t>MACD:</w:t>
      </w:r>
      <w:r>
        <w:rPr>
          <w:sz w:val="20"/>
        </w:rPr>
        <w:t xml:space="preserve"> ⬇️ Negative but showing early divergence signs</w:t>
      </w:r>
    </w:p>
    <w:p>
      <w:pPr>
        <w:jc w:val="both"/>
      </w:pPr>
      <w:r>
        <w:rPr>
          <w:sz w:val="20"/>
        </w:rPr>
        <w:t xml:space="preserve">- </w:t>
      </w:r>
      <w:r>
        <w:rPr>
          <w:b/>
          <w:sz w:val="20"/>
        </w:rPr>
        <w:t>RSI:</w:t>
      </w:r>
      <w:r>
        <w:rPr>
          <w:sz w:val="20"/>
        </w:rPr>
        <w:t xml:space="preserve"> ️ Oversold (29.67) without clear reversal signal</w:t>
      </w:r>
    </w:p>
    <w:p>
      <w:pPr>
        <w:jc w:val="both"/>
      </w:pPr>
      <w:r>
        <w:rPr>
          <w:sz w:val="20"/>
        </w:rPr>
        <w:t xml:space="preserve">- </w:t>
      </w:r>
      <w:r>
        <w:rPr>
          <w:b/>
          <w:sz w:val="20"/>
        </w:rPr>
        <w:t>MACD Histogram:</w:t>
      </w:r>
      <w:r>
        <w:rPr>
          <w:sz w:val="20"/>
        </w:rPr>
        <w:t xml:space="preserve"> ↗️ Compressing (negative but improving)</w:t>
      </w:r>
    </w:p>
    <w:p>
      <w:r>
        <w:rPr>
          <w:b/>
          <w:sz w:val="20"/>
        </w:rPr>
        <w:t>Volatility Status:</w:t>
      </w:r>
    </w:p>
    <w:p>
      <w:pPr>
        <w:jc w:val="both"/>
      </w:pPr>
      <w:r>
        <w:rPr>
          <w:sz w:val="20"/>
        </w:rPr>
        <w:t xml:space="preserve">- </w:t>
      </w:r>
      <w:r>
        <w:rPr>
          <w:b/>
          <w:sz w:val="20"/>
        </w:rPr>
        <w:t>ATR:</w:t>
      </w:r>
      <w:r>
        <w:rPr>
          <w:sz w:val="20"/>
        </w:rPr>
        <w:t xml:space="preserve"> ↘️ Declining (205 from 248 peak)</w:t>
      </w:r>
    </w:p>
    <w:p>
      <w:pPr>
        <w:jc w:val="both"/>
      </w:pPr>
      <w:r>
        <w:rPr>
          <w:sz w:val="20"/>
        </w:rPr>
        <w:t xml:space="preserve">- </w:t>
      </w:r>
      <w:r>
        <w:rPr>
          <w:b/>
          <w:sz w:val="20"/>
        </w:rPr>
        <w:t>Bollinger Bands:</w:t>
      </w:r>
      <w:r>
        <w:rPr>
          <w:sz w:val="20"/>
        </w:rPr>
        <w:t xml:space="preserve">  Compressing (potential breakout setup)</w:t>
      </w:r>
    </w:p>
    <w:p>
      <w:pPr>
        <w:pBdr>
          <w:bottom w:val="single" w:sz="6" w:space="1" w:color="CCCCCC"/>
        </w:pBdr>
      </w:pPr>
    </w:p>
    <w:p>
      <w:pPr>
        <w:pStyle w:val="Heading3"/>
        <w:jc w:val="left"/>
      </w:pPr>
      <w:r>
        <w:rPr>
          <w:color w:val="502878"/>
          <w:sz w:val="24"/>
        </w:rPr>
        <w:t>**TRADING SCENARIOS &amp; PROBABILITIES**</w:t>
      </w:r>
    </w:p>
    <w:p>
      <w:pPr>
        <w:pStyle w:val="Heading4"/>
        <w:jc w:val="left"/>
      </w:pPr>
      <w:r>
        <w:rPr>
          <w:color w:val="502878"/>
          <w:sz w:val="22"/>
        </w:rPr>
        <w:t>**Scenario 1: Continued Breakdown (40% probability)**</w:t>
      </w:r>
    </w:p>
    <w:p>
      <w:pPr>
        <w:pStyle w:val="Heading4"/>
        <w:jc w:val="left"/>
      </w:pPr>
      <w:r>
        <w:rPr>
          <w:color w:val="502878"/>
          <w:sz w:val="22"/>
        </w:rPr>
        <w:t>**Scenario 2: Consolidation/Base Building (35% probability)**</w:t>
      </w:r>
    </w:p>
    <w:p>
      <w:pPr>
        <w:pStyle w:val="Heading4"/>
        <w:jc w:val="left"/>
      </w:pPr>
      <w:r>
        <w:rPr>
          <w:color w:val="502878"/>
          <w:sz w:val="22"/>
        </w:rPr>
        <w:t>**Scenario 3: Reversal Rally (25% probability)**</w:t>
      </w:r>
    </w:p>
    <w:p>
      <w:pPr>
        <w:pBdr>
          <w:bottom w:val="single" w:sz="6" w:space="1" w:color="CCCCCC"/>
        </w:pBdr>
      </w:pPr>
    </w:p>
    <w:p>
      <w:pPr>
        <w:pStyle w:val="Heading3"/>
        <w:jc w:val="left"/>
      </w:pPr>
      <w:r>
        <w:rPr>
          <w:color w:val="502878"/>
          <w:sz w:val="24"/>
        </w:rPr>
        <w:t>**RISK FACTORS &amp; WARNINGS**</w:t>
      </w:r>
    </w:p>
    <w:p>
      <w:pPr>
        <w:pStyle w:val="ListNumber"/>
      </w:pPr>
      <w:r>
        <w:rPr>
          <w:b/>
          <w:sz w:val="20"/>
        </w:rPr>
        <w:t>No Capitulation Volume:</w:t>
      </w:r>
      <w:r>
        <w:rPr>
          <w:sz w:val="20"/>
        </w:rPr>
        <w:t xml:space="preserve"> Despite deep oversold readings, there hasn't been a high-volume capitulation sell-off that typically marks bottoms. This suggests more downside risk.</w:t>
      </w:r>
    </w:p>
    <w:p>
      <w:pPr>
        <w:pStyle w:val="ListNumber"/>
      </w:pPr>
      <w:r>
        <w:rPr>
          <w:b/>
          <w:sz w:val="20"/>
        </w:rPr>
        <w:t>Death Cross Active:</w:t>
      </w:r>
      <w:r>
        <w:rPr>
          <w:sz w:val="20"/>
        </w:rPr>
        <w:t xml:space="preserve"> The 50 SMA crossing below the 200 SMA in April remains a significant bearish signal. Historical data shows these configurations can persist for months.</w:t>
      </w:r>
    </w:p>
    <w:p>
      <w:pPr>
        <w:pStyle w:val="ListNumber"/>
      </w:pPr>
      <w:r>
        <w:rPr>
          <w:b/>
          <w:sz w:val="20"/>
        </w:rPr>
        <w:t>Weak Buying Response:</w:t>
      </w:r>
      <w:r>
        <w:rPr>
          <w:sz w:val="20"/>
        </w:rPr>
        <w:t xml:space="preserve"> Multiple tests of the 13,000-13,200 zone have failed to generate sustained bounces, indicating lack of conviction from buyers.</w:t>
      </w:r>
    </w:p>
    <w:p>
      <w:pPr>
        <w:pStyle w:val="ListNumber"/>
      </w:pPr>
      <w:r>
        <w:rPr>
          <w:b/>
          <w:sz w:val="20"/>
        </w:rPr>
        <w:t>Synthetic Index Characteristics:</w:t>
      </w:r>
      <w:r>
        <w:rPr>
          <w:sz w:val="20"/>
        </w:rPr>
        <w:t xml:space="preserve"> BOOM1000 is designed to spike intermittently. Current conditions suggest it's in a "quiet" phase between spikes, which can extend longer than anticipated.</w:t>
      </w:r>
    </w:p>
    <w:p>
      <w:pPr>
        <w:pBdr>
          <w:bottom w:val="single" w:sz="6" w:space="1" w:color="CCCCCC"/>
        </w:pBdr>
      </w:pPr>
    </w:p>
    <w:p>
      <w:pPr>
        <w:pStyle w:val="Heading3"/>
        <w:jc w:val="left"/>
      </w:pPr>
      <w:r>
        <w:rPr>
          <w:color w:val="502878"/>
          <w:sz w:val="24"/>
        </w:rPr>
        <w:t>**ACTIONABLE TRADING RECOMMENDATIONS**</w:t>
      </w:r>
    </w:p>
    <w:p>
      <w:pPr>
        <w:pStyle w:val="Heading4"/>
        <w:jc w:val="left"/>
      </w:pPr>
      <w:r>
        <w:rPr>
          <w:color w:val="502878"/>
          <w:sz w:val="22"/>
        </w:rPr>
        <w:t>**For Conservative Traders:**</w:t>
      </w:r>
    </w:p>
    <w:p>
      <w:pPr>
        <w:pStyle w:val="Heading4"/>
        <w:jc w:val="left"/>
      </w:pPr>
      <w:r>
        <w:rPr>
          <w:color w:val="502878"/>
          <w:sz w:val="22"/>
        </w:rPr>
        <w:t>**For Aggressive Traders:**</w:t>
      </w:r>
    </w:p>
    <w:p>
      <w:pPr>
        <w:pStyle w:val="Heading4"/>
        <w:jc w:val="left"/>
      </w:pPr>
      <w:r>
        <w:rPr>
          <w:color w:val="502878"/>
          <w:sz w:val="22"/>
        </w:rPr>
        <w:t>**For Short-Biased Traders:**</w:t>
      </w:r>
    </w:p>
    <w:p>
      <w:pPr>
        <w:pBdr>
          <w:bottom w:val="single" w:sz="6" w:space="1" w:color="CCCCCC"/>
        </w:pBdr>
      </w:pPr>
    </w:p>
    <w:p>
      <w:pPr>
        <w:pStyle w:val="Heading3"/>
        <w:jc w:val="left"/>
      </w:pPr>
      <w:r>
        <w:rPr>
          <w:color w:val="502878"/>
          <w:sz w:val="24"/>
        </w:rPr>
        <w:t>**WHAT TO WATCH IN THE NEXT 5 TRADING DAYS**</w:t>
      </w:r>
    </w:p>
    <w:p>
      <w:pPr>
        <w:pStyle w:val="ListNumber"/>
      </w:pPr>
      <w:r>
        <w:rPr>
          <w:b/>
          <w:sz w:val="20"/>
        </w:rPr>
        <w:t>13,000 Level Hold:</w:t>
      </w:r>
      <w:r>
        <w:rPr>
          <w:sz w:val="20"/>
        </w:rPr>
        <w:t xml:space="preserve"> If price closes below 13,000 for 2+ consecutive days, expect accelerated decline toward 12,700-12,300</w:t>
      </w:r>
    </w:p>
    <w:p>
      <w:pPr>
        <w:pStyle w:val="ListNumber"/>
      </w:pPr>
      <w:r>
        <w:rPr>
          <w:b/>
          <w:sz w:val="20"/>
        </w:rPr>
        <w:t>MACD Histogram Flip:</w:t>
      </w:r>
      <w:r>
        <w:rPr>
          <w:sz w:val="20"/>
        </w:rPr>
        <w:t xml:space="preserve"> If histogram turns positive (currently -34), it would be the first bullish momentum signal in weeks</w:t>
      </w:r>
    </w:p>
    <w:p>
      <w:pPr>
        <w:pStyle w:val="ListNumber"/>
      </w:pPr>
      <w:r>
        <w:rPr>
          <w:b/>
          <w:sz w:val="20"/>
        </w:rPr>
        <w:t>RSI Above 35:</w:t>
      </w:r>
      <w:r>
        <w:rPr>
          <w:sz w:val="20"/>
        </w:rPr>
        <w:t xml:space="preserve"> A break above 35-40 would suggest momentum is shifting from "deeply oversold" to "recovery mode"</w:t>
      </w:r>
    </w:p>
    <w:p>
      <w:pPr>
        <w:pStyle w:val="ListNumber"/>
      </w:pPr>
      <w:r>
        <w:rPr>
          <w:b/>
          <w:sz w:val="20"/>
        </w:rPr>
        <w:t>Volume Surge:</w:t>
      </w:r>
      <w:r>
        <w:rPr>
          <w:sz w:val="20"/>
        </w:rPr>
        <w:t xml:space="preserve"> Watch for abnormal volume (2x+ average) either on breakdown or breakout-this will confirm the next major move</w:t>
      </w:r>
    </w:p>
    <w:p>
      <w:pPr>
        <w:pStyle w:val="ListNumber"/>
      </w:pPr>
      <w:r>
        <w:rPr>
          <w:b/>
          <w:sz w:val="20"/>
        </w:rPr>
        <w:t>Bollinger Band Breakout:</w:t>
      </w:r>
      <w:r>
        <w:rPr>
          <w:sz w:val="20"/>
        </w:rPr>
        <w:t xml:space="preserve"> Given the compression, expect a significant move (5%+) within 3-5 days-direction TBD</w:t>
      </w:r>
    </w:p>
    <w:p>
      <w:pPr>
        <w:pBdr>
          <w:bottom w:val="single" w:sz="6" w:space="1" w:color="CCCCCC"/>
        </w:pBdr>
      </w:pPr>
    </w:p>
    <w:p>
      <w:pPr>
        <w:pStyle w:val="Heading3"/>
        <w:jc w:val="left"/>
      </w:pPr>
      <w:r>
        <w:rPr>
          <w:color w:val="502878"/>
          <w:sz w:val="24"/>
        </w:rPr>
        <w:t>**SUMMARY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**Indicator**</w:t>
            </w:r>
          </w:p>
        </w:tc>
        <w:tc>
          <w:tcPr>
            <w:tcW w:type="dxa" w:w="1728"/>
            <w:shd w:val="clear" w:color="auto" w:fill="1F3C78"/>
          </w:tcPr>
          <w:p>
            <w:r/>
            <w:r>
              <w:rPr>
                <w:b/>
                <w:color w:val="FFFFFF"/>
                <w:sz w:val="18"/>
              </w:rPr>
              <w:t>**Current Value**</w:t>
            </w:r>
          </w:p>
        </w:tc>
        <w:tc>
          <w:tcPr>
            <w:tcW w:type="dxa" w:w="1728"/>
            <w:shd w:val="clear" w:color="auto" w:fill="1F3C78"/>
          </w:tcPr>
          <w:p>
            <w:r/>
            <w:r>
              <w:rPr>
                <w:b/>
                <w:color w:val="FFFFFF"/>
                <w:sz w:val="18"/>
              </w:rPr>
              <w:t>**Signal**</w:t>
            </w:r>
          </w:p>
        </w:tc>
        <w:tc>
          <w:tcPr>
            <w:tcW w:type="dxa" w:w="1728"/>
            <w:shd w:val="clear" w:color="auto" w:fill="1F3C78"/>
          </w:tcPr>
          <w:p>
            <w:r/>
            <w:r>
              <w:rPr>
                <w:b/>
                <w:color w:val="FFFFFF"/>
                <w:sz w:val="18"/>
              </w:rPr>
              <w:t>**Strength**</w:t>
            </w:r>
          </w:p>
        </w:tc>
        <w:tc>
          <w:tcPr>
            <w:tcW w:type="dxa" w:w="1728"/>
            <w:shd w:val="clear" w:color="auto" w:fill="1F3C78"/>
          </w:tcPr>
          <w:p>
            <w:r/>
            <w:r>
              <w:rPr>
                <w:b/>
                <w:color w:val="FFFFFF"/>
                <w:sz w:val="18"/>
              </w:rPr>
              <w:t>**Interpretation**</w:t>
            </w:r>
          </w:p>
        </w:tc>
      </w:tr>
      <w:tr>
        <w:tc>
          <w:tcPr>
            <w:tcW w:type="dxa" w:w="1728"/>
            <w:shd w:val="clear" w:color="auto" w:fill="EEF4FF"/>
          </w:tcPr>
          <w:p>
            <w:r/>
            <w:r>
              <w:rPr>
                <w:b/>
                <w:sz w:val="18"/>
              </w:rPr>
              <w:t>Price</w:t>
            </w:r>
          </w:p>
        </w:tc>
        <w:tc>
          <w:tcPr>
            <w:tcW w:type="dxa" w:w="1728"/>
            <w:shd w:val="clear" w:color="auto" w:fill="EEF4FF"/>
          </w:tcPr>
          <w:p>
            <w:r/>
            <w:r>
              <w:rPr>
                <w:sz w:val="18"/>
              </w:rPr>
              <w:t>13,063.64</w:t>
            </w:r>
          </w:p>
        </w:tc>
        <w:tc>
          <w:tcPr>
            <w:tcW w:type="dxa" w:w="1728"/>
            <w:shd w:val="clear" w:color="auto" w:fill="EEF4FF"/>
          </w:tcPr>
          <w:p>
            <w:r/>
            <w:r>
              <w:rPr>
                <w:sz w:val="18"/>
              </w:rPr>
              <w:t>⬇️ Bearish</w:t>
            </w:r>
          </w:p>
        </w:tc>
        <w:tc>
          <w:tcPr>
            <w:tcW w:type="dxa" w:w="1728"/>
            <w:shd w:val="clear" w:color="auto" w:fill="EEF4FF"/>
          </w:tcPr>
          <w:p>
            <w:r/>
            <w:r>
              <w:rPr>
                <w:sz w:val="18"/>
              </w:rPr>
              <w:t>Strong</w:t>
            </w:r>
          </w:p>
        </w:tc>
        <w:tc>
          <w:tcPr>
            <w:tcW w:type="dxa" w:w="1728"/>
            <w:shd w:val="clear" w:color="auto" w:fill="EEF4FF"/>
          </w:tcPr>
          <w:p>
            <w:r/>
            <w:r>
              <w:rPr>
                <w:sz w:val="18"/>
              </w:rPr>
              <w:t>New lows, weak close</w:t>
            </w:r>
          </w:p>
        </w:tc>
      </w:tr>
      <w:tr>
        <w:tc>
          <w:tcPr>
            <w:tcW w:type="dxa" w:w="1728"/>
            <w:shd w:val="clear" w:color="auto" w:fill="FFFFFF"/>
          </w:tcPr>
          <w:p>
            <w:r/>
            <w:r>
              <w:rPr>
                <w:b/>
                <w:sz w:val="18"/>
              </w:rPr>
              <w:t>200 SMA</w:t>
            </w:r>
          </w:p>
        </w:tc>
        <w:tc>
          <w:tcPr>
            <w:tcW w:type="dxa" w:w="1728"/>
            <w:shd w:val="clear" w:color="auto" w:fill="FFFFFF"/>
          </w:tcPr>
          <w:p>
            <w:r/>
            <w:r>
              <w:rPr>
                <w:sz w:val="18"/>
              </w:rPr>
              <w:t>15,332.74</w:t>
            </w:r>
          </w:p>
        </w:tc>
        <w:tc>
          <w:tcPr>
            <w:tcW w:type="dxa" w:w="1728"/>
            <w:shd w:val="clear" w:color="auto" w:fill="FFFFFF"/>
          </w:tcPr>
          <w:p>
            <w:r/>
            <w:r>
              <w:rPr>
                <w:sz w:val="18"/>
              </w:rPr>
              <w:t>⬇️ Bearish</w:t>
            </w:r>
          </w:p>
        </w:tc>
        <w:tc>
          <w:tcPr>
            <w:tcW w:type="dxa" w:w="1728"/>
            <w:shd w:val="clear" w:color="auto" w:fill="FFFFFF"/>
          </w:tcPr>
          <w:p>
            <w:r/>
            <w:r>
              <w:rPr>
                <w:sz w:val="18"/>
              </w:rPr>
              <w:t>Strong</w:t>
            </w:r>
          </w:p>
        </w:tc>
        <w:tc>
          <w:tcPr>
            <w:tcW w:type="dxa" w:w="1728"/>
            <w:shd w:val="clear" w:color="auto" w:fill="FFFFFF"/>
          </w:tcPr>
          <w:p>
            <w:r/>
            <w:r>
              <w:rPr>
                <w:sz w:val="18"/>
              </w:rPr>
              <w:t>Price -14.8% below, downtrending</w:t>
            </w:r>
          </w:p>
        </w:tc>
      </w:tr>
      <w:tr>
        <w:tc>
          <w:tcPr>
            <w:tcW w:type="dxa" w:w="1728"/>
            <w:shd w:val="clear" w:color="auto" w:fill="EEF4FF"/>
          </w:tcPr>
          <w:p>
            <w:r/>
            <w:r>
              <w:rPr>
                <w:b/>
                <w:sz w:val="18"/>
              </w:rPr>
              <w:t>50 SMA</w:t>
            </w:r>
          </w:p>
        </w:tc>
        <w:tc>
          <w:tcPr>
            <w:tcW w:type="dxa" w:w="1728"/>
            <w:shd w:val="clear" w:color="auto" w:fill="EEF4FF"/>
          </w:tcPr>
          <w:p>
            <w:r/>
            <w:r>
              <w:rPr>
                <w:sz w:val="18"/>
              </w:rPr>
              <w:t>13,946.35</w:t>
            </w:r>
          </w:p>
        </w:tc>
        <w:tc>
          <w:tcPr>
            <w:tcW w:type="dxa" w:w="1728"/>
            <w:shd w:val="clear" w:color="auto" w:fill="EEF4FF"/>
          </w:tcPr>
          <w:p>
            <w:r/>
            <w:r>
              <w:rPr>
                <w:sz w:val="18"/>
              </w:rPr>
              <w:t>⬇️ Bearish</w:t>
            </w:r>
          </w:p>
        </w:tc>
        <w:tc>
          <w:tcPr>
            <w:tcW w:type="dxa" w:w="1728"/>
            <w:shd w:val="clear" w:color="auto" w:fill="EEF4FF"/>
          </w:tcPr>
          <w:p>
            <w:r/>
            <w:r>
              <w:rPr>
                <w:sz w:val="18"/>
              </w:rPr>
              <w:t>Strong</w:t>
            </w:r>
          </w:p>
        </w:tc>
        <w:tc>
          <w:tcPr>
            <w:tcW w:type="dxa" w:w="1728"/>
            <w:shd w:val="clear" w:color="auto" w:fill="EEF4FF"/>
          </w:tcPr>
          <w:p>
            <w:r/>
            <w:r>
              <w:rPr>
                <w:sz w:val="18"/>
              </w:rPr>
              <w:t>Price -6.3% below, death cross active</w:t>
            </w:r>
          </w:p>
        </w:tc>
      </w:tr>
      <w:tr>
        <w:tc>
          <w:tcPr>
            <w:tcW w:type="dxa" w:w="1728"/>
            <w:shd w:val="clear" w:color="auto" w:fill="FFFFFF"/>
          </w:tcPr>
          <w:p>
            <w:r/>
            <w:r>
              <w:rPr>
                <w:b/>
                <w:sz w:val="18"/>
              </w:rPr>
              <w:t>10 EMA</w:t>
            </w:r>
          </w:p>
        </w:tc>
        <w:tc>
          <w:tcPr>
            <w:tcW w:type="dxa" w:w="1728"/>
            <w:shd w:val="clear" w:color="auto" w:fill="FFFFFF"/>
          </w:tcPr>
          <w:p>
            <w:r/>
            <w:r>
              <w:rPr>
                <w:sz w:val="18"/>
              </w:rPr>
              <w:t>13,259.67</w:t>
            </w:r>
          </w:p>
        </w:tc>
        <w:tc>
          <w:tcPr>
            <w:tcW w:type="dxa" w:w="1728"/>
            <w:shd w:val="clear" w:color="auto" w:fill="FFFFFF"/>
          </w:tcPr>
          <w:p>
            <w:r/>
            <w:r>
              <w:rPr>
                <w:sz w:val="18"/>
              </w:rPr>
              <w:t>⬇️ Bearish</w:t>
            </w:r>
          </w:p>
        </w:tc>
        <w:tc>
          <w:tcPr>
            <w:tcW w:type="dxa" w:w="1728"/>
            <w:shd w:val="clear" w:color="auto" w:fill="FFFFFF"/>
          </w:tcPr>
          <w:p>
            <w:r/>
            <w:r>
              <w:rPr>
                <w:sz w:val="18"/>
              </w:rPr>
              <w:t>Moderate</w:t>
            </w:r>
          </w:p>
        </w:tc>
        <w:tc>
          <w:tcPr>
            <w:tcW w:type="dxa" w:w="1728"/>
            <w:shd w:val="clear" w:color="auto" w:fill="FFFFFF"/>
          </w:tcPr>
          <w:p>
            <w:r/>
            <w:r>
              <w:rPr>
                <w:sz w:val="18"/>
              </w:rPr>
              <w:t>Price -1.5% below, showing stabilization</w:t>
            </w:r>
          </w:p>
        </w:tc>
      </w:tr>
      <w:tr>
        <w:tc>
          <w:tcPr>
            <w:tcW w:type="dxa" w:w="1728"/>
            <w:shd w:val="clear" w:color="auto" w:fill="EEF4FF"/>
          </w:tcPr>
          <w:p>
            <w:r/>
            <w:r>
              <w:rPr>
                <w:b/>
                <w:sz w:val="18"/>
              </w:rPr>
              <w:t>MACD</w:t>
            </w:r>
          </w:p>
        </w:tc>
        <w:tc>
          <w:tcPr>
            <w:tcW w:type="dxa" w:w="1728"/>
            <w:shd w:val="clear" w:color="auto" w:fill="EEF4FF"/>
          </w:tcPr>
          <w:p>
            <w:r/>
            <w:r>
              <w:rPr>
                <w:sz w:val="18"/>
              </w:rPr>
              <w:t>-277.80</w:t>
            </w:r>
          </w:p>
        </w:tc>
        <w:tc>
          <w:tcPr>
            <w:tcW w:type="dxa" w:w="1728"/>
            <w:shd w:val="clear" w:color="auto" w:fill="EEF4FF"/>
          </w:tcPr>
          <w:p>
            <w:r/>
            <w:r>
              <w:rPr>
                <w:sz w:val="18"/>
              </w:rPr>
              <w:t>⬇️ Bearish</w:t>
            </w:r>
          </w:p>
        </w:tc>
        <w:tc>
          <w:tcPr>
            <w:tcW w:type="dxa" w:w="1728"/>
            <w:shd w:val="clear" w:color="auto" w:fill="EEF4FF"/>
          </w:tcPr>
          <w:p>
            <w:r/>
            <w:r>
              <w:rPr>
                <w:sz w:val="18"/>
              </w:rPr>
              <w:t>Strong</w:t>
            </w:r>
          </w:p>
        </w:tc>
        <w:tc>
          <w:tcPr>
            <w:tcW w:type="dxa" w:w="1728"/>
            <w:shd w:val="clear" w:color="auto" w:fill="EEF4FF"/>
          </w:tcPr>
          <w:p>
            <w:r/>
            <w:r>
              <w:rPr>
                <w:sz w:val="18"/>
              </w:rPr>
              <w:t>Deeply negative, but histogram compressing</w:t>
            </w:r>
          </w:p>
        </w:tc>
      </w:tr>
      <w:tr>
        <w:tc>
          <w:tcPr>
            <w:tcW w:type="dxa" w:w="1728"/>
            <w:shd w:val="clear" w:color="auto" w:fill="FFFFFF"/>
          </w:tcPr>
          <w:p>
            <w:r/>
            <w:r>
              <w:rPr>
                <w:b/>
                <w:sz w:val="18"/>
              </w:rPr>
              <w:t>MACD Histogram</w:t>
            </w:r>
          </w:p>
        </w:tc>
        <w:tc>
          <w:tcPr>
            <w:tcW w:type="dxa" w:w="1728"/>
            <w:shd w:val="clear" w:color="auto" w:fill="FFFFFF"/>
          </w:tcPr>
          <w:p>
            <w:r/>
            <w:r>
              <w:rPr>
                <w:sz w:val="18"/>
              </w:rPr>
              <w:t>-34.17</w:t>
            </w:r>
          </w:p>
        </w:tc>
        <w:tc>
          <w:tcPr>
            <w:tcW w:type="dxa" w:w="1728"/>
            <w:shd w:val="clear" w:color="auto" w:fill="FFFFFF"/>
          </w:tcPr>
          <w:p>
            <w:r/>
            <w:r>
              <w:rPr>
                <w:sz w:val="18"/>
              </w:rPr>
              <w:t>↗️ Improving</w:t>
            </w:r>
          </w:p>
        </w:tc>
        <w:tc>
          <w:tcPr>
            <w:tcW w:type="dxa" w:w="1728"/>
            <w:shd w:val="clear" w:color="auto" w:fill="FFFFFF"/>
          </w:tcPr>
          <w:p>
            <w:r/>
            <w:r>
              <w:rPr>
                <w:sz w:val="18"/>
              </w:rPr>
              <w:t>Weak</w:t>
            </w:r>
          </w:p>
        </w:tc>
        <w:tc>
          <w:tcPr>
            <w:tcW w:type="dxa" w:w="1728"/>
            <w:shd w:val="clear" w:color="auto" w:fill="FFFFFF"/>
          </w:tcPr>
          <w:p>
            <w:r/>
            <w:r>
              <w:rPr>
                <w:sz w:val="18"/>
              </w:rPr>
              <w:t>Negative but narrowing from -78</w:t>
            </w:r>
          </w:p>
        </w:tc>
      </w:tr>
      <w:tr>
        <w:tc>
          <w:tcPr>
            <w:tcW w:type="dxa" w:w="1728"/>
            <w:shd w:val="clear" w:color="auto" w:fill="EEF4FF"/>
          </w:tcPr>
          <w:p>
            <w:r/>
            <w:r>
              <w:rPr>
                <w:b/>
                <w:sz w:val="18"/>
              </w:rPr>
              <w:t>RSI (14)</w:t>
            </w:r>
          </w:p>
        </w:tc>
        <w:tc>
          <w:tcPr>
            <w:tcW w:type="dxa" w:w="1728"/>
            <w:shd w:val="clear" w:color="auto" w:fill="EEF4FF"/>
          </w:tcPr>
          <w:p>
            <w:r/>
            <w:r>
              <w:rPr>
                <w:sz w:val="18"/>
              </w:rPr>
              <w:t>29.67</w:t>
            </w:r>
          </w:p>
        </w:tc>
        <w:tc>
          <w:tcPr>
            <w:tcW w:type="dxa" w:w="1728"/>
            <w:shd w:val="clear" w:color="auto" w:fill="EEF4FF"/>
          </w:tcPr>
          <w:p>
            <w:r/>
            <w:r>
              <w:rPr>
                <w:sz w:val="18"/>
              </w:rPr>
              <w:t>️ Oversold</w:t>
            </w:r>
          </w:p>
        </w:tc>
        <w:tc>
          <w:tcPr>
            <w:tcW w:type="dxa" w:w="1728"/>
            <w:shd w:val="clear" w:color="auto" w:fill="EEF4FF"/>
          </w:tcPr>
          <w:p>
            <w:r/>
            <w:r>
              <w:rPr>
                <w:sz w:val="18"/>
              </w:rPr>
              <w:t>Moderate</w:t>
            </w:r>
          </w:p>
        </w:tc>
        <w:tc>
          <w:tcPr>
            <w:tcW w:type="dxa" w:w="1728"/>
            <w:shd w:val="clear" w:color="auto" w:fill="EEF4FF"/>
          </w:tcPr>
          <w:p>
            <w:r/>
            <w:r>
              <w:rPr>
                <w:sz w:val="18"/>
              </w:rPr>
              <w:t>Below 30, but no divergence yet</w:t>
            </w:r>
          </w:p>
        </w:tc>
      </w:tr>
      <w:tr>
        <w:tc>
          <w:tcPr>
            <w:tcW w:type="dxa" w:w="1728"/>
            <w:shd w:val="clear" w:color="auto" w:fill="FFFFFF"/>
          </w:tcPr>
          <w:p>
            <w:r/>
            <w:r>
              <w:rPr>
                <w:b/>
                <w:sz w:val="18"/>
              </w:rPr>
              <w:t>Bollinger Position</w:t>
            </w:r>
          </w:p>
        </w:tc>
        <w:tc>
          <w:tcPr>
            <w:tcW w:type="dxa" w:w="1728"/>
            <w:shd w:val="clear" w:color="auto" w:fill="FFFFFF"/>
          </w:tcPr>
          <w:p>
            <w:r/>
            <w:r>
              <w:rPr>
                <w:sz w:val="18"/>
              </w:rPr>
              <w:t>Near Lower Band</w:t>
            </w:r>
          </w:p>
        </w:tc>
        <w:tc>
          <w:tcPr>
            <w:tcW w:type="dxa" w:w="1728"/>
            <w:shd w:val="clear" w:color="auto" w:fill="FFFFFF"/>
          </w:tcPr>
          <w:p>
            <w:r/>
            <w:r>
              <w:rPr>
                <w:sz w:val="18"/>
              </w:rPr>
              <w:t>️ Extreme</w:t>
            </w:r>
          </w:p>
        </w:tc>
        <w:tc>
          <w:tcPr>
            <w:tcW w:type="dxa" w:w="1728"/>
            <w:shd w:val="clear" w:color="auto" w:fill="FFFFFF"/>
          </w:tcPr>
          <w:p>
            <w:r/>
            <w:r>
              <w:rPr>
                <w:sz w:val="18"/>
              </w:rPr>
              <w:t>Strong</w:t>
            </w:r>
          </w:p>
        </w:tc>
        <w:tc>
          <w:tcPr>
            <w:tcW w:type="dxa" w:w="1728"/>
            <w:shd w:val="clear" w:color="auto" w:fill="FFFFFF"/>
          </w:tcPr>
          <w:p>
            <w:r/>
            <w:r>
              <w:rPr>
                <w:sz w:val="18"/>
              </w:rPr>
              <w:t>2.8% above lower band, walk-the-band pattern</w:t>
            </w:r>
          </w:p>
        </w:tc>
      </w:tr>
      <w:tr>
        <w:tc>
          <w:tcPr>
            <w:tcW w:type="dxa" w:w="1728"/>
            <w:shd w:val="clear" w:color="auto" w:fill="EEF4FF"/>
          </w:tcPr>
          <w:p>
            <w:r/>
            <w:r>
              <w:rPr>
                <w:b/>
                <w:sz w:val="18"/>
              </w:rPr>
              <w:t>ATR</w:t>
            </w:r>
          </w:p>
        </w:tc>
        <w:tc>
          <w:tcPr>
            <w:tcW w:type="dxa" w:w="1728"/>
            <w:shd w:val="clear" w:color="auto" w:fill="EEF4FF"/>
          </w:tcPr>
          <w:p>
            <w:r/>
            <w:r>
              <w:rPr>
                <w:sz w:val="18"/>
              </w:rPr>
              <w:t>205.35</w:t>
            </w:r>
          </w:p>
        </w:tc>
        <w:tc>
          <w:tcPr>
            <w:tcW w:type="dxa" w:w="1728"/>
            <w:shd w:val="clear" w:color="auto" w:fill="EEF4FF"/>
          </w:tcPr>
          <w:p>
            <w:r/>
            <w:r>
              <w:rPr>
                <w:sz w:val="18"/>
              </w:rPr>
              <w:t>↘️ Declining</w:t>
            </w:r>
          </w:p>
        </w:tc>
        <w:tc>
          <w:tcPr>
            <w:tcW w:type="dxa" w:w="1728"/>
            <w:shd w:val="clear" w:color="auto" w:fill="EEF4FF"/>
          </w:tcPr>
          <w:p>
            <w:r/>
            <w:r>
              <w:rPr>
                <w:sz w:val="18"/>
              </w:rPr>
              <w:t>Moderate</w:t>
            </w:r>
          </w:p>
        </w:tc>
        <w:tc>
          <w:tcPr>
            <w:tcW w:type="dxa" w:w="1728"/>
            <w:shd w:val="clear" w:color="auto" w:fill="EEF4FF"/>
          </w:tcPr>
          <w:p>
            <w:r/>
            <w:r>
              <w:rPr>
                <w:sz w:val="18"/>
              </w:rPr>
              <w:t>Volatility compressing from 248 peak</w:t>
            </w:r>
          </w:p>
        </w:tc>
      </w:tr>
      <w:tr>
        <w:tc>
          <w:tcPr>
            <w:tcW w:type="dxa" w:w="1728"/>
            <w:shd w:val="clear" w:color="auto" w:fill="FFFFFF"/>
          </w:tcPr>
          <w:p>
            <w:r/>
            <w:r>
              <w:rPr>
                <w:b/>
                <w:sz w:val="18"/>
              </w:rPr>
              <w:t>Trend Structure</w:t>
            </w:r>
          </w:p>
        </w:tc>
        <w:tc>
          <w:tcPr>
            <w:tcW w:type="dxa" w:w="1728"/>
            <w:shd w:val="clear" w:color="auto" w:fill="FFFFFF"/>
          </w:tcPr>
          <w:p>
            <w:r/>
            <w:r>
              <w:rPr>
                <w:sz w:val="18"/>
              </w:rPr>
              <w:t>Bearish Aligned</w:t>
            </w:r>
          </w:p>
        </w:tc>
        <w:tc>
          <w:tcPr>
            <w:tcW w:type="dxa" w:w="1728"/>
            <w:shd w:val="clear" w:color="auto" w:fill="FFFFFF"/>
          </w:tcPr>
          <w:p>
            <w:r/>
            <w:r>
              <w:rPr>
                <w:sz w:val="18"/>
              </w:rPr>
              <w:t>⬇️ Bearish</w:t>
            </w:r>
          </w:p>
        </w:tc>
        <w:tc>
          <w:tcPr>
            <w:tcW w:type="dxa" w:w="1728"/>
            <w:shd w:val="clear" w:color="auto" w:fill="FFFFFF"/>
          </w:tcPr>
          <w:p>
            <w:r/>
            <w:r>
              <w:rPr>
                <w:sz w:val="18"/>
              </w:rPr>
              <w:t>Very Strong</w:t>
            </w:r>
          </w:p>
        </w:tc>
        <w:tc>
          <w:tcPr>
            <w:tcW w:type="dxa" w:w="1728"/>
            <w:shd w:val="clear" w:color="auto" w:fill="FFFFFF"/>
          </w:tcPr>
          <w:p>
            <w:r/>
            <w:r>
              <w:rPr>
                <w:sz w:val="18"/>
              </w:rPr>
              <w:t>All MAs declining, price below all</w:t>
            </w:r>
          </w:p>
        </w:tc>
      </w:tr>
      <w:tr>
        <w:tc>
          <w:tcPr>
            <w:tcW w:type="dxa" w:w="1728"/>
            <w:shd w:val="clear" w:color="auto" w:fill="EEF4FF"/>
          </w:tcPr>
          <w:p>
            <w:r/>
            <w:r>
              <w:rPr>
                <w:b/>
                <w:sz w:val="18"/>
              </w:rPr>
              <w:t>Reversal Probability</w:t>
            </w:r>
          </w:p>
        </w:tc>
        <w:tc>
          <w:tcPr>
            <w:tcW w:type="dxa" w:w="1728"/>
            <w:shd w:val="clear" w:color="auto" w:fill="EEF4FF"/>
          </w:tcPr>
          <w:p>
            <w:r/>
            <w:r>
              <w:rPr>
                <w:sz w:val="18"/>
              </w:rPr>
              <w:t>25%</w:t>
            </w:r>
          </w:p>
        </w:tc>
        <w:tc>
          <w:tcPr>
            <w:tcW w:type="dxa" w:w="1728"/>
            <w:shd w:val="clear" w:color="auto" w:fill="EEF4FF"/>
          </w:tcPr>
          <w:p>
            <w:r/>
            <w:r>
              <w:rPr>
                <w:sz w:val="18"/>
              </w:rPr>
              <w:t>Low</w:t>
            </w:r>
          </w:p>
        </w:tc>
        <w:tc>
          <w:tcPr>
            <w:tcW w:type="dxa" w:w="1728"/>
            <w:shd w:val="clear" w:color="auto" w:fill="EEF4FF"/>
          </w:tcPr>
          <w:p>
            <w:r/>
            <w:r>
              <w:rPr>
                <w:sz w:val="18"/>
              </w:rPr>
              <w:t>Weak</w:t>
            </w:r>
          </w:p>
        </w:tc>
        <w:tc>
          <w:tcPr>
            <w:tcW w:type="dxa" w:w="1728"/>
            <w:shd w:val="clear" w:color="auto" w:fill="EEF4FF"/>
          </w:tcPr>
          <w:p>
            <w:r/>
            <w:r>
              <w:rPr>
                <w:sz w:val="18"/>
              </w:rPr>
              <w:t>Early signs but</w:t>
            </w:r>
          </w:p>
        </w:tc>
      </w:tr>
    </w:tbl>
    <w:p/>
    <w:p>
      <w:pPr>
        <w:pBdr>
          <w:bottom w:val="single" w:sz="6" w:space="1" w:color="CCCCCC"/>
        </w:pBdr>
      </w:pPr>
    </w:p>
    <w:p>
      <w:pPr>
        <w:pStyle w:val="Heading2"/>
        <w:jc w:val="left"/>
      </w:pPr>
      <w:r>
        <w:rPr>
          <w:color w:val="783C00"/>
        </w:rPr>
        <w:t>Rapport Sentiment / Social</w:t>
      </w:r>
    </w:p>
    <w:p>
      <w:pPr>
        <w:pStyle w:val="Heading2"/>
        <w:jc w:val="left"/>
      </w:pPr>
      <w:r>
        <w:rPr>
          <w:color w:val="783C00"/>
          <w:sz w:val="28"/>
        </w:rPr>
        <w:t>Sentiment Analysis Report: BOOM1000</w:t>
      </w:r>
    </w:p>
    <w:p>
      <w:pPr>
        <w:pBdr>
          <w:bottom w:val="single" w:sz="6" w:space="1" w:color="CCCCCC"/>
        </w:pBdr>
      </w:pPr>
    </w:p>
    <w:p>
      <w:pPr>
        <w:pStyle w:val="Heading3"/>
        <w:jc w:val="left"/>
      </w:pPr>
      <w:r>
        <w:rPr>
          <w:color w:val="783C00"/>
          <w:sz w:val="24"/>
        </w:rPr>
        <w:t>1. Overall Sentiment Direction</w:t>
      </w:r>
    </w:p>
    <w:p>
      <w:pPr>
        <w:jc w:val="both"/>
      </w:pPr>
      <w:r>
        <w:rPr>
          <w:b/>
          <w:sz w:val="20"/>
        </w:rPr>
        <w:t>Sentiment:</w:t>
      </w:r>
      <w:r>
        <w:rPr>
          <w:sz w:val="20"/>
        </w:rPr>
        <w:t xml:space="preserve"> </w:t>
      </w:r>
      <w:r>
        <w:rPr>
          <w:b/>
          <w:sz w:val="20"/>
        </w:rPr>
        <w:t>NEUTRAL / INDETERMINATE</w:t>
      </w:r>
    </w:p>
    <w:p>
      <w:pPr>
        <w:jc w:val="both"/>
      </w:pPr>
      <w:r>
        <w:rPr>
          <w:b/>
          <w:sz w:val="20"/>
        </w:rPr>
        <w:t>Confidence:</w:t>
      </w:r>
      <w:r>
        <w:rPr>
          <w:sz w:val="20"/>
        </w:rPr>
        <w:t xml:space="preserve"> </w:t>
      </w:r>
      <w:r>
        <w:rPr>
          <w:b/>
          <w:sz w:val="20"/>
        </w:rPr>
        <w:t>Very Low</w:t>
      </w:r>
    </w:p>
    <w:p>
      <w:r>
        <w:rPr>
          <w:b/>
          <w:sz w:val="20"/>
        </w:rPr>
        <w:t>Rationale:</w:t>
      </w:r>
    </w:p>
    <w:p>
      <w:pPr>
        <w:jc w:val="both"/>
      </w:pPr>
      <w:r>
        <w:rPr>
          <w:sz w:val="20"/>
        </w:rPr>
        <w:t>All three primary sentiment data sources returned no usable information for BOOM1000 during the analysis period:</w:t>
      </w:r>
    </w:p>
    <w:p>
      <w:pPr>
        <w:jc w:val="both"/>
      </w:pPr>
      <w:r>
        <w:rPr>
          <w:sz w:val="20"/>
        </w:rPr>
        <w:t xml:space="preserve">- </w:t>
      </w:r>
      <w:r>
        <w:rPr>
          <w:b/>
          <w:sz w:val="20"/>
        </w:rPr>
        <w:t>News:</w:t>
      </w:r>
      <w:r>
        <w:rPr>
          <w:sz w:val="20"/>
        </w:rPr>
        <w:t xml:space="preserve"> No articles or headlines found</w:t>
      </w:r>
    </w:p>
    <w:p>
      <w:pPr>
        <w:jc w:val="both"/>
      </w:pPr>
      <w:r>
        <w:rPr>
          <w:sz w:val="20"/>
        </w:rPr>
        <w:t xml:space="preserve">- </w:t>
      </w:r>
      <w:r>
        <w:rPr>
          <w:b/>
          <w:sz w:val="20"/>
        </w:rPr>
        <w:t>StockTwits:</w:t>
      </w:r>
      <w:r>
        <w:rPr>
          <w:sz w:val="20"/>
        </w:rPr>
        <w:t xml:space="preserve"> HTTP error / service unavailable</w:t>
      </w:r>
    </w:p>
    <w:p>
      <w:pPr>
        <w:jc w:val="both"/>
      </w:pPr>
      <w:r>
        <w:rPr>
          <w:sz w:val="20"/>
        </w:rPr>
        <w:t xml:space="preserve">- </w:t>
      </w:r>
      <w:r>
        <w:rPr>
          <w:b/>
          <w:sz w:val="20"/>
        </w:rPr>
        <w:t>Reddit:</w:t>
      </w:r>
      <w:r>
        <w:rPr>
          <w:sz w:val="20"/>
        </w:rPr>
        <w:t xml:space="preserve"> No mentions across r/wallstreetbets, r/stocks, or r/investing</w:t>
      </w:r>
    </w:p>
    <w:p>
      <w:pPr>
        <w:jc w:val="both"/>
      </w:pPr>
      <w:r>
        <w:rPr>
          <w:sz w:val="20"/>
        </w:rPr>
        <w:t>This complete absence of sentiment signals indicates either:</w:t>
      </w:r>
    </w:p>
    <w:p>
      <w:pPr>
        <w:jc w:val="both"/>
      </w:pPr>
      <w:r>
        <w:rPr>
          <w:sz w:val="20"/>
        </w:rPr>
        <w:t>- BOOM1000 is a synthetic index or instrument with minimal retail/media coverage</w:t>
      </w:r>
    </w:p>
    <w:p>
      <w:pPr>
        <w:jc w:val="both"/>
      </w:pPr>
      <w:r>
        <w:rPr>
          <w:sz w:val="20"/>
        </w:rPr>
        <w:t>- The ticker nomenclature doesn't align with standard equity cashtag conventions used by these platforms</w:t>
      </w:r>
    </w:p>
    <w:p>
      <w:pPr>
        <w:jc w:val="both"/>
      </w:pPr>
      <w:r>
        <w:rPr>
          <w:sz w:val="20"/>
        </w:rPr>
        <w:t>- Genuine market silence on this instrument during the analysis window</w:t>
      </w:r>
    </w:p>
    <w:p>
      <w:pPr>
        <w:pBdr>
          <w:bottom w:val="single" w:sz="6" w:space="1" w:color="CCCCCC"/>
        </w:pBdr>
      </w:pPr>
    </w:p>
    <w:p>
      <w:pPr>
        <w:pStyle w:val="Heading3"/>
        <w:jc w:val="left"/>
      </w:pPr>
      <w:r>
        <w:rPr>
          <w:color w:val="783C00"/>
          <w:sz w:val="24"/>
        </w:rPr>
        <w:t>2. Source-by-Source Breakdown</w:t>
      </w:r>
    </w:p>
    <w:p>
      <w:pPr>
        <w:pStyle w:val="Heading4"/>
        <w:jc w:val="left"/>
      </w:pPr>
      <w:r>
        <w:rPr>
          <w:color w:val="783C00"/>
          <w:sz w:val="22"/>
        </w:rPr>
        <w:t>News Headlines (Yahoo Finance)</w:t>
      </w:r>
    </w:p>
    <w:p>
      <w:r>
        <w:rPr>
          <w:b/>
          <w:sz w:val="20"/>
        </w:rPr>
        <w:t>Interpretation:</w:t>
      </w:r>
    </w:p>
    <w:p>
      <w:pPr>
        <w:jc w:val="both"/>
      </w:pPr>
      <w:r>
        <w:rPr>
          <w:sz w:val="20"/>
        </w:rPr>
        <w:t>BOOM1000 appears to be outside the scope of traditional financial news coverage. This is consistent with synthetic indices or derivative instruments that don't generate corporate news flow (earnings, M&amp;A, product launches, etc.). The absence of news is neither bullish nor bearish-it simply reflects the instrument's nature.</w:t>
      </w:r>
    </w:p>
    <w:p>
      <w:pPr>
        <w:pBdr>
          <w:bottom w:val="single" w:sz="6" w:space="1" w:color="CCCCCC"/>
        </w:pBdr>
      </w:pPr>
    </w:p>
    <w:p>
      <w:pPr>
        <w:pStyle w:val="Heading4"/>
        <w:jc w:val="left"/>
      </w:pPr>
      <w:r>
        <w:rPr>
          <w:color w:val="783C00"/>
          <w:sz w:val="22"/>
        </w:rPr>
        <w:t>StockTwits (Retail Social Sentiment)</w:t>
      </w:r>
    </w:p>
    <w:p>
      <w:r>
        <w:rPr>
          <w:b/>
          <w:sz w:val="20"/>
        </w:rPr>
        <w:t>Interpretation:</w:t>
      </w:r>
    </w:p>
    <w:p>
      <w:pPr>
        <w:jc w:val="both"/>
      </w:pPr>
      <w:r>
        <w:rPr>
          <w:sz w:val="20"/>
        </w:rPr>
        <w:t>Cannot assess retail sentiment direction, message volume, or bullish/bearish ratio. StockTwits typically indexes equity tickers with standard cashtag format ($SYMBOL). Synthetic indices like BOOM1000 may not have established cashtag communities, or the platform may not recognize this instrument nomenclature. The HTTP error prevents us from distinguishing between "no messages exist" vs. "data retrieval failed."</w:t>
      </w:r>
    </w:p>
    <w:p>
      <w:pPr>
        <w:jc w:val="both"/>
      </w:pPr>
      <w:r>
        <w:rPr>
          <w:b/>
          <w:sz w:val="22"/>
        </w:rPr>
        <w:t>Caveat:</w:t>
      </w:r>
      <w:r>
        <w:rPr>
          <w:sz w:val="22"/>
        </w:rPr>
        <w:t xml:space="preserve"> This is a critical data gap. StockTwits often provides the fastest-moving retail sentiment signal, especially for momentum plays and short-term positioning.</w:t>
      </w:r>
    </w:p>
    <w:p>
      <w:pPr>
        <w:pBdr>
          <w:bottom w:val="single" w:sz="6" w:space="1" w:color="CCCCCC"/>
        </w:pBdr>
      </w:pPr>
    </w:p>
    <w:p>
      <w:pPr>
        <w:pStyle w:val="Heading4"/>
        <w:jc w:val="left"/>
      </w:pPr>
      <w:r>
        <w:rPr>
          <w:color w:val="783C00"/>
          <w:sz w:val="22"/>
        </w:rPr>
        <w:t>️ Reddit (Community Discussion)</w:t>
      </w:r>
    </w:p>
    <w:p>
      <w:r>
        <w:rPr>
          <w:b/>
          <w:sz w:val="20"/>
        </w:rPr>
        <w:t>Interpretation:</w:t>
      </w:r>
    </w:p>
    <w:p>
      <w:pPr>
        <w:jc w:val="both"/>
      </w:pPr>
      <w:r>
        <w:rPr>
          <w:sz w:val="20"/>
        </w:rPr>
        <w:t xml:space="preserve">- </w:t>
      </w:r>
      <w:r>
        <w:rPr>
          <w:b/>
          <w:sz w:val="20"/>
        </w:rPr>
        <w:t>r/wallstreetbets:</w:t>
      </w:r>
      <w:r>
        <w:rPr>
          <w:sz w:val="20"/>
        </w:rPr>
        <w:t xml:space="preserve"> No speculative/momentum discussion</w:t>
      </w:r>
    </w:p>
    <w:p>
      <w:pPr>
        <w:jc w:val="both"/>
      </w:pPr>
      <w:r>
        <w:rPr>
          <w:sz w:val="20"/>
        </w:rPr>
        <w:t xml:space="preserve">- </w:t>
      </w:r>
      <w:r>
        <w:rPr>
          <w:b/>
          <w:sz w:val="20"/>
        </w:rPr>
        <w:t>r/stocks:</w:t>
      </w:r>
      <w:r>
        <w:rPr>
          <w:sz w:val="20"/>
        </w:rPr>
        <w:t xml:space="preserve"> No fundamental analysis or news discussion</w:t>
      </w:r>
    </w:p>
    <w:p>
      <w:pPr>
        <w:jc w:val="both"/>
      </w:pPr>
      <w:r>
        <w:rPr>
          <w:sz w:val="20"/>
        </w:rPr>
        <w:t xml:space="preserve">- </w:t>
      </w:r>
      <w:r>
        <w:rPr>
          <w:b/>
          <w:sz w:val="20"/>
        </w:rPr>
        <w:t>r/investing:</w:t>
      </w:r>
      <w:r>
        <w:rPr>
          <w:sz w:val="20"/>
        </w:rPr>
        <w:t xml:space="preserve"> No long-term thesis development</w:t>
      </w:r>
    </w:p>
    <w:p>
      <w:pPr>
        <w:jc w:val="both"/>
      </w:pPr>
      <w:r>
        <w:rPr>
          <w:sz w:val="20"/>
        </w:rPr>
        <w:t>The complete absence across all three subreddits-including the highly active r/wallstreetbets-strongly suggests BOOM1000 is not a retail-focused equity. Synthetic indices, Deriv platform-specific instruments, and non-US-listed securities often lack Reddit visibility unless they experience extreme volatility or become meme targets.</w:t>
      </w:r>
    </w:p>
    <w:p>
      <w:pPr>
        <w:pBdr>
          <w:bottom w:val="single" w:sz="6" w:space="1" w:color="CCCCCC"/>
        </w:pBdr>
      </w:pPr>
    </w:p>
    <w:p>
      <w:pPr>
        <w:pStyle w:val="Heading3"/>
        <w:jc w:val="left"/>
      </w:pPr>
      <w:r>
        <w:rPr>
          <w:color w:val="783C00"/>
          <w:sz w:val="24"/>
        </w:rPr>
        <w:t>3. Divergences, Alignments, and Key Narratives</w:t>
      </w:r>
    </w:p>
    <w:p>
      <w:pPr>
        <w:pStyle w:val="Heading4"/>
        <w:jc w:val="left"/>
      </w:pPr>
      <w:r>
        <w:rPr>
          <w:color w:val="783C00"/>
          <w:sz w:val="22"/>
        </w:rPr>
        <w:t>Cross-Source Patterns</w:t>
      </w:r>
    </w:p>
    <w:p>
      <w:pPr>
        <w:pStyle w:val="Heading4"/>
        <w:jc w:val="left"/>
      </w:pPr>
      <w:r>
        <w:rPr>
          <w:color w:val="783C00"/>
          <w:sz w:val="22"/>
        </w:rPr>
        <w:t>Absence of Narrative</w:t>
      </w:r>
    </w:p>
    <w:p>
      <w:pPr>
        <w:pStyle w:val="Heading4"/>
        <w:jc w:val="left"/>
      </w:pPr>
      <w:r>
        <w:rPr>
          <w:color w:val="783C00"/>
          <w:sz w:val="22"/>
        </w:rPr>
        <w:t>What This Means for Sentiment Analysis</w:t>
      </w:r>
    </w:p>
    <w:p>
      <w:pPr>
        <w:pBdr>
          <w:bottom w:val="single" w:sz="6" w:space="1" w:color="CCCCCC"/>
        </w:pBdr>
      </w:pPr>
    </w:p>
    <w:p>
      <w:pPr>
        <w:pStyle w:val="Heading3"/>
        <w:jc w:val="left"/>
      </w:pPr>
      <w:r>
        <w:rPr>
          <w:color w:val="783C00"/>
          <w:sz w:val="24"/>
        </w:rPr>
        <w:t>4. Catalysts and Risks</w:t>
      </w:r>
    </w:p>
    <w:p>
      <w:pPr>
        <w:pStyle w:val="Heading4"/>
        <w:jc w:val="left"/>
      </w:pPr>
      <w:r>
        <w:rPr>
          <w:color w:val="783C00"/>
          <w:sz w:val="22"/>
        </w:rPr>
        <w:t>Identified Catalysts</w:t>
      </w:r>
    </w:p>
    <w:p>
      <w:pPr>
        <w:jc w:val="both"/>
      </w:pPr>
      <w:r>
        <w:rPr>
          <w:sz w:val="20"/>
        </w:rPr>
        <w:t>For synthetic indices, catalysts are typically:</w:t>
      </w:r>
    </w:p>
    <w:p>
      <w:pPr>
        <w:jc w:val="both"/>
      </w:pPr>
      <w:r>
        <w:rPr>
          <w:sz w:val="20"/>
        </w:rPr>
        <w:t>- Changes to underlying volatility parameters</w:t>
      </w:r>
    </w:p>
    <w:p>
      <w:pPr>
        <w:jc w:val="both"/>
      </w:pPr>
      <w:r>
        <w:rPr>
          <w:sz w:val="20"/>
        </w:rPr>
        <w:t>- Shifts in broader market volatility (VIX analogues)</w:t>
      </w:r>
    </w:p>
    <w:p>
      <w:pPr>
        <w:jc w:val="both"/>
      </w:pPr>
      <w:r>
        <w:rPr>
          <w:sz w:val="20"/>
        </w:rPr>
        <w:t>- Platform-specific liquidity events</w:t>
      </w:r>
    </w:p>
    <w:p>
      <w:pPr>
        <w:jc w:val="both"/>
      </w:pPr>
      <w:r>
        <w:rPr>
          <w:sz w:val="20"/>
        </w:rPr>
        <w:t>- Correlation breaks with related instruments</w:t>
      </w:r>
    </w:p>
    <w:p>
      <w:pPr>
        <w:jc w:val="both"/>
      </w:pPr>
      <w:r>
        <w:rPr>
          <w:i/>
          <w:sz w:val="22"/>
        </w:rPr>
        <w:t>These would need to be assessed via technical/quantitative analysis rather than sentiment analysis.</w:t>
      </w:r>
    </w:p>
    <w:p>
      <w:pPr>
        <w:pStyle w:val="Heading4"/>
        <w:jc w:val="left"/>
      </w:pPr>
      <w:r>
        <w:rPr>
          <w:color w:val="783C00"/>
          <w:sz w:val="22"/>
        </w:rPr>
        <w:t>Identified Risks</w:t>
      </w:r>
    </w:p>
    <w:p>
      <w:pPr>
        <w:pStyle w:val="Heading4"/>
        <w:jc w:val="left"/>
      </w:pPr>
      <w:r>
        <w:rPr>
          <w:color w:val="783C00"/>
          <w:sz w:val="22"/>
        </w:rPr>
        <w:t>Sentiment-Driven Risk Factors (General)</w:t>
      </w:r>
    </w:p>
    <w:p>
      <w:pPr>
        <w:pBdr>
          <w:bottom w:val="single" w:sz="6" w:space="1" w:color="CCCCCC"/>
        </w:pBdr>
      </w:pPr>
    </w:p>
    <w:p>
      <w:pPr>
        <w:pStyle w:val="Heading3"/>
        <w:jc w:val="left"/>
      </w:pPr>
      <w:r>
        <w:rPr>
          <w:color w:val="783C00"/>
          <w:sz w:val="24"/>
        </w:rPr>
        <w:t>5. Summary Table: Key Sentiment Signals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C78"/>
          </w:tcPr>
          <w:p>
            <w:r/>
            <w:r>
              <w:rPr>
                <w:b/>
                <w:color w:val="FFFFFF"/>
                <w:sz w:val="18"/>
              </w:rPr>
              <w:t>**Signal**</w:t>
            </w:r>
          </w:p>
        </w:tc>
        <w:tc>
          <w:tcPr>
            <w:tcW w:type="dxa" w:w="1728"/>
            <w:shd w:val="clear" w:color="auto" w:fill="1F3C78"/>
          </w:tcPr>
          <w:p>
            <w:r/>
            <w:r>
              <w:rPr>
                <w:b/>
                <w:color w:val="FFFFFF"/>
                <w:sz w:val="18"/>
              </w:rPr>
              <w:t>**Direction**</w:t>
            </w:r>
          </w:p>
        </w:tc>
        <w:tc>
          <w:tcPr>
            <w:tcW w:type="dxa" w:w="1728"/>
            <w:shd w:val="clear" w:color="auto" w:fill="1F3C78"/>
          </w:tcPr>
          <w:p>
            <w:r/>
            <w:r>
              <w:rPr>
                <w:b/>
                <w:color w:val="FFFFFF"/>
                <w:sz w:val="18"/>
              </w:rPr>
              <w:t>**Source**</w:t>
            </w:r>
          </w:p>
        </w:tc>
        <w:tc>
          <w:tcPr>
            <w:tcW w:type="dxa" w:w="1728"/>
            <w:shd w:val="clear" w:color="auto" w:fill="1F3C78"/>
          </w:tcPr>
          <w:p>
            <w:r/>
            <w:r>
              <w:rPr>
                <w:b/>
                <w:color w:val="FFFFFF"/>
                <w:sz w:val="18"/>
              </w:rPr>
              <w:t>**Supporting Evidence**</w:t>
            </w:r>
          </w:p>
        </w:tc>
        <w:tc>
          <w:tcPr>
            <w:tcW w:type="dxa" w:w="1728"/>
            <w:shd w:val="clear" w:color="auto" w:fill="1F3C78"/>
          </w:tcPr>
          <w:p>
            <w:r/>
            <w:r>
              <w:rPr>
                <w:b/>
                <w:color w:val="FFFFFF"/>
                <w:sz w:val="18"/>
              </w:rPr>
              <w:t>**Weight**</w:t>
            </w:r>
          </w:p>
        </w:tc>
      </w:tr>
      <w:tr>
        <w:tc>
          <w:tcPr>
            <w:tcW w:type="dxa" w:w="1728"/>
            <w:shd w:val="clear" w:color="auto" w:fill="EEF4FF"/>
          </w:tcPr>
          <w:p>
            <w:r/>
            <w:r>
              <w:rPr>
                <w:sz w:val="18"/>
              </w:rPr>
              <w:t>News Flow</w:t>
            </w:r>
          </w:p>
        </w:tc>
        <w:tc>
          <w:tcPr>
            <w:tcW w:type="dxa" w:w="1728"/>
            <w:shd w:val="clear" w:color="auto" w:fill="EEF4FF"/>
          </w:tcPr>
          <w:p>
            <w:r/>
            <w:r>
              <w:rPr>
                <w:sz w:val="18"/>
              </w:rPr>
              <w:t>Neutral</w:t>
            </w:r>
          </w:p>
        </w:tc>
        <w:tc>
          <w:tcPr>
            <w:tcW w:type="dxa" w:w="1728"/>
            <w:shd w:val="clear" w:color="auto" w:fill="EEF4FF"/>
          </w:tcPr>
          <w:p>
            <w:r/>
            <w:r>
              <w:rPr>
                <w:sz w:val="18"/>
              </w:rPr>
              <w:t>Yahoo Finance</w:t>
            </w:r>
          </w:p>
        </w:tc>
        <w:tc>
          <w:tcPr>
            <w:tcW w:type="dxa" w:w="1728"/>
            <w:shd w:val="clear" w:color="auto" w:fill="EEF4FF"/>
          </w:tcPr>
          <w:p>
            <w:r/>
            <w:r>
              <w:rPr>
                <w:sz w:val="18"/>
              </w:rPr>
              <w:t>0 articles found for BOOM1000 in past 7 days</w:t>
            </w:r>
          </w:p>
        </w:tc>
        <w:tc>
          <w:tcPr>
            <w:tcW w:type="dxa" w:w="1728"/>
            <w:shd w:val="clear" w:color="auto" w:fill="EEF4FF"/>
          </w:tcPr>
          <w:p>
            <w:r/>
            <w:r>
              <w:rPr>
                <w:sz w:val="18"/>
              </w:rPr>
              <w:t>N/A</w:t>
            </w:r>
          </w:p>
        </w:tc>
      </w:tr>
      <w:tr>
        <w:tc>
          <w:tcPr>
            <w:tcW w:type="dxa" w:w="1728"/>
            <w:shd w:val="clear" w:color="auto" w:fill="FFFFFF"/>
          </w:tcPr>
          <w:p>
            <w:r/>
            <w:r>
              <w:rPr>
                <w:sz w:val="18"/>
              </w:rPr>
              <w:t>Retail Sentiment</w:t>
            </w:r>
          </w:p>
        </w:tc>
        <w:tc>
          <w:tcPr>
            <w:tcW w:type="dxa" w:w="1728"/>
            <w:shd w:val="clear" w:color="auto" w:fill="FFFFFF"/>
          </w:tcPr>
          <w:p>
            <w:r/>
            <w:r>
              <w:rPr>
                <w:sz w:val="18"/>
              </w:rPr>
              <w:t>Unknown</w:t>
            </w:r>
          </w:p>
        </w:tc>
        <w:tc>
          <w:tcPr>
            <w:tcW w:type="dxa" w:w="1728"/>
            <w:shd w:val="clear" w:color="auto" w:fill="FFFFFF"/>
          </w:tcPr>
          <w:p>
            <w:r/>
            <w:r>
              <w:rPr>
                <w:sz w:val="18"/>
              </w:rPr>
              <w:t>StockTwits</w:t>
            </w:r>
          </w:p>
        </w:tc>
        <w:tc>
          <w:tcPr>
            <w:tcW w:type="dxa" w:w="1728"/>
            <w:shd w:val="clear" w:color="auto" w:fill="FFFFFF"/>
          </w:tcPr>
          <w:p>
            <w:r/>
            <w:r>
              <w:rPr>
                <w:sz w:val="18"/>
              </w:rPr>
              <w:t>HTTPError - data unavailable</w:t>
            </w:r>
          </w:p>
        </w:tc>
        <w:tc>
          <w:tcPr>
            <w:tcW w:type="dxa" w:w="1728"/>
            <w:shd w:val="clear" w:color="auto" w:fill="FFFFFF"/>
          </w:tcPr>
          <w:p>
            <w:r/>
            <w:r>
              <w:rPr>
                <w:sz w:val="18"/>
              </w:rPr>
              <w:t>N/A</w:t>
            </w:r>
          </w:p>
        </w:tc>
      </w:tr>
      <w:tr>
        <w:tc>
          <w:tcPr>
            <w:tcW w:type="dxa" w:w="1728"/>
            <w:shd w:val="clear" w:color="auto" w:fill="EEF4FF"/>
          </w:tcPr>
          <w:p>
            <w:r/>
            <w:r>
              <w:rPr>
                <w:sz w:val="18"/>
              </w:rPr>
              <w:t>Community Buzz</w:t>
            </w:r>
          </w:p>
        </w:tc>
        <w:tc>
          <w:tcPr>
            <w:tcW w:type="dxa" w:w="1728"/>
            <w:shd w:val="clear" w:color="auto" w:fill="EEF4FF"/>
          </w:tcPr>
          <w:p>
            <w:r/>
            <w:r>
              <w:rPr>
                <w:sz w:val="18"/>
              </w:rPr>
              <w:t>Neutral/Silent</w:t>
            </w:r>
          </w:p>
        </w:tc>
        <w:tc>
          <w:tcPr>
            <w:tcW w:type="dxa" w:w="1728"/>
            <w:shd w:val="clear" w:color="auto" w:fill="EEF4FF"/>
          </w:tcPr>
          <w:p>
            <w:r/>
            <w:r>
              <w:rPr>
                <w:sz w:val="18"/>
              </w:rPr>
              <w:t>Reddit (WSB/stocks/investing)</w:t>
            </w:r>
          </w:p>
        </w:tc>
        <w:tc>
          <w:tcPr>
            <w:tcW w:type="dxa" w:w="1728"/>
            <w:shd w:val="clear" w:color="auto" w:fill="EEF4FF"/>
          </w:tcPr>
          <w:p>
            <w:r/>
            <w:r>
              <w:rPr>
                <w:sz w:val="18"/>
              </w:rPr>
              <w:t>0 posts mentioning BOOM1000 across 3 major subreddits</w:t>
            </w:r>
          </w:p>
        </w:tc>
        <w:tc>
          <w:tcPr>
            <w:tcW w:type="dxa" w:w="1728"/>
            <w:shd w:val="clear" w:color="auto" w:fill="EEF4FF"/>
          </w:tcPr>
          <w:p>
            <w:r/>
            <w:r>
              <w:rPr>
                <w:sz w:val="18"/>
              </w:rPr>
              <w:t>Low</w:t>
            </w:r>
          </w:p>
        </w:tc>
      </w:tr>
      <w:tr>
        <w:tc>
          <w:tcPr>
            <w:tcW w:type="dxa" w:w="1728"/>
            <w:shd w:val="clear" w:color="auto" w:fill="FFFFFF"/>
          </w:tcPr>
          <w:p>
            <w:r/>
            <w:r>
              <w:rPr>
                <w:sz w:val="18"/>
              </w:rPr>
              <w:t>Bullish Mentions</w:t>
            </w:r>
          </w:p>
        </w:tc>
        <w:tc>
          <w:tcPr>
            <w:tcW w:type="dxa" w:w="1728"/>
            <w:shd w:val="clear" w:color="auto" w:fill="FFFFFF"/>
          </w:tcPr>
          <w:p>
            <w:r/>
            <w:r>
              <w:rPr>
                <w:sz w:val="18"/>
              </w:rPr>
              <w:t>0</w:t>
            </w:r>
          </w:p>
        </w:tc>
        <w:tc>
          <w:tcPr>
            <w:tcW w:type="dxa" w:w="1728"/>
            <w:shd w:val="clear" w:color="auto" w:fill="FFFFFF"/>
          </w:tcPr>
          <w:p>
            <w:r/>
            <w:r>
              <w:rPr>
                <w:sz w:val="18"/>
              </w:rPr>
              <w:t>All Sources</w:t>
            </w:r>
          </w:p>
        </w:tc>
        <w:tc>
          <w:tcPr>
            <w:tcW w:type="dxa" w:w="1728"/>
            <w:shd w:val="clear" w:color="auto" w:fill="FFFFFF"/>
          </w:tcPr>
          <w:p>
            <w:r/>
            <w:r>
              <w:rPr>
                <w:sz w:val="18"/>
              </w:rPr>
              <w:t>No bullish commentary detected</w:t>
            </w:r>
          </w:p>
        </w:tc>
        <w:tc>
          <w:tcPr>
            <w:tcW w:type="dxa" w:w="1728"/>
            <w:shd w:val="clear" w:color="auto" w:fill="FFFFFF"/>
          </w:tcPr>
          <w:p>
            <w:r/>
            <w:r>
              <w:rPr>
                <w:sz w:val="18"/>
              </w:rPr>
              <w:t>-</w:t>
            </w:r>
          </w:p>
        </w:tc>
      </w:tr>
      <w:tr>
        <w:tc>
          <w:tcPr>
            <w:tcW w:type="dxa" w:w="1728"/>
            <w:shd w:val="clear" w:color="auto" w:fill="EEF4FF"/>
          </w:tcPr>
          <w:p>
            <w:r/>
            <w:r>
              <w:rPr>
                <w:sz w:val="18"/>
              </w:rPr>
              <w:t>Bearish Mentions</w:t>
            </w:r>
          </w:p>
        </w:tc>
        <w:tc>
          <w:tcPr>
            <w:tcW w:type="dxa" w:w="1728"/>
            <w:shd w:val="clear" w:color="auto" w:fill="EEF4FF"/>
          </w:tcPr>
          <w:p>
            <w:r/>
            <w:r>
              <w:rPr>
                <w:sz w:val="18"/>
              </w:rPr>
              <w:t>0</w:t>
            </w:r>
          </w:p>
        </w:tc>
        <w:tc>
          <w:tcPr>
            <w:tcW w:type="dxa" w:w="1728"/>
            <w:shd w:val="clear" w:color="auto" w:fill="EEF4FF"/>
          </w:tcPr>
          <w:p>
            <w:r/>
            <w:r>
              <w:rPr>
                <w:sz w:val="18"/>
              </w:rPr>
              <w:t>All Sources</w:t>
            </w:r>
          </w:p>
        </w:tc>
        <w:tc>
          <w:tcPr>
            <w:tcW w:type="dxa" w:w="1728"/>
            <w:shd w:val="clear" w:color="auto" w:fill="EEF4FF"/>
          </w:tcPr>
          <w:p>
            <w:r/>
            <w:r>
              <w:rPr>
                <w:sz w:val="18"/>
              </w:rPr>
              <w:t>No bearish commentary detected</w:t>
            </w:r>
          </w:p>
        </w:tc>
        <w:tc>
          <w:tcPr>
            <w:tcW w:type="dxa" w:w="1728"/>
            <w:shd w:val="clear" w:color="auto" w:fill="EEF4FF"/>
          </w:tcPr>
          <w:p>
            <w:r/>
            <w:r>
              <w:rPr>
                <w:sz w:val="18"/>
              </w:rPr>
              <w:t>-</w:t>
            </w:r>
          </w:p>
        </w:tc>
      </w:tr>
      <w:tr>
        <w:tc>
          <w:tcPr>
            <w:tcW w:type="dxa" w:w="1728"/>
            <w:shd w:val="clear" w:color="auto" w:fill="FFFFFF"/>
          </w:tcPr>
          <w:p>
            <w:r/>
            <w:r>
              <w:rPr>
                <w:sz w:val="18"/>
              </w:rPr>
              <w:t>Engagement Volume</w:t>
            </w:r>
          </w:p>
        </w:tc>
        <w:tc>
          <w:tcPr>
            <w:tcW w:type="dxa" w:w="1728"/>
            <w:shd w:val="clear" w:color="auto" w:fill="FFFFFF"/>
          </w:tcPr>
          <w:p>
            <w:r/>
            <w:r>
              <w:rPr>
                <w:sz w:val="18"/>
              </w:rPr>
              <w:t>None</w:t>
            </w:r>
          </w:p>
        </w:tc>
        <w:tc>
          <w:tcPr>
            <w:tcW w:type="dxa" w:w="1728"/>
            <w:shd w:val="clear" w:color="auto" w:fill="FFFFFF"/>
          </w:tcPr>
          <w:p>
            <w:r/>
            <w:r>
              <w:rPr>
                <w:sz w:val="18"/>
              </w:rPr>
              <w:t>All Sources</w:t>
            </w:r>
          </w:p>
        </w:tc>
        <w:tc>
          <w:tcPr>
            <w:tcW w:type="dxa" w:w="1728"/>
            <w:shd w:val="clear" w:color="auto" w:fill="FFFFFF"/>
          </w:tcPr>
          <w:p>
            <w:r/>
            <w:r>
              <w:rPr>
                <w:sz w:val="18"/>
              </w:rPr>
              <w:t>No upvotes, comments, retweets, or shares</w:t>
            </w:r>
          </w:p>
        </w:tc>
        <w:tc>
          <w:tcPr>
            <w:tcW w:type="dxa" w:w="1728"/>
            <w:shd w:val="clear" w:color="auto" w:fill="FFFFFF"/>
          </w:tcPr>
          <w:p>
            <w:r/>
            <w:r>
              <w:rPr>
                <w:sz w:val="18"/>
              </w:rPr>
              <w:t>-</w:t>
            </w:r>
          </w:p>
        </w:tc>
      </w:tr>
      <w:tr>
        <w:tc>
          <w:tcPr>
            <w:tcW w:type="dxa" w:w="1728"/>
            <w:shd w:val="clear" w:color="auto" w:fill="EEF4FF"/>
          </w:tcPr>
          <w:p>
            <w:r/>
            <w:r>
              <w:rPr>
                <w:sz w:val="18"/>
              </w:rPr>
              <w:t>Narrative Themes</w:t>
            </w:r>
          </w:p>
        </w:tc>
        <w:tc>
          <w:tcPr>
            <w:tcW w:type="dxa" w:w="1728"/>
            <w:shd w:val="clear" w:color="auto" w:fill="EEF4FF"/>
          </w:tcPr>
          <w:p>
            <w:r/>
            <w:r>
              <w:rPr>
                <w:sz w:val="18"/>
              </w:rPr>
              <w:t>None</w:t>
            </w:r>
          </w:p>
        </w:tc>
        <w:tc>
          <w:tcPr>
            <w:tcW w:type="dxa" w:w="1728"/>
            <w:shd w:val="clear" w:color="auto" w:fill="EEF4FF"/>
          </w:tcPr>
          <w:p>
            <w:r/>
            <w:r>
              <w:rPr>
                <w:sz w:val="18"/>
              </w:rPr>
              <w:t>All Sources</w:t>
            </w:r>
          </w:p>
        </w:tc>
        <w:tc>
          <w:tcPr>
            <w:tcW w:type="dxa" w:w="1728"/>
            <w:shd w:val="clear" w:color="auto" w:fill="EEF4FF"/>
          </w:tcPr>
          <w:p>
            <w:r/>
            <w:r>
              <w:rPr>
                <w:sz w:val="18"/>
              </w:rPr>
              <w:t>No recurring topics or storylines</w:t>
            </w:r>
          </w:p>
        </w:tc>
        <w:tc>
          <w:tcPr>
            <w:tcW w:type="dxa" w:w="1728"/>
            <w:shd w:val="clear" w:color="auto" w:fill="EEF4FF"/>
          </w:tcPr>
          <w:p>
            <w:r/>
            <w:r>
              <w:rPr>
                <w:sz w:val="18"/>
              </w:rPr>
              <w:t>-</w:t>
            </w:r>
          </w:p>
        </w:tc>
      </w:tr>
      <w:tr>
        <w:tc>
          <w:tcPr>
            <w:tcW w:type="dxa" w:w="1728"/>
            <w:shd w:val="clear" w:color="auto" w:fill="FFFFFF"/>
          </w:tcPr>
          <w:p>
            <w:r/>
            <w:r>
              <w:rPr>
                <w:sz w:val="18"/>
              </w:rPr>
              <w:t>Catalyst Identification</w:t>
            </w:r>
          </w:p>
        </w:tc>
        <w:tc>
          <w:tcPr>
            <w:tcW w:type="dxa" w:w="1728"/>
            <w:shd w:val="clear" w:color="auto" w:fill="FFFFFF"/>
          </w:tcPr>
          <w:p>
            <w:r/>
            <w:r>
              <w:rPr>
                <w:sz w:val="18"/>
              </w:rPr>
              <w:t>None</w:t>
            </w:r>
          </w:p>
        </w:tc>
        <w:tc>
          <w:tcPr>
            <w:tcW w:type="dxa" w:w="1728"/>
            <w:shd w:val="clear" w:color="auto" w:fill="FFFFFF"/>
          </w:tcPr>
          <w:p>
            <w:r/>
            <w:r>
              <w:rPr>
                <w:sz w:val="18"/>
              </w:rPr>
              <w:t>All Sources</w:t>
            </w:r>
          </w:p>
        </w:tc>
        <w:tc>
          <w:tcPr>
            <w:tcW w:type="dxa" w:w="1728"/>
            <w:shd w:val="clear" w:color="auto" w:fill="FFFFFF"/>
          </w:tcPr>
          <w:p>
            <w:r/>
            <w:r>
              <w:rPr>
                <w:sz w:val="18"/>
              </w:rPr>
              <w:t>No upcoming events or triggers mentioned</w:t>
            </w:r>
          </w:p>
        </w:tc>
        <w:tc>
          <w:tcPr>
            <w:tcW w:type="dxa" w:w="1728"/>
            <w:shd w:val="clear" w:color="auto" w:fill="FFFFFF"/>
          </w:tcPr>
          <w:p>
            <w:r/>
            <w:r>
              <w:rPr>
                <w:sz w:val="18"/>
              </w:rPr>
              <w:t>-</w:t>
            </w:r>
          </w:p>
        </w:tc>
      </w:tr>
    </w:tbl>
    <w:p/>
    <w:p>
      <w:pPr>
        <w:pBdr>
          <w:bottom w:val="single" w:sz="6" w:space="1" w:color="CCCCCC"/>
        </w:pBdr>
      </w:pPr>
    </w:p>
    <w:p>
      <w:pPr>
        <w:pStyle w:val="Heading3"/>
        <w:jc w:val="left"/>
      </w:pPr>
      <w:r>
        <w:rPr>
          <w:color w:val="783C00"/>
          <w:sz w:val="24"/>
        </w:rPr>
        <w:t>Conclusion and Trading Implications</w:t>
      </w:r>
    </w:p>
    <w:p>
      <w:r>
        <w:rPr>
          <w:b/>
          <w:sz w:val="20"/>
        </w:rPr>
        <w:t>For Sentiment-Driven Strategy:</w:t>
      </w:r>
    </w:p>
    <w:p>
      <w:pPr>
        <w:jc w:val="both"/>
      </w:pPr>
      <w:r>
        <w:rPr>
          <w:sz w:val="20"/>
        </w:rPr>
        <w:t xml:space="preserve">The complete absence of sentiment data makes this report </w:t>
      </w:r>
      <w:r>
        <w:rPr>
          <w:b/>
          <w:sz w:val="20"/>
        </w:rPr>
        <w:t>non-actionable from a sentiment perspective</w:t>
      </w:r>
      <w:r>
        <w:rPr>
          <w:sz w:val="20"/>
        </w:rPr>
        <w:t>. Traditional sentiment analysis relies on narrative flow, retail positioning clues, and news catalysts-none of which are present for BOOM1000.</w:t>
      </w:r>
    </w:p>
    <w:p>
      <w:r>
        <w:rPr>
          <w:b/>
          <w:sz w:val="20"/>
        </w:rPr>
        <w:t>Recommended Next Steps:</w:t>
      </w:r>
    </w:p>
    <w:p>
      <w:pPr>
        <w:jc w:val="both"/>
      </w:pPr>
      <w:r>
        <w:rPr>
          <w:sz w:val="20"/>
        </w:rPr>
        <w:t xml:space="preserve">1. </w:t>
      </w:r>
      <w:r>
        <w:rPr>
          <w:b/>
          <w:sz w:val="20"/>
        </w:rPr>
        <w:t>Confirm instrument identity:</w:t>
      </w:r>
      <w:r>
        <w:rPr>
          <w:sz w:val="20"/>
        </w:rPr>
        <w:t xml:space="preserve"> Verify BOOM1000 is indeed a Deriv synthetic index (likely Boom 1000 Index, a volatility instrument)</w:t>
      </w:r>
    </w:p>
    <w:p>
      <w:pPr>
        <w:jc w:val="both"/>
      </w:pPr>
      <w:r>
        <w:rPr>
          <w:sz w:val="20"/>
        </w:rPr>
        <w:t xml:space="preserve">2. </w:t>
      </w:r>
      <w:r>
        <w:rPr>
          <w:b/>
          <w:sz w:val="20"/>
        </w:rPr>
        <w:t>Shift to technical analysis:</w:t>
      </w:r>
      <w:r>
        <w:rPr>
          <w:sz w:val="20"/>
        </w:rPr>
        <w:t xml:space="preserve"> Use </w:t>
      </w:r>
      <w:r>
        <w:rPr>
          <w:rFonts w:ascii="Courier New" w:hAnsi="Courier New"/>
          <w:sz w:val="18"/>
        </w:rPr>
        <w:t>get_stock_data()</w:t>
      </w:r>
      <w:r>
        <w:rPr>
          <w:sz w:val="20"/>
        </w:rPr>
        <w:t xml:space="preserve"> and </w:t>
      </w:r>
      <w:r>
        <w:rPr>
          <w:rFonts w:ascii="Courier New" w:hAnsi="Courier New"/>
          <w:sz w:val="18"/>
        </w:rPr>
        <w:t>get_indicators()</w:t>
      </w:r>
      <w:r>
        <w:rPr>
          <w:sz w:val="20"/>
        </w:rPr>
        <w:t xml:space="preserve"> to assess price action, volatility patterns, and momentum</w:t>
      </w:r>
    </w:p>
    <w:p>
      <w:pPr>
        <w:jc w:val="both"/>
      </w:pPr>
      <w:r>
        <w:rPr>
          <w:sz w:val="20"/>
        </w:rPr>
        <w:t xml:space="preserve">3. </w:t>
      </w:r>
      <w:r>
        <w:rPr>
          <w:b/>
          <w:sz w:val="20"/>
        </w:rPr>
        <w:t>Consider alternative data:</w:t>
      </w:r>
      <w:r>
        <w:rPr>
          <w:sz w:val="20"/>
        </w:rPr>
        <w:t xml:space="preserve"> If BOOM1000 is a synthetic/derivative, sentiment may be better proxied by analyzing volatility indices (VIX), related forex pairs, or the underlying asset class</w:t>
      </w:r>
    </w:p>
    <w:p>
      <w:pPr>
        <w:jc w:val="both"/>
      </w:pPr>
      <w:r>
        <w:rPr>
          <w:b/>
          <w:sz w:val="22"/>
        </w:rPr>
        <w:t>Sentiment Confidence:</w:t>
      </w:r>
      <w:r>
        <w:rPr>
          <w:sz w:val="22"/>
        </w:rPr>
        <w:t xml:space="preserve"> Given zero usable data across all three sources, sentiment confidence is </w:t>
      </w:r>
      <w:r>
        <w:rPr>
          <w:b/>
          <w:sz w:val="22"/>
        </w:rPr>
        <w:t>effectively 0%</w:t>
      </w:r>
      <w:r>
        <w:rPr>
          <w:sz w:val="22"/>
        </w:rPr>
        <w:t>. This report documents the absence of signal rather than providing directional guidance.</w:t>
      </w:r>
    </w:p>
    <w:p>
      <w:pPr>
        <w:pBdr>
          <w:bottom w:val="single" w:sz="6" w:space="1" w:color="CCCCCC"/>
        </w:pBdr>
      </w:pPr>
    </w:p>
    <w:p>
      <w:pPr>
        <w:jc w:val="both"/>
      </w:pPr>
      <w:r>
        <w:rPr>
          <w:b/>
          <w:sz w:val="20"/>
        </w:rPr>
        <w:t>Report Status:</w:t>
      </w:r>
      <w:r>
        <w:rPr>
          <w:sz w:val="20"/>
        </w:rPr>
        <w:t xml:space="preserve">  Complete</w:t>
      </w:r>
    </w:p>
    <w:p>
      <w:pPr>
        <w:jc w:val="both"/>
      </w:pPr>
      <w:r>
        <w:rPr>
          <w:b/>
          <w:sz w:val="20"/>
        </w:rPr>
        <w:t>Actionability:</w:t>
      </w:r>
      <w:r>
        <w:rPr>
          <w:sz w:val="20"/>
        </w:rPr>
        <w:t xml:space="preserve">  Not actionable for sentiment-based trading decisions</w:t>
      </w:r>
    </w:p>
    <w:p>
      <w:pPr>
        <w:jc w:val="both"/>
      </w:pPr>
      <w:r>
        <w:rPr>
          <w:b/>
          <w:sz w:val="20"/>
        </w:rPr>
        <w:t>Recommended Follow-Up:</w:t>
      </w:r>
      <w:r>
        <w:rPr>
          <w:sz w:val="20"/>
        </w:rPr>
        <w:t xml:space="preserve"> Technical/quantitative analysis using price and indicator data</w:t>
      </w:r>
    </w:p>
    <w:p>
      <w:pPr>
        <w:pBdr>
          <w:bottom w:val="single" w:sz="6" w:space="1" w:color="CCCCCC"/>
        </w:pBdr>
      </w:pPr>
    </w:p>
    <w:p>
      <w:pPr>
        <w:pStyle w:val="Heading2"/>
        <w:jc w:val="left"/>
      </w:pPr>
      <w:r>
        <w:rPr>
          <w:color w:val="500064"/>
        </w:rPr>
        <w:t>Analyse Expert Scalping — Claude ($10 / $50)</w:t>
      </w:r>
    </w:p>
    <w:p>
      <w:pPr>
        <w:pStyle w:val="Heading2"/>
        <w:jc w:val="left"/>
      </w:pPr>
      <w:r>
        <w:rPr>
          <w:color w:val="500064"/>
          <w:sz w:val="28"/>
        </w:rPr>
        <w:t>ANALYSE SCALPING BOOM 1000 - VERDICT IMMÉDIAT</w:t>
      </w:r>
    </w:p>
    <w:p>
      <w:pPr>
        <w:pStyle w:val="Heading3"/>
        <w:jc w:val="left"/>
      </w:pPr>
      <w:r>
        <w:rPr>
          <w:color w:val="500064"/>
          <w:sz w:val="24"/>
        </w:rPr>
        <w:t>️ CONDITIONS ACTUELLES: **45% FAVORABLES**</w:t>
      </w:r>
    </w:p>
    <w:p>
      <w:pPr>
        <w:pStyle w:val="Heading4"/>
        <w:jc w:val="left"/>
      </w:pPr>
      <w:r>
        <w:rPr>
          <w:color w:val="500064"/>
          <w:sz w:val="22"/>
        </w:rPr>
        <w:t>DIAGNOSTIC RAPIDE</w:t>
      </w:r>
    </w:p>
    <w:p>
      <w:pPr>
        <w:pBdr>
          <w:bottom w:val="single" w:sz="6" w:space="1" w:color="CCCCCC"/>
        </w:pBdr>
      </w:pPr>
    </w:p>
    <w:p>
      <w:pPr>
        <w:pStyle w:val="Heading3"/>
        <w:jc w:val="left"/>
      </w:pPr>
      <w:r>
        <w:rPr>
          <w:color w:val="500064"/>
          <w:sz w:val="24"/>
        </w:rPr>
        <w:t>SIGNAL SCALPING RECOMMANDÉ</w:t>
      </w:r>
    </w:p>
    <w:p>
      <w:pPr>
        <w:pStyle w:val="Heading4"/>
        <w:jc w:val="left"/>
      </w:pPr>
      <w:r>
        <w:rPr>
          <w:color w:val="500064"/>
          <w:sz w:val="22"/>
        </w:rPr>
        <w:t>**SETUP UNIQUE - BUY LIMIT (Rebond technique)**</w:t>
      </w:r>
    </w:p>
    <w:p>
      <w:pPr>
        <w:jc w:val="both"/>
      </w:pPr>
      <w:r>
        <w:rPr>
          <w:b/>
          <w:sz w:val="22"/>
        </w:rPr>
        <w:t>Stratégie</w:t>
      </w:r>
      <w:r>
        <w:rPr>
          <w:sz w:val="22"/>
        </w:rPr>
        <w:t>: Attendre un spike baissier de panique pour entrer au rebond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C78"/>
          </w:tcPr>
          <w:p>
            <w:r/>
            <w:r>
              <w:rPr>
                <w:b/>
                <w:color w:val="FFFFFF"/>
                <w:sz w:val="18"/>
              </w:rPr>
              <w:t>Paramètre</w:t>
            </w:r>
          </w:p>
        </w:tc>
        <w:tc>
          <w:tcPr>
            <w:tcW w:type="dxa" w:w="4320"/>
            <w:shd w:val="clear" w:color="auto" w:fill="1F3C78"/>
          </w:tcPr>
          <w:p>
            <w:r/>
            <w:r>
              <w:rPr>
                <w:b/>
                <w:color w:val="FFFFFF"/>
                <w:sz w:val="18"/>
              </w:rPr>
              <w:t>Valeur</w:t>
            </w:r>
          </w:p>
        </w:tc>
      </w:tr>
      <w:tr>
        <w:tc>
          <w:tcPr>
            <w:tcW w:type="dxa" w:w="4320"/>
            <w:shd w:val="clear" w:color="auto" w:fill="EEF4FF"/>
          </w:tcPr>
          <w:p>
            <w:r/>
            <w:r>
              <w:rPr>
                <w:b/>
                <w:sz w:val="18"/>
              </w:rPr>
              <w:t>TYPE</w:t>
            </w:r>
          </w:p>
        </w:tc>
        <w:tc>
          <w:tcPr>
            <w:tcW w:type="dxa" w:w="4320"/>
            <w:shd w:val="clear" w:color="auto" w:fill="EEF4FF"/>
          </w:tcPr>
          <w:p>
            <w:r/>
            <w:r>
              <w:rPr>
                <w:sz w:val="18"/>
              </w:rPr>
              <w:t>BUY LIMIT</w:t>
            </w:r>
          </w:p>
        </w:tc>
      </w:tr>
      <w:tr>
        <w:tc>
          <w:tcPr>
            <w:tcW w:type="dxa" w:w="4320"/>
            <w:shd w:val="clear" w:color="auto" w:fill="FFFFFF"/>
          </w:tcPr>
          <w:p>
            <w:r/>
            <w:r>
              <w:rPr>
                <w:b/>
                <w:sz w:val="18"/>
              </w:rPr>
              <w:t>ENTRÉE</w:t>
            </w:r>
          </w:p>
        </w:tc>
        <w:tc>
          <w:tcPr>
            <w:tcW w:type="dxa" w:w="4320"/>
            <w:shd w:val="clear" w:color="auto" w:fill="FFFFFF"/>
          </w:tcPr>
          <w:p>
            <w:r/>
            <w:r>
              <w:rPr>
                <w:sz w:val="18"/>
              </w:rPr>
              <w:t>**12,950** (114 pips sous prix actuel)</w:t>
            </w:r>
          </w:p>
        </w:tc>
      </w:tr>
      <w:tr>
        <w:tc>
          <w:tcPr>
            <w:tcW w:type="dxa" w:w="4320"/>
            <w:shd w:val="clear" w:color="auto" w:fill="EEF4FF"/>
          </w:tcPr>
          <w:p>
            <w:r/>
            <w:r>
              <w:rPr>
                <w:b/>
                <w:sz w:val="18"/>
              </w:rPr>
              <w:t>STOP LOSS</w:t>
            </w:r>
          </w:p>
        </w:tc>
        <w:tc>
          <w:tcPr>
            <w:tcW w:type="dxa" w:w="4320"/>
            <w:shd w:val="clear" w:color="auto" w:fill="EEF4FF"/>
          </w:tcPr>
          <w:p>
            <w:r/>
            <w:r>
              <w:rPr>
                <w:sz w:val="18"/>
              </w:rPr>
              <w:t>**12,847** (-103 pips / -0.8% sous entrée)</w:t>
            </w:r>
          </w:p>
        </w:tc>
      </w:tr>
      <w:tr>
        <w:tc>
          <w:tcPr>
            <w:tcW w:type="dxa" w:w="4320"/>
            <w:shd w:val="clear" w:color="auto" w:fill="FFFFFF"/>
          </w:tcPr>
          <w:p>
            <w:r/>
            <w:r>
              <w:rPr>
                <w:b/>
                <w:sz w:val="18"/>
              </w:rPr>
              <w:t>TAKE PROFIT</w:t>
            </w:r>
          </w:p>
        </w:tc>
        <w:tc>
          <w:tcPr>
            <w:tcW w:type="dxa" w:w="4320"/>
            <w:shd w:val="clear" w:color="auto" w:fill="FFFFFF"/>
          </w:tcPr>
          <w:p>
            <w:r/>
            <w:r>
              <w:rPr>
                <w:sz w:val="18"/>
              </w:rPr>
              <w:t>**13,156** (+206 pips / +1.6% au dessus entrée)</w:t>
            </w:r>
          </w:p>
        </w:tc>
      </w:tr>
      <w:tr>
        <w:tc>
          <w:tcPr>
            <w:tcW w:type="dxa" w:w="4320"/>
            <w:shd w:val="clear" w:color="auto" w:fill="EEF4FF"/>
          </w:tcPr>
          <w:p>
            <w:r/>
            <w:r>
              <w:rPr>
                <w:b/>
                <w:sz w:val="18"/>
              </w:rPr>
              <w:t>RATIO R/R</w:t>
            </w:r>
          </w:p>
        </w:tc>
        <w:tc>
          <w:tcPr>
            <w:tcW w:type="dxa" w:w="4320"/>
            <w:shd w:val="clear" w:color="auto" w:fill="EEF4FF"/>
          </w:tcPr>
          <w:p>
            <w:r/>
            <w:r>
              <w:rPr>
                <w:sz w:val="18"/>
              </w:rPr>
              <w:t>1:2</w:t>
            </w:r>
          </w:p>
        </w:tc>
      </w:tr>
      <w:tr>
        <w:tc>
          <w:tcPr>
            <w:tcW w:type="dxa" w:w="4320"/>
            <w:shd w:val="clear" w:color="auto" w:fill="FFFFFF"/>
          </w:tcPr>
          <w:p>
            <w:r/>
            <w:r>
              <w:rPr>
                <w:b/>
                <w:sz w:val="18"/>
              </w:rPr>
              <w:t>DURÉE MAX</w:t>
            </w:r>
          </w:p>
        </w:tc>
        <w:tc>
          <w:tcPr>
            <w:tcW w:type="dxa" w:w="4320"/>
            <w:shd w:val="clear" w:color="auto" w:fill="FFFFFF"/>
          </w:tcPr>
          <w:p>
            <w:r/>
            <w:r>
              <w:rPr>
                <w:sz w:val="18"/>
              </w:rPr>
              <w:t>15 minutes</w:t>
            </w:r>
          </w:p>
        </w:tc>
      </w:tr>
    </w:tbl>
    <w:p/>
    <w:p>
      <w:pPr>
        <w:pBdr>
          <w:bottom w:val="single" w:sz="6" w:space="1" w:color="CCCCCC"/>
        </w:pBdr>
      </w:pPr>
    </w:p>
    <w:p>
      <w:pPr>
        <w:pStyle w:val="Heading3"/>
        <w:jc w:val="left"/>
      </w:pPr>
      <w:r>
        <w:rPr>
          <w:color w:val="500064"/>
          <w:sz w:val="24"/>
        </w:rPr>
        <w:t>CALCUL LOTS (Risque 1%)</w:t>
      </w:r>
    </w:p>
    <w:p>
      <w:pPr>
        <w:pStyle w:val="Heading4"/>
        <w:jc w:val="left"/>
      </w:pPr>
      <w:r>
        <w:rPr>
          <w:color w:val="500064"/>
          <w:sz w:val="22"/>
        </w:rPr>
        <w:t>Compte $10</w:t>
      </w:r>
    </w:p>
    <w:p>
      <w:pPr>
        <w:pStyle w:val="Heading4"/>
        <w:jc w:val="left"/>
      </w:pPr>
      <w:r>
        <w:rPr>
          <w:color w:val="500064"/>
          <w:sz w:val="22"/>
        </w:rPr>
        <w:t>Compte $50</w:t>
      </w:r>
    </w:p>
    <w:p>
      <w:pPr>
        <w:pBdr>
          <w:bottom w:val="single" w:sz="6" w:space="1" w:color="CCCCCC"/>
        </w:pBdr>
      </w:pPr>
    </w:p>
    <w:p>
      <w:pPr>
        <w:pStyle w:val="Heading3"/>
        <w:jc w:val="left"/>
      </w:pPr>
      <w:r>
        <w:rPr>
          <w:color w:val="500064"/>
          <w:sz w:val="24"/>
        </w:rPr>
        <w:t>JUSTIFICATION</w:t>
      </w:r>
    </w:p>
    <w:p>
      <w:pPr>
        <w:pStyle w:val="Heading4"/>
        <w:jc w:val="left"/>
      </w:pPr>
      <w:r>
        <w:rPr>
          <w:color w:val="500064"/>
          <w:sz w:val="22"/>
        </w:rPr>
        <w:t>POURQUOI CE SETUP?</w:t>
      </w:r>
    </w:p>
    <w:p>
      <w:pPr>
        <w:pStyle w:val="Heading4"/>
        <w:jc w:val="left"/>
      </w:pPr>
      <w:r>
        <w:rPr>
          <w:color w:val="500064"/>
          <w:sz w:val="22"/>
        </w:rPr>
        <w:t>RISQUES</w:t>
      </w:r>
    </w:p>
    <w:p>
      <w:pPr>
        <w:pBdr>
          <w:bottom w:val="single" w:sz="6" w:space="1" w:color="CCCCCC"/>
        </w:pBdr>
      </w:pPr>
    </w:p>
    <w:p>
      <w:pPr>
        <w:pStyle w:val="Heading3"/>
        <w:jc w:val="left"/>
      </w:pPr>
      <w:r>
        <w:rPr>
          <w:color w:val="500064"/>
          <w:sz w:val="24"/>
        </w:rPr>
        <w:t>CONVICTION FINALE: **55/100**</w:t>
      </w:r>
    </w:p>
    <w:p>
      <w:pPr>
        <w:pStyle w:val="Heading4"/>
        <w:jc w:val="left"/>
      </w:pPr>
      <w:r>
        <w:rPr>
          <w:color w:val="500064"/>
          <w:sz w:val="22"/>
        </w:rPr>
        <w:t>RECOMMANDATION</w:t>
      </w:r>
    </w:p>
    <w:p>
      <w:pPr>
        <w:jc w:val="both"/>
      </w:pPr>
      <w:r>
        <w:rPr>
          <w:b/>
          <w:sz w:val="22"/>
        </w:rPr>
        <w:t>NE PAS ENTRER AU MARCHÉ MAINTENANT (13,064)</w:t>
      </w:r>
      <w:r>
        <w:rPr>
          <w:sz w:val="22"/>
        </w:rPr>
        <w:t xml:space="preserve"> - Le prix peut encore baisser.</w:t>
      </w:r>
    </w:p>
    <w:p>
      <w:pPr>
        <w:jc w:val="both"/>
      </w:pPr>
      <w:r>
        <w:rPr>
          <w:b/>
          <w:sz w:val="20"/>
        </w:rPr>
        <w:t>ALTERNATIVE</w:t>
      </w:r>
      <w:r>
        <w:rPr>
          <w:sz w:val="20"/>
        </w:rPr>
        <w:t xml:space="preserve">: Si dans 5 minutes le prix remonte au-dessus de </w:t>
      </w:r>
      <w:r>
        <w:rPr>
          <w:b/>
          <w:sz w:val="20"/>
        </w:rPr>
        <w:t>13,100</w:t>
      </w:r>
      <w:r>
        <w:rPr>
          <w:sz w:val="20"/>
        </w:rPr>
        <w:t xml:space="preserve"> avec momentum, prendre un BUY MARKET rapide:</w:t>
      </w:r>
    </w:p>
    <w:p>
      <w:pPr>
        <w:jc w:val="both"/>
      </w:pPr>
      <w:r>
        <w:rPr>
          <w:sz w:val="20"/>
        </w:rPr>
        <w:t>- Entrée: 13,100</w:t>
      </w:r>
    </w:p>
    <w:p>
      <w:pPr>
        <w:jc w:val="both"/>
      </w:pPr>
      <w:r>
        <w:rPr>
          <w:sz w:val="20"/>
        </w:rPr>
        <w:t>- SL: 13,000 (-100 pips)</w:t>
      </w:r>
    </w:p>
    <w:p>
      <w:pPr>
        <w:jc w:val="both"/>
      </w:pPr>
      <w:r>
        <w:rPr>
          <w:sz w:val="20"/>
        </w:rPr>
        <w:t>- TP: 13,300 (+200 pips)</w:t>
      </w:r>
    </w:p>
    <w:p>
      <w:pPr>
        <w:pBdr>
          <w:bottom w:val="single" w:sz="6" w:space="1" w:color="CCCCCC"/>
        </w:pBdr>
      </w:pPr>
    </w:p>
    <w:p>
      <w:pPr>
        <w:jc w:val="both"/>
      </w:pPr>
      <w:r>
        <w:rPr>
          <w:b/>
          <w:sz w:val="22"/>
        </w:rPr>
        <w:t>⏱️ TIMING</w:t>
      </w:r>
      <w:r>
        <w:rPr>
          <w:sz w:val="22"/>
        </w:rPr>
        <w:t xml:space="preserve">: Surveiller les </w:t>
      </w:r>
      <w:r>
        <w:rPr>
          <w:b/>
          <w:sz w:val="22"/>
        </w:rPr>
        <w:t>5 prochaines minutes</w:t>
      </w:r>
      <w:r>
        <w:rPr>
          <w:sz w:val="22"/>
        </w:rPr>
        <w:t xml:space="preserve">. Si pas de setup clair → </w:t>
      </w:r>
      <w:r>
        <w:rPr>
          <w:b/>
          <w:sz w:val="22"/>
        </w:rPr>
        <w:t>PASSER LE TRADE</w:t>
      </w:r>
      <w:r>
        <w:rPr>
          <w:sz w:val="22"/>
        </w:rPr>
        <w:t>.</w:t>
      </w:r>
    </w:p>
    <w:p>
      <w:pPr>
        <w:pBdr>
          <w:bottom w:val="single" w:sz="6" w:space="1" w:color="CCCCCC"/>
        </w:pBdr>
      </w:pPr>
    </w:p>
    <w:p>
      <w:pPr>
        <w:pStyle w:val="Heading1"/>
        <w:jc w:val="left"/>
      </w:pPr>
      <w:r>
        <w:rPr>
          <w:color w:val="142864"/>
        </w:rPr>
        <w:t>RESUME — Ce qu'il faut retenir</w:t>
      </w:r>
    </w:p>
    <w:p>
      <w:pPr>
        <w:pStyle w:val="Heading2"/>
        <w:jc w:val="left"/>
      </w:pPr>
      <w:r>
        <w:rPr>
          <w:color w:val="142864"/>
          <w:sz w:val="28"/>
        </w:rPr>
        <w:t>RÉSUMÉ EXÉCUTIF - BOOM 1000 INDEX</w:t>
      </w:r>
    </w:p>
    <w:p>
      <w:pPr>
        <w:pStyle w:val="ListNumber"/>
      </w:pPr>
      <w:r>
        <w:rPr>
          <w:b/>
          <w:sz w:val="20"/>
        </w:rPr>
        <w:t>Contexte de marché</w:t>
      </w:r>
      <w:r>
        <w:rPr>
          <w:sz w:val="20"/>
        </w:rPr>
        <w:t xml:space="preserve"> : BOOM1000 subit une pression baissière sévère à 13,064 (-29.2% depuis les sommets) avec un death cross confirmé, RSI à 29.69 en survente extrême et MACD à des niveaux historiquement bas (-277).</w:t>
      </w:r>
    </w:p>
    <w:p>
      <w:pPr>
        <w:pStyle w:val="ListNumber"/>
      </w:pPr>
      <w:r>
        <w:rPr>
          <w:b/>
          <w:sz w:val="20"/>
        </w:rPr>
        <w:t>Signal principal</w:t>
      </w:r>
      <w:r>
        <w:rPr>
          <w:sz w:val="20"/>
        </w:rPr>
        <w:t xml:space="preserve"> : SELL avec confiance 75% - La combinaison RSI survente/MACD effondré/prix collé à la Bollinger inférieure indique une continuation baissière probable malgré la zone de survente technique.</w:t>
      </w:r>
    </w:p>
    <w:p>
      <w:pPr>
        <w:pStyle w:val="ListNumber"/>
      </w:pPr>
      <w:r>
        <w:rPr>
          <w:b/>
          <w:sz w:val="20"/>
        </w:rPr>
        <w:t>Niveaux critiques</w:t>
      </w:r>
      <w:r>
        <w:rPr>
          <w:sz w:val="20"/>
        </w:rPr>
        <w:t xml:space="preserve"> : Entry SELL @ 13,064 | SL @ 13,269 (+205 pips / 1xATR) | TP conservateur @ 12,654 (-410 pips, Bollinger inférieure) | TP agressif @ 12,551 (-513 pips, RR 1:3.13).</w:t>
      </w:r>
    </w:p>
    <w:p>
      <w:pPr>
        <w:pStyle w:val="ListNumber"/>
      </w:pPr>
      <w:r>
        <w:rPr>
          <w:b/>
          <w:sz w:val="20"/>
        </w:rPr>
        <w:t>Sizing recommandé</w:t>
      </w:r>
      <w:r>
        <w:rPr>
          <w:sz w:val="20"/>
        </w:rPr>
        <w:t xml:space="preserve"> : Compte $10 = 0.01 lot (risque ~$2) | Compte $50 = 0.01 lot (risque ~$2) - Exposition réduite de 40-60% recommandée en contexte Underweight.</w:t>
      </w:r>
    </w:p>
    <w:p>
      <w:pPr>
        <w:pStyle w:val="ListNumber"/>
      </w:pPr>
      <w:r>
        <w:rPr>
          <w:b/>
          <w:sz w:val="20"/>
        </w:rPr>
        <w:t>Condition d'entrée</w:t>
      </w:r>
      <w:r>
        <w:rPr>
          <w:sz w:val="20"/>
        </w:rPr>
        <w:t xml:space="preserve"> : Vendre IMMÉDIATEMENT au marché à 13,064 OU attendre rebond technique vers 13,150-13,200 pour meilleur point d'entrée si patience permise (3-5 jours pour breakout volatilité attendu).</w:t>
      </w:r>
    </w:p>
    <w:p>
      <w:pPr>
        <w:pStyle w:val="ListNumber"/>
      </w:pPr>
      <w:r>
        <w:rPr>
          <w:b/>
          <w:sz w:val="20"/>
        </w:rPr>
        <w:t>Risques principaux</w:t>
      </w:r>
      <w:r>
        <w:rPr>
          <w:sz w:val="20"/>
        </w:rPr>
        <w:t xml:space="preserve"> : Rebond violent de capitulation sans volume préalable (RSI &lt;30 peut générer des spikes) | Invalidation si clôture journalière &gt; 13,400 avec confirmation volume (basculement vers reprise haussière).</w:t>
      </w:r>
    </w:p>
    <w:p>
      <w:pPr>
        <w:pBdr>
          <w:bottom w:val="single" w:sz="6" w:space="1" w:color="CCCCCC"/>
        </w:pBdr>
      </w:pPr>
    </w:p>
    <w:p/>
    <w:p>
      <w:pPr>
        <w:jc w:val="center"/>
      </w:pPr>
      <w:r>
        <w:rPr>
          <w:color w:val="969696"/>
          <w:sz w:val="16"/>
        </w:rPr>
        <w:t>TradBOT — Rapport généré automatiquement par le bridge TradingAgents | 2026-05-21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