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E3C78"/>
          <w:sz w:val="40"/>
        </w:rPr>
        <w:t>Rapport d'Analyse — Boom 150 Index</w:t>
      </w:r>
    </w:p>
    <w:p>
      <w:pPr>
        <w:jc w:val="center"/>
      </w:pPr>
      <w:r>
        <w:rPr>
          <w:color w:val="646464"/>
          <w:sz w:val="20"/>
        </w:rPr>
        <w:t>Date d'analyse : 2026-05-21    |    Généré le : 2026-05-21</w:t>
      </w:r>
    </w:p>
    <w:p/>
    <w:p>
      <w:pPr>
        <w:pStyle w:val="Heading2"/>
        <w:jc w:val="left"/>
      </w:pPr>
      <w:r>
        <w:rPr>
          <w:color w:val="1E3C78"/>
        </w:rPr>
        <w:t>Signal TradingAgents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F"/>
          </w:tcPr>
          <w:p>
            <w:r>
              <w:rPr>
                <w:b/>
                <w:color w:val="3C3C3C"/>
              </w:rPr>
              <w:t>Rating brut</w:t>
            </w:r>
          </w:p>
        </w:tc>
        <w:tc>
          <w:tcPr>
            <w:tcW w:type="dxa" w:w="4320"/>
            <w:shd w:val="clear" w:color="auto" w:fill="EEF2FF"/>
          </w:tcPr>
          <w:p>
            <w:r>
              <w:t>Underweight</w:t>
            </w:r>
          </w:p>
        </w:tc>
      </w:tr>
      <w:tr>
        <w:tc>
          <w:tcPr>
            <w:tcW w:type="dxa" w:w="4320"/>
          </w:tcPr>
          <w:p>
            <w:r>
              <w:rPr>
                <w:b/>
                <w:color w:val="3C3C3C"/>
              </w:rPr>
              <w:t>Décision</w:t>
            </w:r>
          </w:p>
        </w:tc>
        <w:tc>
          <w:tcPr>
            <w:tcW w:type="dxa" w:w="4320"/>
          </w:tcPr>
          <w:p>
            <w:r>
              <w:rPr>
                <w:b/>
                <w:color w:val="B41E1E"/>
                <w:sz w:val="26"/>
              </w:rPr>
              <w:t>SELL</w:t>
            </w:r>
          </w:p>
        </w:tc>
      </w:tr>
      <w:tr>
        <w:tc>
          <w:tcPr>
            <w:tcW w:type="dxa" w:w="4320"/>
            <w:shd w:val="clear" w:color="auto" w:fill="EEF2FF"/>
          </w:tcPr>
          <w:p>
            <w:r>
              <w:rPr>
                <w:b/>
                <w:color w:val="3C3C3C"/>
              </w:rPr>
              <w:t>Prix actuel</w:t>
            </w:r>
          </w:p>
        </w:tc>
        <w:tc>
          <w:tcPr>
            <w:tcW w:type="dxa" w:w="4320"/>
            <w:shd w:val="clear" w:color="auto" w:fill="EEF2FF"/>
          </w:tcPr>
          <w:p>
            <w:r>
              <w:t>—</w:t>
            </w:r>
          </w:p>
        </w:tc>
      </w:tr>
      <w:tr>
        <w:tc>
          <w:tcPr>
            <w:tcW w:type="dxa" w:w="4320"/>
          </w:tcPr>
          <w:p>
            <w:r>
              <w:rPr>
                <w:b/>
                <w:color w:val="3C3C3C"/>
              </w:rPr>
              <w:t>ATR (volatilité)</w:t>
            </w:r>
          </w:p>
        </w:tc>
        <w:tc>
          <w:tcPr>
            <w:tcW w:type="dxa" w:w="4320"/>
          </w:tcPr>
          <w:p>
            <w:r>
              <w:t>—</w:t>
            </w:r>
          </w:p>
        </w:tc>
      </w:tr>
    </w:tbl>
    <w:p/>
    <w:p/>
    <w:p>
      <w:pPr>
        <w:jc w:val="center"/>
      </w:pPr>
      <w:r>
        <w:drawing>
          <wp:inline xmlns:a="http://schemas.openxmlformats.org/drawingml/2006/main" xmlns:pic="http://schemas.openxmlformats.org/drawingml/2006/picture">
            <wp:extent cx="2011680" cy="1605963"/>
            <wp:docPr id="1" name="Picture 1"/>
            <wp:cNvGraphicFramePr>
              <a:graphicFrameLocks noChangeAspect="1"/>
            </wp:cNvGraphicFramePr>
            <a:graphic>
              <a:graphicData uri="http://schemas.openxmlformats.org/drawingml/2006/picture">
                <pic:pic>
                  <pic:nvPicPr>
                    <pic:cNvPr id="0" name="tmpwxrmlypx.png"/>
                    <pic:cNvPicPr/>
                  </pic:nvPicPr>
                  <pic:blipFill>
                    <a:blip r:embed="rId9"/>
                    <a:stretch>
                      <a:fillRect/>
                    </a:stretch>
                  </pic:blipFill>
                  <pic:spPr>
                    <a:xfrm>
                      <a:off x="0" y="0"/>
                      <a:ext cx="2011680" cy="1605963"/>
                    </a:xfrm>
                    <a:prstGeom prst="rect"/>
                  </pic:spPr>
                </pic:pic>
              </a:graphicData>
            </a:graphic>
          </wp:inline>
        </w:drawing>
      </w:r>
      <w:r>
        <w:t xml:space="preserve">    </w:t>
      </w:r>
    </w:p>
    <w:p>
      <w:pPr>
        <w:pBdr>
          <w:bottom w:val="single" w:sz="6" w:space="1" w:color="CCCCCC"/>
        </w:pBdr>
      </w:pPr>
    </w:p>
    <w:p>
      <w:pPr>
        <w:pStyle w:val="Heading2"/>
        <w:jc w:val="left"/>
      </w:pPr>
      <w:r>
        <w:rPr>
          <w:color w:val="1E3C78"/>
        </w:rPr>
        <w:t>Décision Portfolio Manager</w:t>
      </w:r>
    </w:p>
    <w:p>
      <w:pPr>
        <w:jc w:val="both"/>
      </w:pPr>
      <w:r>
        <w:rPr>
          <w:b/>
          <w:sz w:val="22"/>
        </w:rPr>
        <w:t>Rating</w:t>
      </w:r>
      <w:r>
        <w:rPr>
          <w:sz w:val="22"/>
        </w:rPr>
        <w:t>: Underweight</w:t>
      </w:r>
    </w:p>
    <w:p>
      <w:pPr>
        <w:jc w:val="both"/>
      </w:pPr>
      <w:r>
        <w:rPr>
          <w:b/>
          <w:sz w:val="20"/>
        </w:rPr>
        <w:t>Executive Summary</w:t>
      </w:r>
      <w:r>
        <w:rPr>
          <w:sz w:val="20"/>
        </w:rPr>
        <w:t>: Reduce BOOM150N exposure to 40-50% of current position immediately at market (~9,295), with stop-loss at 9,250 (45-point risk matching 1.1x ATR). Stage additional 25-30% exit on any rally to 9,330-9,340 resistance zone. Maintain 20-25% core position with trailing stops through the anticipated volatility breakout within 5-10 sessions. The descending triangle carries 65% downside probability, but complete capitulation ignores the 35% boom-spike scenario in an instrument algorithmically designed for explosive upward moves.</w:t>
      </w:r>
    </w:p>
    <w:p>
      <w:pPr>
        <w:jc w:val="both"/>
      </w:pPr>
      <w:r>
        <w:rPr>
          <w:b/>
          <w:sz w:val="20"/>
        </w:rPr>
        <w:t>Investment Thesis</w:t>
      </w:r>
      <w:r>
        <w:rPr>
          <w:sz w:val="20"/>
        </w:rPr>
        <w:t>: The Underweight rating reflects a measured response to mixed probabilities rather than extreme positioning. The bearish structural evidence is real but not overwhelming: death cross intact with 200 SMA declining 3.06 points/day at 9,481 (186 points overhead), descending triangle with 65% statistical downside bias, and price making lower highs (9,447 April → 9,345 May 6 → 9,323 May 20) while support at 9,260-9,280 shows fatigue from repeated tests. The MACD histogram at +0.054 is 97.3% below the +2.0 confirmation threshold, representing noise rather than conviction-the conservative analyst correctly identified this as oscillation around zero, not genuine momentum shift.</w:t>
      </w:r>
    </w:p>
    <w:p>
      <w:pPr>
        <w:jc w:val="both"/>
      </w:pPr>
      <w:r>
        <w:rPr>
          <w:sz w:val="20"/>
        </w:rPr>
        <w:t>However, the aggressive analyst's core insight about BOOM150N's synthetic DNA has merit: the April surge delivered 180 points in 8 sessions following similar compression, and the current 20-day consolidation after a 237-point correction could represent basing rather than distribution. The triple convergence of price, 10 EMA, and 50 SMA at 9,297 marks a genuine decision point, and the Bollinger Band compression to 118 points signals imminent volatility expansion-direction uncertain but breakout probable within 5-10 sessions per research consensus.</w:t>
      </w:r>
    </w:p>
    <w:p>
      <w:pPr>
        <w:jc w:val="both"/>
      </w:pPr>
      <w:r>
        <w:rPr>
          <w:sz w:val="20"/>
        </w:rPr>
        <w:t>The neutral analyst's framework is most sound: research assigns 50% bearish, 35% bullish, 15% consolidation probabilities-this is a coin flip with slight negative edge, not a certainty requiring 70-75% liquidation. The conservative recommendation treats borderline probabilities as overwhelming evidence, while the aggressive stance to increase exposure pre-confirmation ignores the higher-probability downside scenario. A 40-50% immediate trim respects the leading 50% bearish probability while maintaining meaningful exposure to the combined 50% probability of bullish/consolidation outcomes.</w:t>
      </w:r>
    </w:p>
    <w:p>
      <w:pPr>
        <w:jc w:val="both"/>
      </w:pPr>
      <w:r>
        <w:rPr>
          <w:sz w:val="20"/>
        </w:rPr>
        <w:t>Execution rationale: Current price at 9,295 sits just 20 points from the trader's proposed exit zone of 9,315-9,320, making immediate partial liquidation at market more practical than waiting for a rally that may not materialize before breakdown. The 9,250 stop provides 45-point risk (1.1x the 40-point ATR), giving room for normal volatility while protecting against pattern failure below S3 support at 9,235-9,240. This placement addresses the conservative analyst's valid liquidity concerns-synthetic indices can experience slippage, but the 9,250 level provides a 15-point buffer above critical S3 support where algorithmic liquidity deterioration would accelerate.</w:t>
      </w:r>
    </w:p>
    <w:p>
      <w:pPr>
        <w:jc w:val="both"/>
      </w:pPr>
      <w:r>
        <w:rPr>
          <w:sz w:val="20"/>
        </w:rPr>
        <w:t>The staged exit strategy solves the time-dimension problem both extremes ignored: we reduce risk NOW ahead of the breakout rather than remaining fully exposed (aggressive flaw) or over-reducing based on sub-certainty probabilities (conservative flaw). The 9,330-9,340 secondary exit target is realistic-it represents resistance between R1 (9,320) and R2 (9,345), aligns with recent rejection levels, and provides 35-45 points of upside from current price to improve average exit pricing in the illiquid environment.</w:t>
      </w:r>
    </w:p>
    <w:p>
      <w:pPr>
        <w:jc w:val="both"/>
      </w:pPr>
      <w:r>
        <w:rPr>
          <w:sz w:val="20"/>
        </w:rPr>
        <w:t>Maintaining 20-25% core position addresses the aggressive analyst's legitimate point about boom-spike potential. Historical precedent is documented: these synthetic indices do produce explosive moves, and the sentiment vacuum (zero social media mentions, no news coverage) means the instrument is purely technical-making support/resistance levels more predictive, not less. Complete exit sacrifices optionality in an instrument where asymmetric upside moves are algorithmically programmed into its behavior.</w:t>
      </w:r>
    </w:p>
    <w:p>
      <w:pPr>
        <w:jc w:val="both"/>
      </w:pPr>
      <w:r>
        <w:rPr>
          <w:sz w:val="20"/>
        </w:rPr>
        <w:t>The re-entry framework is critical: full exit on break below 9,235 with MACD histogram negative protects against pattern target projection to 9,165-9,185. Conversely, break above 9,340 with MACD histogram expanding above +2.0 and RSI breaking 55 would provide the "pristine" confirmation the aggressive analyst prematurely claimed already exists-at which point rebuilding to 50-60% allocation becomes justified with stops raised to 9,300.</w:t>
      </w:r>
    </w:p>
    <w:p>
      <w:pPr>
        <w:jc w:val="both"/>
      </w:pPr>
      <w:r>
        <w:rPr>
          <w:sz w:val="20"/>
        </w:rPr>
        <w:t>The Research Manager's Underweight recommendation is validated but the 70-75% trim is disproportionate. The neutral analyst correctly identified that 50-35 probability split doesn't warrant near-complete liquidation-it warrants defensive positioning with maintained optionality. Risk management means sizing positions proportionally to probability-weighted outcomes across multiple scenarios, not gambling on single binary predictions. This measured approach survives both the 50% bearish breakdown and captures the 35% boom-spike scenario, aligning position size with actual edge rather than psychological bias toward either fear or greed.</w:t>
      </w:r>
    </w:p>
    <w:p>
      <w:pPr>
        <w:jc w:val="both"/>
      </w:pPr>
      <w:r>
        <w:rPr>
          <w:b/>
          <w:sz w:val="22"/>
        </w:rPr>
        <w:t>Price Target</w:t>
      </w:r>
      <w:r>
        <w:rPr>
          <w:sz w:val="22"/>
        </w:rPr>
        <w:t>: 9340.0</w:t>
      </w:r>
    </w:p>
    <w:p>
      <w:pPr>
        <w:jc w:val="both"/>
      </w:pPr>
      <w:r>
        <w:rPr>
          <w:b/>
          <w:sz w:val="22"/>
        </w:rPr>
        <w:t>Time Horizon</w:t>
      </w:r>
      <w:r>
        <w:rPr>
          <w:sz w:val="22"/>
        </w:rPr>
        <w:t>: 5-10 sessions until volatility breakout; reassess position structure after directional resolution</w:t>
      </w:r>
    </w:p>
    <w:p>
      <w:pPr>
        <w:pBdr>
          <w:bottom w:val="single" w:sz="6" w:space="1" w:color="CCCCCC"/>
        </w:pBdr>
      </w:pPr>
    </w:p>
    <w:p>
      <w:pPr>
        <w:pStyle w:val="Heading2"/>
        <w:jc w:val="left"/>
      </w:pPr>
      <w:r>
        <w:rPr>
          <w:color w:val="1E643C"/>
        </w:rPr>
        <w:t>Plan Trader</w:t>
      </w:r>
    </w:p>
    <w:p>
      <w:pPr>
        <w:jc w:val="both"/>
      </w:pPr>
      <w:r>
        <w:rPr>
          <w:b/>
          <w:sz w:val="22"/>
        </w:rPr>
        <w:t>Action</w:t>
      </w:r>
      <w:r>
        <w:rPr>
          <w:sz w:val="22"/>
        </w:rPr>
        <w:t>: Sell</w:t>
      </w:r>
    </w:p>
    <w:p>
      <w:pPr>
        <w:jc w:val="both"/>
      </w:pPr>
      <w:r>
        <w:rPr>
          <w:b/>
          <w:sz w:val="20"/>
        </w:rPr>
        <w:t>Reasoning</w:t>
      </w:r>
      <w:r>
        <w:rPr>
          <w:sz w:val="20"/>
        </w:rPr>
        <w:t>: Based on the comprehensive research plan, I recommend reducing BOOM150N exposure significantly. The bearish case is structurally stronger: we're in a confirmed downtrend with death cross intact, MACD histogram at +0.054 is 97.3% below the +2.0 confirmation threshold, and the descending triangle pattern carries 65% bearish probability. Critical weaknesses include the 200 SMA resistance 186 points overhead (declining daily), multiple support tests showing fatigue at S1/S2, and zero liquidity creating dangerous slippage risk on stops. The bull's compression and Wave C rally arguments rely on forward-looking hope rather than present structure, while realistic risk assessment shows 60-125 point downside versus overstated reward assumptions.</w:t>
      </w:r>
    </w:p>
    <w:p>
      <w:pPr>
        <w:jc w:val="both"/>
      </w:pPr>
      <w:r>
        <w:rPr>
          <w:b/>
          <w:sz w:val="22"/>
        </w:rPr>
        <w:t>Entry Price</w:t>
      </w:r>
      <w:r>
        <w:rPr>
          <w:sz w:val="22"/>
        </w:rPr>
        <w:t>: 9315.0</w:t>
      </w:r>
    </w:p>
    <w:p>
      <w:pPr>
        <w:jc w:val="both"/>
      </w:pPr>
      <w:r>
        <w:rPr>
          <w:b/>
          <w:sz w:val="22"/>
        </w:rPr>
        <w:t>Stop Loss</w:t>
      </w:r>
      <w:r>
        <w:rPr>
          <w:sz w:val="22"/>
        </w:rPr>
        <w:t>: 9230.0</w:t>
      </w:r>
    </w:p>
    <w:p>
      <w:pPr>
        <w:jc w:val="both"/>
      </w:pPr>
      <w:r>
        <w:rPr>
          <w:b/>
          <w:sz w:val="22"/>
        </w:rPr>
        <w:t>Position Sizing</w:t>
      </w:r>
      <w:r>
        <w:rPr>
          <w:sz w:val="22"/>
        </w:rPr>
        <w:t>: Reduce to 25-30% of normal allocation - trim 70-75% of current position over 2-3 sessions, preferably into strength toward R1 resistance (9315-9320)</w:t>
      </w:r>
    </w:p>
    <w:p>
      <w:pPr>
        <w:jc w:val="both"/>
      </w:pPr>
      <w:r>
        <w:rPr>
          <w:sz w:val="22"/>
        </w:rPr>
        <w:t xml:space="preserve">FINAL TRANSACTION PROPOSAL: </w:t>
      </w:r>
      <w:r>
        <w:rPr>
          <w:b/>
          <w:sz w:val="22"/>
        </w:rPr>
        <w:t>SELL</w:t>
      </w:r>
    </w:p>
    <w:p>
      <w:pPr>
        <w:pBdr>
          <w:bottom w:val="single" w:sz="6" w:space="1" w:color="CCCCCC"/>
        </w:pBdr>
      </w:pPr>
    </w:p>
    <w:p>
      <w:pPr>
        <w:pStyle w:val="Heading2"/>
        <w:jc w:val="left"/>
      </w:pPr>
      <w:r>
        <w:rPr>
          <w:color w:val="502878"/>
        </w:rPr>
        <w:t>Rapport Marché</w:t>
      </w:r>
    </w:p>
    <w:p>
      <w:pPr>
        <w:jc w:val="both"/>
      </w:pPr>
      <w:r>
        <w:rPr>
          <w:sz w:val="22"/>
        </w:rPr>
        <w:t>Excellent! Now I have all the data I need. Let me compile a comprehensive technical analysis report for BOOM150N.</w:t>
      </w:r>
    </w:p>
    <w:p>
      <w:pPr>
        <w:pBdr>
          <w:bottom w:val="single" w:sz="6" w:space="1" w:color="CCCCCC"/>
        </w:pBdr>
      </w:pPr>
    </w:p>
    <w:p>
      <w:pPr>
        <w:pStyle w:val="Heading2"/>
        <w:jc w:val="left"/>
      </w:pPr>
      <w:r>
        <w:rPr>
          <w:color w:val="502878"/>
          <w:sz w:val="28"/>
        </w:rPr>
        <w:t>**BOOM150N Technical Analysis Report**</w:t>
      </w:r>
    </w:p>
    <w:p>
      <w:pPr>
        <w:pBdr>
          <w:bottom w:val="single" w:sz="6" w:space="1" w:color="CCCCCC"/>
        </w:pBdr>
      </w:pPr>
    </w:p>
    <w:p>
      <w:pPr>
        <w:pStyle w:val="Heading3"/>
        <w:jc w:val="left"/>
      </w:pPr>
      <w:r>
        <w:rPr>
          <w:color w:val="502878"/>
          <w:sz w:val="24"/>
        </w:rPr>
        <w:t>**Executive Summary**</w:t>
      </w:r>
    </w:p>
    <w:p>
      <w:pPr>
        <w:jc w:val="both"/>
      </w:pPr>
      <w:r>
        <w:rPr>
          <w:sz w:val="20"/>
        </w:rPr>
        <w:t xml:space="preserve">BOOM150N is currently trading at </w:t>
      </w:r>
      <w:r>
        <w:rPr>
          <w:b/>
          <w:sz w:val="20"/>
        </w:rPr>
        <w:t>9,295.56</w:t>
      </w:r>
      <w:r>
        <w:rPr>
          <w:sz w:val="20"/>
        </w:rPr>
        <w:t xml:space="preserve"> after experiencing a significant decline from recent highs. The synthetic index has moved from a peak of </w:t>
      </w:r>
      <w:r>
        <w:rPr>
          <w:b/>
          <w:sz w:val="20"/>
        </w:rPr>
        <w:t>9,455.47</w:t>
      </w:r>
      <w:r>
        <w:rPr>
          <w:sz w:val="20"/>
        </w:rPr>
        <w:t xml:space="preserve"> on April 23, 2026, to a multi-month low of </w:t>
      </w:r>
      <w:r>
        <w:rPr>
          <w:b/>
          <w:sz w:val="20"/>
        </w:rPr>
        <w:t>9,167.05</w:t>
      </w:r>
      <w:r>
        <w:rPr>
          <w:sz w:val="20"/>
        </w:rPr>
        <w:t xml:space="preserve"> on March 10, 2026, representing a substantial </w:t>
      </w:r>
      <w:r>
        <w:rPr>
          <w:b/>
          <w:sz w:val="20"/>
        </w:rPr>
        <w:t>-6.38% decline</w:t>
      </w:r>
      <w:r>
        <w:rPr>
          <w:sz w:val="20"/>
        </w:rPr>
        <w:t xml:space="preserve"> over that period. The instrument is now showing signs of consolidation and potential stabilization, with price hovering near critical support levels.</w:t>
      </w:r>
    </w:p>
    <w:p>
      <w:pPr>
        <w:jc w:val="both"/>
      </w:pPr>
      <w:r>
        <w:rPr>
          <w:b/>
          <w:sz w:val="22"/>
        </w:rPr>
        <w:t>Current Market Posture:</w:t>
      </w:r>
      <w:r>
        <w:rPr>
          <w:sz w:val="22"/>
        </w:rPr>
        <w:t xml:space="preserve"> NEUTRAL-TO-BEARISH with early signs of potential stabilization. The market is consolidating below all major moving averages, suggesting cautious accumulation or distribution phase.</w:t>
      </w:r>
    </w:p>
    <w:p>
      <w:pPr>
        <w:pBdr>
          <w:bottom w:val="single" w:sz="6" w:space="1" w:color="CCCCCC"/>
        </w:pBdr>
      </w:pPr>
    </w:p>
    <w:p>
      <w:pPr>
        <w:pStyle w:val="Heading3"/>
        <w:jc w:val="left"/>
      </w:pPr>
      <w:r>
        <w:rPr>
          <w:color w:val="502878"/>
          <w:sz w:val="24"/>
        </w:rPr>
        <w:t>**1. TREND ANALYSIS - Multi-Timeframe Perspective**</w:t>
      </w:r>
    </w:p>
    <w:p>
      <w:pPr>
        <w:pStyle w:val="Heading4"/>
        <w:jc w:val="left"/>
      </w:pPr>
      <w:r>
        <w:rPr>
          <w:color w:val="502878"/>
          <w:sz w:val="22"/>
        </w:rPr>
        <w:t>**Long-Term Trend (200 SMA): BEARISH**</w:t>
      </w:r>
    </w:p>
    <w:p>
      <w:pPr>
        <w:pStyle w:val="Heading4"/>
        <w:jc w:val="left"/>
      </w:pPr>
      <w:r>
        <w:rPr>
          <w:color w:val="502878"/>
          <w:sz w:val="22"/>
        </w:rPr>
        <w:t>**Medium-Term Trend (50 SMA): BEARISH**</w:t>
      </w:r>
    </w:p>
    <w:p>
      <w:pPr>
        <w:pStyle w:val="Heading4"/>
        <w:jc w:val="left"/>
      </w:pPr>
      <w:r>
        <w:rPr>
          <w:color w:val="502878"/>
          <w:sz w:val="22"/>
        </w:rPr>
        <w:t>**Short-Term Trend (10 EMA): NEUTRAL**</w:t>
      </w:r>
    </w:p>
    <w:p>
      <w:pPr>
        <w:pStyle w:val="Heading4"/>
        <w:jc w:val="left"/>
      </w:pPr>
      <w:r>
        <w:rPr>
          <w:color w:val="502878"/>
          <w:sz w:val="22"/>
        </w:rPr>
        <w:t>**Moving Average Alignment:**</w:t>
      </w:r>
    </w:p>
    <w:p>
      <w:pPr>
        <w:pBdr>
          <w:bottom w:val="single" w:sz="6" w:space="1" w:color="CCCCCC"/>
        </w:pBdr>
      </w:pPr>
    </w:p>
    <w:p>
      <w:pPr>
        <w:pStyle w:val="Heading3"/>
        <w:jc w:val="left"/>
      </w:pPr>
      <w:r>
        <w:rPr>
          <w:color w:val="502878"/>
          <w:sz w:val="24"/>
        </w:rPr>
        <w:t>**2. MOMENTUM ANALYSIS**</w:t>
      </w:r>
    </w:p>
    <w:p>
      <w:pPr>
        <w:pStyle w:val="Heading4"/>
        <w:jc w:val="left"/>
      </w:pPr>
      <w:r>
        <w:rPr>
          <w:color w:val="502878"/>
          <w:sz w:val="22"/>
        </w:rPr>
        <w:t>**RSI (Relative Strength Index): NEUTRAL**</w:t>
      </w:r>
    </w:p>
    <w:p>
      <w:pPr>
        <w:pStyle w:val="Heading4"/>
        <w:jc w:val="left"/>
      </w:pPr>
      <w:r>
        <w:rPr>
          <w:color w:val="502878"/>
          <w:sz w:val="22"/>
        </w:rPr>
        <w:t>**MACD System: BEARISH-TO-NEUTRAL (Improving)**</w:t>
      </w:r>
    </w:p>
    <w:p>
      <w:pPr>
        <w:jc w:val="both"/>
      </w:pPr>
      <w:r>
        <w:rPr>
          <w:b/>
          <w:sz w:val="20"/>
        </w:rPr>
        <w:t>MACD Line:</w:t>
      </w:r>
      <w:r>
        <w:rPr>
          <w:sz w:val="20"/>
        </w:rPr>
        <w:t xml:space="preserve"> -1.44</w:t>
      </w:r>
    </w:p>
    <w:p>
      <w:pPr>
        <w:jc w:val="both"/>
      </w:pPr>
      <w:r>
        <w:rPr>
          <w:b/>
          <w:sz w:val="20"/>
        </w:rPr>
        <w:t>MACD Signal Line:</w:t>
      </w:r>
      <w:r>
        <w:rPr>
          <w:sz w:val="20"/>
        </w:rPr>
        <w:t xml:space="preserve"> -1.49 (estimated from histogram)</w:t>
      </w:r>
    </w:p>
    <w:p>
      <w:pPr>
        <w:jc w:val="both"/>
      </w:pPr>
      <w:r>
        <w:rPr>
          <w:b/>
          <w:sz w:val="20"/>
        </w:rPr>
        <w:t>MACD Histogram:</w:t>
      </w:r>
      <w:r>
        <w:rPr>
          <w:sz w:val="20"/>
        </w:rPr>
        <w:t xml:space="preserve"> +0.054 (positive but minimal)</w:t>
      </w:r>
    </w:p>
    <w:p>
      <w:pPr>
        <w:pStyle w:val="ListBullet"/>
      </w:pPr>
      <w:r>
        <w:rPr>
          <w:b/>
          <w:sz w:val="20"/>
        </w:rPr>
        <w:t>Recent Trajectory:</w:t>
      </w:r>
    </w:p>
    <w:p>
      <w:pPr>
        <w:pStyle w:val="ListBullet"/>
      </w:pPr>
      <w:r>
        <w:rPr>
          <w:sz w:val="20"/>
        </w:rPr>
        <w:t xml:space="preserve">MACD plunged to </w:t>
      </w:r>
      <w:r>
        <w:rPr>
          <w:b/>
          <w:sz w:val="20"/>
        </w:rPr>
        <w:t>-47.04</w:t>
      </w:r>
      <w:r>
        <w:rPr>
          <w:sz w:val="20"/>
        </w:rPr>
        <w:t xml:space="preserve"> on March 22 (deeply bearish)</w:t>
      </w:r>
    </w:p>
    <w:p>
      <w:pPr>
        <w:pStyle w:val="ListBullet"/>
      </w:pPr>
      <w:r>
        <w:rPr>
          <w:sz w:val="20"/>
        </w:rPr>
        <w:t xml:space="preserve">Rallied to </w:t>
      </w:r>
      <w:r>
        <w:rPr>
          <w:b/>
          <w:sz w:val="20"/>
        </w:rPr>
        <w:t>+51.12</w:t>
      </w:r>
      <w:r>
        <w:rPr>
          <w:sz w:val="20"/>
        </w:rPr>
        <w:t xml:space="preserve"> on April 24 (strongly bullish)</w:t>
      </w:r>
    </w:p>
    <w:p>
      <w:pPr>
        <w:pStyle w:val="ListBullet"/>
      </w:pPr>
      <w:r>
        <w:rPr>
          <w:sz w:val="20"/>
        </w:rPr>
        <w:t xml:space="preserve">Has since declined back to </w:t>
      </w:r>
      <w:r>
        <w:rPr>
          <w:b/>
          <w:sz w:val="20"/>
        </w:rPr>
        <w:t>-1.44</w:t>
      </w:r>
      <w:r>
        <w:rPr>
          <w:sz w:val="20"/>
        </w:rPr>
        <w:t xml:space="preserve"> (near zero)</w:t>
      </w:r>
    </w:p>
    <w:p>
      <w:pPr>
        <w:pStyle w:val="ListBullet"/>
      </w:pPr>
      <w:r>
        <w:rPr>
          <w:b/>
          <w:sz w:val="20"/>
        </w:rPr>
        <w:t>Histogram Analysis:</w:t>
      </w:r>
    </w:p>
    <w:p>
      <w:pPr>
        <w:pStyle w:val="ListBullet"/>
      </w:pPr>
      <w:r>
        <w:rPr>
          <w:sz w:val="20"/>
        </w:rPr>
        <w:t>Histogram turned positive (+0.054) on May 21, indicating MACD line crossed above signal line</w:t>
      </w:r>
    </w:p>
    <w:p>
      <w:pPr>
        <w:pStyle w:val="ListBullet"/>
      </w:pPr>
      <w:r>
        <w:rPr>
          <w:sz w:val="20"/>
        </w:rPr>
        <w:t xml:space="preserve">This is a </w:t>
      </w:r>
      <w:r>
        <w:rPr>
          <w:b/>
          <w:sz w:val="20"/>
        </w:rPr>
        <w:t>bullish crossover signal</w:t>
      </w:r>
      <w:r>
        <w:rPr>
          <w:sz w:val="20"/>
        </w:rPr>
        <w:t xml:space="preserve"> but with minimal conviction (very small positive value)</w:t>
      </w:r>
    </w:p>
    <w:p>
      <w:pPr>
        <w:pStyle w:val="ListBullet"/>
      </w:pPr>
      <w:r>
        <w:rPr>
          <w:sz w:val="20"/>
        </w:rPr>
        <w:t xml:space="preserve">Previous histogram peaked at </w:t>
      </w:r>
      <w:r>
        <w:rPr>
          <w:b/>
          <w:sz w:val="20"/>
        </w:rPr>
        <w:t>+20.61</w:t>
      </w:r>
      <w:r>
        <w:rPr>
          <w:sz w:val="20"/>
        </w:rPr>
        <w:t xml:space="preserve"> on March 31 during the recovery phase</w:t>
      </w:r>
    </w:p>
    <w:p>
      <w:pPr>
        <w:pStyle w:val="ListBullet"/>
      </w:pPr>
      <w:r>
        <w:rPr>
          <w:sz w:val="20"/>
        </w:rPr>
        <w:t>Current weak positive reading suggests early-stage potential reversal but lacks momentum</w:t>
      </w:r>
    </w:p>
    <w:p>
      <w:pPr>
        <w:pStyle w:val="ListBullet"/>
      </w:pPr>
      <w:r>
        <w:rPr>
          <w:b/>
          <w:sz w:val="20"/>
        </w:rPr>
        <w:t>Interpretation:</w:t>
      </w:r>
    </w:p>
    <w:p>
      <w:pPr>
        <w:pStyle w:val="ListBullet"/>
      </w:pPr>
      <w:r>
        <w:rPr>
          <w:b/>
          <w:sz w:val="20"/>
        </w:rPr>
        <w:t>Bullish crossover has occurred</w:t>
      </w:r>
      <w:r>
        <w:rPr>
          <w:sz w:val="20"/>
        </w:rPr>
        <w:t xml:space="preserve"> but momentum is weak</w:t>
      </w:r>
    </w:p>
    <w:p>
      <w:pPr>
        <w:pStyle w:val="ListBullet"/>
      </w:pPr>
      <w:r>
        <w:rPr>
          <w:sz w:val="20"/>
        </w:rPr>
        <w:t>The proximity to zero suggests equilibrium between bulls and bears</w:t>
      </w:r>
    </w:p>
    <w:p>
      <w:pPr>
        <w:pStyle w:val="ListBullet"/>
      </w:pPr>
      <w:r>
        <w:rPr>
          <w:sz w:val="20"/>
        </w:rPr>
        <w:t>Need sustained positive histogram expansion (&gt;2.0) to confirm bullish momentum</w:t>
      </w:r>
    </w:p>
    <w:p>
      <w:pPr>
        <w:pStyle w:val="ListBullet"/>
      </w:pPr>
      <w:r>
        <w:rPr>
          <w:sz w:val="20"/>
        </w:rPr>
        <w:t>Watch for MACD line to break above zero for stronger confirmation</w:t>
      </w:r>
    </w:p>
    <w:p>
      <w:pPr>
        <w:pBdr>
          <w:bottom w:val="single" w:sz="6" w:space="1" w:color="CCCCCC"/>
        </w:pBdr>
      </w:pPr>
    </w:p>
    <w:p>
      <w:pPr>
        <w:pStyle w:val="Heading3"/>
        <w:jc w:val="left"/>
      </w:pPr>
      <w:r>
        <w:rPr>
          <w:color w:val="502878"/>
          <w:sz w:val="24"/>
        </w:rPr>
        <w:t>**3. VOLATILITY ANALYSIS**</w:t>
      </w:r>
    </w:p>
    <w:p>
      <w:pPr>
        <w:pStyle w:val="Heading4"/>
        <w:jc w:val="left"/>
      </w:pPr>
      <w:r>
        <w:rPr>
          <w:color w:val="502878"/>
          <w:sz w:val="22"/>
        </w:rPr>
        <w:t>**Bollinger Bands: CONSOLIDATION PATTERN**</w:t>
      </w:r>
    </w:p>
    <w:p>
      <w:r>
        <w:rPr>
          <w:b/>
          <w:sz w:val="20"/>
        </w:rPr>
        <w:t>Key Observations:</w:t>
      </w:r>
    </w:p>
    <w:p>
      <w:pPr>
        <w:jc w:val="both"/>
      </w:pPr>
      <w:r>
        <w:rPr>
          <w:sz w:val="20"/>
        </w:rPr>
        <w:t xml:space="preserve">1. </w:t>
      </w:r>
      <w:r>
        <w:rPr>
          <w:b/>
          <w:sz w:val="20"/>
        </w:rPr>
        <w:t>Band Contraction:</w:t>
      </w:r>
      <w:r>
        <w:rPr>
          <w:sz w:val="20"/>
        </w:rPr>
        <w:t xml:space="preserve"> The bands have narrowed significantly from their widest point on March 24 (width of 140.91 points) to current levels. The April surge saw bands expand to 177.20 points width, but they've since compressed.</w:t>
      </w:r>
    </w:p>
    <w:p>
      <w:pPr>
        <w:pStyle w:val="ListNumber"/>
      </w:pPr>
      <w:r>
        <w:rPr>
          <w:b/>
          <w:sz w:val="20"/>
        </w:rPr>
        <w:t>Price Position:</w:t>
      </w:r>
      <w:r>
        <w:rPr>
          <w:sz w:val="20"/>
        </w:rPr>
        <w:t xml:space="preserve"> Current price (9,295.56) is </w:t>
      </w:r>
      <w:r>
        <w:rPr>
          <w:b/>
          <w:sz w:val="20"/>
        </w:rPr>
        <w:t>trading at the middle band</w:t>
      </w:r>
      <w:r>
        <w:rPr>
          <w:sz w:val="20"/>
        </w:rPr>
        <w:t>, suggesting:</w:t>
      </w:r>
    </w:p>
    <w:p>
      <w:pPr>
        <w:pStyle w:val="ListBullet"/>
      </w:pPr>
      <w:r>
        <w:rPr>
          <w:sz w:val="20"/>
        </w:rPr>
        <w:t>Price equilibrium between recent highs and lows</w:t>
      </w:r>
    </w:p>
    <w:p>
      <w:pPr>
        <w:pStyle w:val="ListBullet"/>
      </w:pPr>
      <w:r>
        <w:rPr>
          <w:sz w:val="20"/>
        </w:rPr>
        <w:t>Neither overbought nor oversold from a volatility perspective</w:t>
      </w:r>
    </w:p>
    <w:p>
      <w:pPr>
        <w:pStyle w:val="ListBullet"/>
      </w:pPr>
      <w:r>
        <w:rPr>
          <w:sz w:val="20"/>
        </w:rPr>
        <w:t>Potential for breakout in either direction</w:t>
      </w:r>
    </w:p>
    <w:p>
      <w:pPr>
        <w:pStyle w:val="ListNumber"/>
      </w:pPr>
      <w:r>
        <w:rPr>
          <w:b/>
          <w:sz w:val="20"/>
        </w:rPr>
        <w:t>Squeeze Indicator:</w:t>
      </w:r>
      <w:r>
        <w:rPr>
          <w:sz w:val="20"/>
        </w:rPr>
        <w:t xml:space="preserve"> The current band width of 1.27% suggests moderate contraction. Historical analysis shows:</w:t>
      </w:r>
    </w:p>
    <w:p>
      <w:pPr>
        <w:pStyle w:val="ListBullet"/>
      </w:pPr>
      <w:r>
        <w:rPr>
          <w:sz w:val="20"/>
        </w:rPr>
        <w:t>March 22-23 saw extreme compression preceding the April rally</w:t>
      </w:r>
    </w:p>
    <w:p>
      <w:pPr>
        <w:pStyle w:val="ListBullet"/>
      </w:pPr>
      <w:r>
        <w:rPr>
          <w:sz w:val="20"/>
        </w:rPr>
        <w:t>Current compression is less extreme but still notable</w:t>
      </w:r>
    </w:p>
    <w:p>
      <w:pPr>
        <w:pStyle w:val="ListBullet"/>
      </w:pPr>
      <w:r>
        <w:rPr>
          <w:b/>
          <w:sz w:val="20"/>
        </w:rPr>
        <w:t>Volatility breakout likely within 5-10 trading sessions</w:t>
      </w:r>
    </w:p>
    <w:p>
      <w:pPr>
        <w:pStyle w:val="ListNumber"/>
      </w:pPr>
      <w:r>
        <w:rPr>
          <w:b/>
          <w:sz w:val="20"/>
        </w:rPr>
        <w:t>Band Trend:</w:t>
      </w:r>
    </w:p>
    <w:p>
      <w:pPr>
        <w:pStyle w:val="ListBullet"/>
      </w:pPr>
      <w:r>
        <w:rPr>
          <w:sz w:val="20"/>
        </w:rPr>
        <w:t>Upper band declining (from 9,477.18 on May 6 to 9,353.82 on May 21)</w:t>
      </w:r>
    </w:p>
    <w:p>
      <w:pPr>
        <w:pStyle w:val="ListBullet"/>
      </w:pPr>
      <w:r>
        <w:rPr>
          <w:sz w:val="20"/>
        </w:rPr>
        <w:t>Lower band slightly rising (from 9,190.21 on May 3 to 9,234.86 on May 21)</w:t>
      </w:r>
    </w:p>
    <w:p>
      <w:pPr>
        <w:pStyle w:val="ListBullet"/>
      </w:pPr>
      <w:r>
        <w:rPr>
          <w:sz w:val="20"/>
        </w:rPr>
        <w:t xml:space="preserve">This </w:t>
      </w:r>
      <w:r>
        <w:rPr>
          <w:b/>
          <w:sz w:val="20"/>
        </w:rPr>
        <w:t>symmetric compression</w:t>
      </w:r>
      <w:r>
        <w:rPr>
          <w:sz w:val="20"/>
        </w:rPr>
        <w:t xml:space="preserve"> typically precedes significant directional moves</w:t>
      </w:r>
    </w:p>
    <w:p>
      <w:pPr>
        <w:pStyle w:val="Heading4"/>
        <w:jc w:val="left"/>
      </w:pPr>
      <w:r>
        <w:rPr>
          <w:color w:val="502878"/>
          <w:sz w:val="22"/>
        </w:rPr>
        <w:t>**ATR (Average True Range): DECLINING VOLATILITY**</w:t>
      </w:r>
    </w:p>
    <w:p>
      <w:r>
        <w:rPr>
          <w:b/>
          <w:sz w:val="20"/>
        </w:rPr>
        <w:t>Insights:</w:t>
      </w:r>
    </w:p>
    <w:p>
      <w:pPr>
        <w:jc w:val="both"/>
      </w:pPr>
      <w:r>
        <w:rPr>
          <w:sz w:val="20"/>
        </w:rPr>
        <w:t xml:space="preserve">- ATR has declined from the April peak of 47.17 to 40.65, indicating </w:t>
      </w:r>
      <w:r>
        <w:rPr>
          <w:b/>
          <w:sz w:val="20"/>
        </w:rPr>
        <w:t>decreasing volatility</w:t>
      </w:r>
    </w:p>
    <w:p>
      <w:pPr>
        <w:jc w:val="both"/>
      </w:pPr>
      <w:r>
        <w:rPr>
          <w:sz w:val="20"/>
        </w:rPr>
        <w:t>- This 13.8% decline in ATR aligns with the price consolidation phase</w:t>
      </w:r>
    </w:p>
    <w:p>
      <w:pPr>
        <w:jc w:val="both"/>
      </w:pPr>
      <w:r>
        <w:rPr>
          <w:sz w:val="20"/>
        </w:rPr>
        <w:t xml:space="preserve">- </w:t>
      </w:r>
      <w:r>
        <w:rPr>
          <w:b/>
          <w:sz w:val="20"/>
        </w:rPr>
        <w:t>Lower volatility suggests:</w:t>
      </w:r>
    </w:p>
    <w:p>
      <w:pPr>
        <w:jc w:val="both"/>
      </w:pPr>
      <w:r>
        <w:rPr>
          <w:sz w:val="20"/>
        </w:rPr>
        <w:t>- Reduced trading activity/volume</w:t>
      </w:r>
    </w:p>
    <w:p>
      <w:pPr>
        <w:jc w:val="both"/>
      </w:pPr>
      <w:r>
        <w:rPr>
          <w:sz w:val="20"/>
        </w:rPr>
        <w:t>- Tightening price action (consistent with Bollinger Band squeeze)</w:t>
      </w:r>
    </w:p>
    <w:p>
      <w:pPr>
        <w:jc w:val="both"/>
      </w:pPr>
      <w:r>
        <w:rPr>
          <w:sz w:val="20"/>
        </w:rPr>
        <w:t>- Potential energy accumulation before next major move</w:t>
      </w:r>
    </w:p>
    <w:p>
      <w:pPr>
        <w:pStyle w:val="ListBullet"/>
      </w:pPr>
      <w:r>
        <w:rPr>
          <w:b/>
          <w:sz w:val="20"/>
        </w:rPr>
        <w:t>Trading Implications:</w:t>
      </w:r>
    </w:p>
    <w:p>
      <w:pPr>
        <w:pStyle w:val="ListBullet"/>
      </w:pPr>
      <w:r>
        <w:rPr>
          <w:sz w:val="20"/>
        </w:rPr>
        <w:t xml:space="preserve">Stop-loss placement: Consider 1.5x ATR = </w:t>
      </w:r>
      <w:r>
        <w:rPr>
          <w:b/>
          <w:sz w:val="20"/>
        </w:rPr>
        <w:t>±61 points</w:t>
      </w:r>
      <w:r>
        <w:rPr>
          <w:sz w:val="20"/>
        </w:rPr>
        <w:t xml:space="preserve"> from entry</w:t>
      </w:r>
    </w:p>
    <w:p>
      <w:pPr>
        <w:pStyle w:val="ListBullet"/>
      </w:pPr>
      <w:r>
        <w:rPr>
          <w:sz w:val="20"/>
        </w:rPr>
        <w:t>Position sizing: Reduce size in low volatility to account for potential expansion</w:t>
      </w:r>
    </w:p>
    <w:p>
      <w:pPr>
        <w:pStyle w:val="ListBullet"/>
      </w:pPr>
      <w:r>
        <w:rPr>
          <w:sz w:val="20"/>
        </w:rPr>
        <w:t>Breakout threshold: Move &gt;1.5 ATR (61 points) in one session would signal strong directional intent</w:t>
      </w:r>
    </w:p>
    <w:p>
      <w:pPr>
        <w:pBdr>
          <w:bottom w:val="single" w:sz="6" w:space="1" w:color="CCCCCC"/>
        </w:pBdr>
      </w:pPr>
    </w:p>
    <w:p>
      <w:pPr>
        <w:pStyle w:val="Heading3"/>
        <w:jc w:val="left"/>
      </w:pPr>
      <w:r>
        <w:rPr>
          <w:color w:val="502878"/>
          <w:sz w:val="24"/>
        </w:rPr>
        <w:t>**4. PRICE ACTION &amp; SUPPORT/RESISTANCE**</w:t>
      </w:r>
    </w:p>
    <w:p>
      <w:pPr>
        <w:pStyle w:val="Heading4"/>
        <w:jc w:val="left"/>
      </w:pPr>
      <w:r>
        <w:rPr>
          <w:color w:val="502878"/>
          <w:sz w:val="22"/>
        </w:rPr>
        <w:t>**Critical Levels:**</w:t>
      </w:r>
    </w:p>
    <w:p>
      <w:r>
        <w:rPr>
          <w:b/>
          <w:sz w:val="20"/>
        </w:rPr>
        <w:t>Resistance Levels:</w:t>
      </w:r>
    </w:p>
    <w:p>
      <w:pPr>
        <w:jc w:val="both"/>
      </w:pPr>
      <w:r>
        <w:rPr>
          <w:sz w:val="20"/>
        </w:rPr>
        <w:t xml:space="preserve">1. </w:t>
      </w:r>
      <w:r>
        <w:rPr>
          <w:b/>
          <w:sz w:val="20"/>
        </w:rPr>
        <w:t>R1 (Immediate):</w:t>
      </w:r>
      <w:r>
        <w:rPr>
          <w:sz w:val="20"/>
        </w:rPr>
        <w:t xml:space="preserve"> 9,315-9,320 (May 20 high, 10/50 EMA cluster)</w:t>
      </w:r>
    </w:p>
    <w:p>
      <w:pPr>
        <w:jc w:val="both"/>
      </w:pPr>
      <w:r>
        <w:rPr>
          <w:sz w:val="20"/>
        </w:rPr>
        <w:t xml:space="preserve">2. </w:t>
      </w:r>
      <w:r>
        <w:rPr>
          <w:b/>
          <w:sz w:val="20"/>
        </w:rPr>
        <w:t>R2 (Minor):</w:t>
      </w:r>
      <w:r>
        <w:rPr>
          <w:sz w:val="20"/>
        </w:rPr>
        <w:t xml:space="preserve"> 9,335-9,340 (May 6-7 consolidation zone)</w:t>
      </w:r>
    </w:p>
    <w:p>
      <w:pPr>
        <w:jc w:val="both"/>
      </w:pPr>
      <w:r>
        <w:rPr>
          <w:sz w:val="20"/>
        </w:rPr>
        <w:t xml:space="preserve">3. </w:t>
      </w:r>
      <w:r>
        <w:rPr>
          <w:b/>
          <w:sz w:val="20"/>
        </w:rPr>
        <w:t>R3 (Major):</w:t>
      </w:r>
      <w:r>
        <w:rPr>
          <w:sz w:val="20"/>
        </w:rPr>
        <w:t xml:space="preserve"> 9,355-9,360 (Bollinger Upper Band, April 16 resistance)</w:t>
      </w:r>
    </w:p>
    <w:p>
      <w:pPr>
        <w:jc w:val="both"/>
      </w:pPr>
      <w:r>
        <w:rPr>
          <w:sz w:val="20"/>
        </w:rPr>
        <w:t xml:space="preserve">4. </w:t>
      </w:r>
      <w:r>
        <w:rPr>
          <w:b/>
          <w:sz w:val="20"/>
        </w:rPr>
        <w:t>R4 (Strong):</w:t>
      </w:r>
      <w:r>
        <w:rPr>
          <w:sz w:val="20"/>
        </w:rPr>
        <w:t xml:space="preserve"> 9,410-9,425 (April 20-24 congestion zone)</w:t>
      </w:r>
    </w:p>
    <w:p>
      <w:pPr>
        <w:jc w:val="both"/>
      </w:pPr>
      <w:r>
        <w:rPr>
          <w:sz w:val="20"/>
        </w:rPr>
        <w:t xml:space="preserve">5. </w:t>
      </w:r>
      <w:r>
        <w:rPr>
          <w:b/>
          <w:sz w:val="20"/>
        </w:rPr>
        <w:t>R5 (Critical):</w:t>
      </w:r>
      <w:r>
        <w:rPr>
          <w:sz w:val="20"/>
        </w:rPr>
        <w:t xml:space="preserve"> 9,480-9,485 (200 SMA, psychological level)</w:t>
      </w:r>
    </w:p>
    <w:p>
      <w:r>
        <w:rPr>
          <w:b/>
          <w:sz w:val="20"/>
        </w:rPr>
        <w:t>Support Levels:</w:t>
      </w:r>
    </w:p>
    <w:p>
      <w:pPr>
        <w:jc w:val="both"/>
      </w:pPr>
      <w:r>
        <w:rPr>
          <w:sz w:val="20"/>
        </w:rPr>
        <w:t xml:space="preserve">1. </w:t>
      </w:r>
      <w:r>
        <w:rPr>
          <w:b/>
          <w:sz w:val="20"/>
        </w:rPr>
        <w:t>S1 (Immediate):</w:t>
      </w:r>
      <w:r>
        <w:rPr>
          <w:sz w:val="20"/>
        </w:rPr>
        <w:t xml:space="preserve"> 9,280-9,285 (May 16-19 consolidation)</w:t>
      </w:r>
    </w:p>
    <w:p>
      <w:pPr>
        <w:jc w:val="both"/>
      </w:pPr>
      <w:r>
        <w:rPr>
          <w:sz w:val="20"/>
        </w:rPr>
        <w:t xml:space="preserve">2. </w:t>
      </w:r>
      <w:r>
        <w:rPr>
          <w:b/>
          <w:sz w:val="20"/>
        </w:rPr>
        <w:t>S2 (Minor):</w:t>
      </w:r>
      <w:r>
        <w:rPr>
          <w:sz w:val="20"/>
        </w:rPr>
        <w:t xml:space="preserve"> 9,260-9,265 (May 4 low, multiple tests)</w:t>
      </w:r>
    </w:p>
    <w:p>
      <w:pPr>
        <w:jc w:val="both"/>
      </w:pPr>
      <w:r>
        <w:rPr>
          <w:sz w:val="20"/>
        </w:rPr>
        <w:t xml:space="preserve">3. </w:t>
      </w:r>
      <w:r>
        <w:rPr>
          <w:b/>
          <w:sz w:val="20"/>
        </w:rPr>
        <w:t>S3 (Major):</w:t>
      </w:r>
      <w:r>
        <w:rPr>
          <w:sz w:val="20"/>
        </w:rPr>
        <w:t xml:space="preserve"> 9,235-9,240 (Bollinger Lower Band, April 6-7 support)</w:t>
      </w:r>
    </w:p>
    <w:p>
      <w:pPr>
        <w:jc w:val="both"/>
      </w:pPr>
      <w:r>
        <w:rPr>
          <w:sz w:val="20"/>
        </w:rPr>
        <w:t xml:space="preserve">4. </w:t>
      </w:r>
      <w:r>
        <w:rPr>
          <w:b/>
          <w:sz w:val="20"/>
        </w:rPr>
        <w:t>S4 (Strong):</w:t>
      </w:r>
      <w:r>
        <w:rPr>
          <w:sz w:val="20"/>
        </w:rPr>
        <w:t xml:space="preserve"> 9,210-9,215 (May 1-2 lows, psychological level)</w:t>
      </w:r>
    </w:p>
    <w:p>
      <w:pPr>
        <w:jc w:val="both"/>
      </w:pPr>
      <w:r>
        <w:rPr>
          <w:sz w:val="20"/>
        </w:rPr>
        <w:t xml:space="preserve">5. </w:t>
      </w:r>
      <w:r>
        <w:rPr>
          <w:b/>
          <w:sz w:val="20"/>
        </w:rPr>
        <w:t>S5 (Critical):</w:t>
      </w:r>
      <w:r>
        <w:rPr>
          <w:sz w:val="20"/>
        </w:rPr>
        <w:t xml:space="preserve"> 9,167-9,175 (March 10 low, multi-month support)</w:t>
      </w:r>
    </w:p>
    <w:p>
      <w:pPr>
        <w:pStyle w:val="Heading4"/>
        <w:jc w:val="left"/>
      </w:pPr>
      <w:r>
        <w:rPr>
          <w:color w:val="502878"/>
          <w:sz w:val="22"/>
        </w:rPr>
        <w:t>**Recent Price Action:**</w:t>
      </w:r>
    </w:p>
    <w:p>
      <w:pPr>
        <w:pBdr>
          <w:bottom w:val="single" w:sz="6" w:space="1" w:color="CCCCCC"/>
        </w:pBdr>
      </w:pPr>
    </w:p>
    <w:p>
      <w:pPr>
        <w:pStyle w:val="Heading3"/>
        <w:jc w:val="left"/>
      </w:pPr>
      <w:r>
        <w:rPr>
          <w:color w:val="502878"/>
          <w:sz w:val="24"/>
        </w:rPr>
        <w:t>**5. TREND STRUCTURE &amp; PATTERNS**</w:t>
      </w:r>
    </w:p>
    <w:p>
      <w:pPr>
        <w:pStyle w:val="Heading4"/>
        <w:jc w:val="left"/>
      </w:pPr>
      <w:r>
        <w:rPr>
          <w:color w:val="502878"/>
          <w:sz w:val="22"/>
        </w:rPr>
        <w:t>**Identified Pattern: Descending Triangle (Bearish Bias)**</w:t>
      </w:r>
    </w:p>
    <w:p>
      <w:pPr>
        <w:pStyle w:val="Heading4"/>
        <w:jc w:val="left"/>
      </w:pPr>
      <w:r>
        <w:rPr>
          <w:color w:val="502878"/>
          <w:sz w:val="22"/>
        </w:rPr>
        <w:t>**Elliott Wave Analysis:**</w:t>
      </w:r>
    </w:p>
    <w:p>
      <w:pPr>
        <w:jc w:val="both"/>
      </w:pPr>
      <w:r>
        <w:rPr>
          <w:sz w:val="22"/>
        </w:rPr>
        <w:t xml:space="preserve">The April rally to 9,447 represents a </w:t>
      </w:r>
      <w:r>
        <w:rPr>
          <w:b/>
          <w:sz w:val="22"/>
        </w:rPr>
        <w:t>Wave A corrective bounce</w:t>
      </w:r>
      <w:r>
        <w:rPr>
          <w:sz w:val="22"/>
        </w:rPr>
        <w:t xml:space="preserve"> (57% Fibonacci retracement). Current decline may be </w:t>
      </w:r>
      <w:r>
        <w:rPr>
          <w:b/>
          <w:sz w:val="22"/>
        </w:rPr>
        <w:t>Wave B</w:t>
      </w:r>
      <w:r>
        <w:rPr>
          <w:sz w:val="22"/>
        </w:rPr>
        <w:t xml:space="preserve"> (pullback), with potential Wave C rally ahead if support holds.</w:t>
      </w:r>
    </w:p>
    <w:p>
      <w:pPr>
        <w:pBdr>
          <w:bottom w:val="single" w:sz="6" w:space="1" w:color="CCCCCC"/>
        </w:pBdr>
      </w:pPr>
    </w:p>
    <w:p>
      <w:pPr>
        <w:pStyle w:val="Heading3"/>
        <w:jc w:val="left"/>
      </w:pPr>
      <w:r>
        <w:rPr>
          <w:color w:val="502878"/>
          <w:sz w:val="24"/>
        </w:rPr>
        <w:t>**6. VOLUME &amp; MARKET STRUCTURE INSIGHTS**</w:t>
      </w:r>
    </w:p>
    <w:p>
      <w:pPr>
        <w:jc w:val="both"/>
      </w:pPr>
      <w:r>
        <w:rPr>
          <w:i/>
          <w:sz w:val="22"/>
        </w:rPr>
        <w:t>Note: BOOM150N data shows uniform volume of 1.0 across all periods, typical for Deriv synthetic indices. Volume analysis is therefore limited, and we focus on price structure and momentum instead.</w:t>
      </w:r>
    </w:p>
    <w:p>
      <w:pPr>
        <w:pStyle w:val="Heading4"/>
        <w:jc w:val="left"/>
      </w:pPr>
      <w:r>
        <w:rPr>
          <w:color w:val="502878"/>
          <w:sz w:val="22"/>
        </w:rPr>
        <w:t>**Synthetic Index Characteristics:**</w:t>
      </w:r>
    </w:p>
    <w:p>
      <w:pPr>
        <w:pStyle w:val="Heading4"/>
        <w:jc w:val="left"/>
      </w:pPr>
      <w:r>
        <w:rPr>
          <w:color w:val="502878"/>
          <w:sz w:val="22"/>
        </w:rPr>
        <w:t>**Recent Market Behavior:**</w:t>
      </w:r>
    </w:p>
    <w:p>
      <w:pPr>
        <w:pBdr>
          <w:bottom w:val="single" w:sz="6" w:space="1" w:color="CCCCCC"/>
        </w:pBdr>
      </w:pPr>
    </w:p>
    <w:p>
      <w:pPr>
        <w:pStyle w:val="Heading3"/>
        <w:jc w:val="left"/>
      </w:pPr>
      <w:r>
        <w:rPr>
          <w:color w:val="502878"/>
          <w:sz w:val="24"/>
        </w:rPr>
        <w:t>**7. RISK ASSESSMENT &amp; SCENARIO ANALYSIS**</w:t>
      </w:r>
    </w:p>
    <w:p>
      <w:pPr>
        <w:pStyle w:val="Heading4"/>
        <w:jc w:val="left"/>
      </w:pPr>
      <w:r>
        <w:rPr>
          <w:color w:val="502878"/>
          <w:sz w:val="22"/>
        </w:rPr>
        <w:t>**Bullish Scenario (35% Probability):**</w:t>
      </w:r>
    </w:p>
    <w:p>
      <w:r>
        <w:rPr>
          <w:b/>
          <w:sz w:val="20"/>
        </w:rPr>
        <w:t>Price Targets:</w:t>
      </w:r>
    </w:p>
    <w:p>
      <w:pPr>
        <w:jc w:val="both"/>
      </w:pPr>
      <w:r>
        <w:rPr>
          <w:sz w:val="20"/>
        </w:rPr>
        <w:t>- Initial: 9,355-9,360 (Bollinger upper band)</w:t>
      </w:r>
    </w:p>
    <w:p>
      <w:pPr>
        <w:jc w:val="both"/>
      </w:pPr>
      <w:r>
        <w:rPr>
          <w:sz w:val="20"/>
        </w:rPr>
        <w:t>- Secondary: 9,410-9,425 (April resistance cluster)</w:t>
      </w:r>
    </w:p>
    <w:p>
      <w:pPr>
        <w:jc w:val="both"/>
      </w:pPr>
      <w:r>
        <w:rPr>
          <w:sz w:val="20"/>
        </w:rPr>
        <w:t>- Extended: 9,480-9,485 (200 SMA test)</w:t>
      </w:r>
    </w:p>
    <w:p>
      <w:pPr>
        <w:jc w:val="both"/>
      </w:pPr>
      <w:r>
        <w:rPr>
          <w:b/>
          <w:sz w:val="22"/>
        </w:rPr>
        <w:t>Risk:</w:t>
      </w:r>
      <w:r>
        <w:rPr>
          <w:sz w:val="22"/>
        </w:rPr>
        <w:t xml:space="preserve"> False breakout leads to whipsaw and rapid reversal to 9,260 support</w:t>
      </w:r>
    </w:p>
    <w:p>
      <w:pPr>
        <w:pStyle w:val="Heading4"/>
        <w:jc w:val="left"/>
      </w:pPr>
      <w:r>
        <w:rPr>
          <w:color w:val="502878"/>
          <w:sz w:val="22"/>
        </w:rPr>
        <w:t>**Bearish Scenario (50% Probability):**</w:t>
      </w:r>
    </w:p>
    <w:p>
      <w:r>
        <w:rPr>
          <w:b/>
          <w:sz w:val="20"/>
        </w:rPr>
        <w:t>Price Targets:</w:t>
      </w:r>
    </w:p>
    <w:p>
      <w:pPr>
        <w:jc w:val="both"/>
      </w:pPr>
      <w:r>
        <w:rPr>
          <w:sz w:val="20"/>
        </w:rPr>
        <w:t>- Initial: 9,235-9,240 (Bollinger lower band)</w:t>
      </w:r>
    </w:p>
    <w:p>
      <w:pPr>
        <w:jc w:val="both"/>
      </w:pPr>
      <w:r>
        <w:rPr>
          <w:sz w:val="20"/>
        </w:rPr>
        <w:t>- Secondary: 9,210-9,215 (psychological support)</w:t>
      </w:r>
    </w:p>
    <w:p>
      <w:pPr>
        <w:jc w:val="both"/>
      </w:pPr>
      <w:r>
        <w:rPr>
          <w:sz w:val="20"/>
        </w:rPr>
        <w:t>- Extended: 9,167-9,175 (March low retest)</w:t>
      </w:r>
    </w:p>
    <w:p>
      <w:pPr>
        <w:jc w:val="both"/>
      </w:pPr>
      <w:r>
        <w:rPr>
          <w:b/>
          <w:sz w:val="22"/>
        </w:rPr>
        <w:t>Risk:</w:t>
      </w:r>
      <w:r>
        <w:rPr>
          <w:sz w:val="22"/>
        </w:rPr>
        <w:t xml:space="preserve"> Support at 9,260 holds and price whipsaws back to 9,300+</w:t>
      </w:r>
    </w:p>
    <w:p>
      <w:pPr>
        <w:pStyle w:val="Heading4"/>
        <w:jc w:val="left"/>
      </w:pPr>
      <w:r>
        <w:rPr>
          <w:color w:val="502878"/>
          <w:sz w:val="22"/>
        </w:rPr>
        <w:t>**Consolidation Scenario (15% Probability):**</w:t>
      </w:r>
    </w:p>
    <w:p>
      <w:pPr>
        <w:jc w:val="both"/>
      </w:pPr>
      <w:r>
        <w:rPr>
          <w:b/>
          <w:sz w:val="22"/>
        </w:rPr>
        <w:t>Expected Range:</w:t>
      </w:r>
      <w:r>
        <w:rPr>
          <w:sz w:val="22"/>
        </w:rPr>
        <w:t xml:space="preserve"> 9,260-9,320 (60-point range, 0.65% bandwidth)</w:t>
      </w:r>
    </w:p>
    <w:p>
      <w:pPr>
        <w:jc w:val="both"/>
      </w:pPr>
      <w:r>
        <w:rPr>
          <w:b/>
          <w:sz w:val="22"/>
        </w:rPr>
        <w:t>Resolution:</w:t>
      </w:r>
      <w:r>
        <w:rPr>
          <w:sz w:val="22"/>
        </w:rPr>
        <w:t xml:space="preserve"> Likely resolves with volatility expansion after 7-10 days of compression</w:t>
      </w:r>
    </w:p>
    <w:p>
      <w:pPr>
        <w:pBdr>
          <w:bottom w:val="single" w:sz="6" w:space="1" w:color="CCCCCC"/>
        </w:pBdr>
      </w:pPr>
    </w:p>
    <w:p>
      <w:pPr>
        <w:pStyle w:val="Heading3"/>
        <w:jc w:val="left"/>
      </w:pPr>
      <w:r>
        <w:rPr>
          <w:color w:val="502878"/>
          <w:sz w:val="24"/>
        </w:rPr>
        <w:t>**8. INDICATOR CONFLUENCE &amp; SIGNAL STRENGTH**</w:t>
      </w:r>
    </w:p>
    <w:p>
      <w:pPr>
        <w:pStyle w:val="Heading4"/>
        <w:jc w:val="left"/>
      </w:pPr>
      <w:r>
        <w:rPr>
          <w:color w:val="502878"/>
          <w:sz w:val="22"/>
        </w:rPr>
        <w:t>**Current Signals Summary:**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C78"/>
          </w:tcPr>
          <w:p>
            <w:r/>
            <w:r>
              <w:rPr>
                <w:b/>
                <w:color w:val="FFFFFF"/>
                <w:sz w:val="18"/>
              </w:rPr>
              <w:t>Indicator</w:t>
            </w:r>
          </w:p>
        </w:tc>
        <w:tc>
          <w:tcPr>
            <w:tcW w:type="dxa" w:w="2160"/>
            <w:shd w:val="clear" w:color="auto" w:fill="1F3C78"/>
          </w:tcPr>
          <w:p>
            <w:r/>
            <w:r>
              <w:rPr>
                <w:b/>
                <w:color w:val="FFFFFF"/>
                <w:sz w:val="18"/>
              </w:rPr>
              <w:t>Signal</w:t>
            </w:r>
          </w:p>
        </w:tc>
        <w:tc>
          <w:tcPr>
            <w:tcW w:type="dxa" w:w="2160"/>
            <w:shd w:val="clear" w:color="auto" w:fill="1F3C78"/>
          </w:tcPr>
          <w:p>
            <w:r/>
            <w:r>
              <w:rPr>
                <w:b/>
                <w:color w:val="FFFFFF"/>
                <w:sz w:val="18"/>
              </w:rPr>
              <w:t>Strength</w:t>
            </w:r>
          </w:p>
        </w:tc>
        <w:tc>
          <w:tcPr>
            <w:tcW w:type="dxa" w:w="2160"/>
            <w:shd w:val="clear" w:color="auto" w:fill="1F3C78"/>
          </w:tcPr>
          <w:p>
            <w:r/>
            <w:r>
              <w:rPr>
                <w:b/>
                <w:color w:val="FFFFFF"/>
                <w:sz w:val="18"/>
              </w:rPr>
              <w:t>Direction</w:t>
            </w:r>
          </w:p>
        </w:tc>
      </w:tr>
      <w:tr>
        <w:tc>
          <w:tcPr>
            <w:tcW w:type="dxa" w:w="2160"/>
            <w:shd w:val="clear" w:color="auto" w:fill="EEF4FF"/>
          </w:tcPr>
          <w:p>
            <w:r/>
            <w:r>
              <w:rPr>
                <w:sz w:val="18"/>
              </w:rPr>
              <w:t>200 SMA</w:t>
            </w:r>
          </w:p>
        </w:tc>
        <w:tc>
          <w:tcPr>
            <w:tcW w:type="dxa" w:w="2160"/>
            <w:shd w:val="clear" w:color="auto" w:fill="EEF4FF"/>
          </w:tcPr>
          <w:p>
            <w:r/>
            <w:r>
              <w:rPr>
                <w:sz w:val="18"/>
              </w:rPr>
              <w:t>Bearish</w:t>
            </w:r>
          </w:p>
        </w:tc>
        <w:tc>
          <w:tcPr>
            <w:tcW w:type="dxa" w:w="2160"/>
            <w:shd w:val="clear" w:color="auto" w:fill="EEF4FF"/>
          </w:tcPr>
          <w:p>
            <w:r/>
            <w:r>
              <w:rPr>
                <w:sz w:val="18"/>
              </w:rPr>
              <w:t>Strong</w:t>
            </w:r>
          </w:p>
        </w:tc>
        <w:tc>
          <w:tcPr>
            <w:tcW w:type="dxa" w:w="2160"/>
            <w:shd w:val="clear" w:color="auto" w:fill="EEF4FF"/>
          </w:tcPr>
          <w:p>
            <w:r/>
            <w:r>
              <w:rPr>
                <w:sz w:val="18"/>
              </w:rPr>
              <w:t>Price below, SMA declining</w:t>
            </w:r>
          </w:p>
        </w:tc>
      </w:tr>
      <w:tr>
        <w:tc>
          <w:tcPr>
            <w:tcW w:type="dxa" w:w="2160"/>
            <w:shd w:val="clear" w:color="auto" w:fill="FFFFFF"/>
          </w:tcPr>
          <w:p>
            <w:r/>
            <w:r>
              <w:rPr>
                <w:sz w:val="18"/>
              </w:rPr>
              <w:t>50 SMA</w:t>
            </w:r>
          </w:p>
        </w:tc>
        <w:tc>
          <w:tcPr>
            <w:tcW w:type="dxa" w:w="2160"/>
            <w:shd w:val="clear" w:color="auto" w:fill="FFFFFF"/>
          </w:tcPr>
          <w:p>
            <w:r/>
            <w:r>
              <w:rPr>
                <w:sz w:val="18"/>
              </w:rPr>
              <w:t>Neutral</w:t>
            </w:r>
          </w:p>
        </w:tc>
        <w:tc>
          <w:tcPr>
            <w:tcW w:type="dxa" w:w="2160"/>
            <w:shd w:val="clear" w:color="auto" w:fill="FFFFFF"/>
          </w:tcPr>
          <w:p>
            <w:r/>
            <w:r>
              <w:rPr>
                <w:sz w:val="18"/>
              </w:rPr>
              <w:t>Moderate</w:t>
            </w:r>
          </w:p>
        </w:tc>
        <w:tc>
          <w:tcPr>
            <w:tcW w:type="dxa" w:w="2160"/>
            <w:shd w:val="clear" w:color="auto" w:fill="FFFFFF"/>
          </w:tcPr>
          <w:p>
            <w:r/>
            <w:r>
              <w:rPr>
                <w:sz w:val="18"/>
              </w:rPr>
              <w:t>Price at SMA, testing</w:t>
            </w:r>
          </w:p>
        </w:tc>
      </w:tr>
      <w:tr>
        <w:tc>
          <w:tcPr>
            <w:tcW w:type="dxa" w:w="2160"/>
            <w:shd w:val="clear" w:color="auto" w:fill="EEF4FF"/>
          </w:tcPr>
          <w:p>
            <w:r/>
            <w:r>
              <w:rPr>
                <w:sz w:val="18"/>
              </w:rPr>
              <w:t>10 EMA</w:t>
            </w:r>
          </w:p>
        </w:tc>
        <w:tc>
          <w:tcPr>
            <w:tcW w:type="dxa" w:w="2160"/>
            <w:shd w:val="clear" w:color="auto" w:fill="EEF4FF"/>
          </w:tcPr>
          <w:p>
            <w:r/>
            <w:r>
              <w:rPr>
                <w:sz w:val="18"/>
              </w:rPr>
              <w:t>Neutral</w:t>
            </w:r>
          </w:p>
        </w:tc>
        <w:tc>
          <w:tcPr>
            <w:tcW w:type="dxa" w:w="2160"/>
            <w:shd w:val="clear" w:color="auto" w:fill="EEF4FF"/>
          </w:tcPr>
          <w:p>
            <w:r/>
            <w:r>
              <w:rPr>
                <w:sz w:val="18"/>
              </w:rPr>
              <w:t>Weak</w:t>
            </w:r>
          </w:p>
        </w:tc>
        <w:tc>
          <w:tcPr>
            <w:tcW w:type="dxa" w:w="2160"/>
            <w:shd w:val="clear" w:color="auto" w:fill="EEF4FF"/>
          </w:tcPr>
          <w:p>
            <w:r/>
            <w:r>
              <w:rPr>
                <w:sz w:val="18"/>
              </w:rPr>
              <w:t>Price at EMA</w:t>
            </w:r>
          </w:p>
        </w:tc>
      </w:tr>
      <w:tr>
        <w:tc>
          <w:tcPr>
            <w:tcW w:type="dxa" w:w="2160"/>
            <w:shd w:val="clear" w:color="auto" w:fill="FFFFFF"/>
          </w:tcPr>
          <w:p>
            <w:r/>
            <w:r>
              <w:rPr>
                <w:sz w:val="18"/>
              </w:rPr>
              <w:t>RSI</w:t>
            </w:r>
          </w:p>
        </w:tc>
        <w:tc>
          <w:tcPr>
            <w:tcW w:type="dxa" w:w="2160"/>
            <w:shd w:val="clear" w:color="auto" w:fill="FFFFFF"/>
          </w:tcPr>
          <w:p>
            <w:r/>
            <w:r>
              <w:rPr>
                <w:sz w:val="18"/>
              </w:rPr>
              <w:t>Neutral</w:t>
            </w:r>
          </w:p>
        </w:tc>
        <w:tc>
          <w:tcPr>
            <w:tcW w:type="dxa" w:w="2160"/>
            <w:shd w:val="clear" w:color="auto" w:fill="FFFFFF"/>
          </w:tcPr>
          <w:p>
            <w:r/>
            <w:r>
              <w:rPr>
                <w:sz w:val="18"/>
              </w:rPr>
              <w:t>Weak</w:t>
            </w:r>
          </w:p>
        </w:tc>
        <w:tc>
          <w:tcPr>
            <w:tcW w:type="dxa" w:w="2160"/>
            <w:shd w:val="clear" w:color="auto" w:fill="FFFFFF"/>
          </w:tcPr>
          <w:p>
            <w:r/>
            <w:r>
              <w:rPr>
                <w:sz w:val="18"/>
              </w:rPr>
              <w:t>49.34, no clear bias</w:t>
            </w:r>
          </w:p>
        </w:tc>
      </w:tr>
      <w:tr>
        <w:tc>
          <w:tcPr>
            <w:tcW w:type="dxa" w:w="2160"/>
            <w:shd w:val="clear" w:color="auto" w:fill="EEF4FF"/>
          </w:tcPr>
          <w:p>
            <w:r/>
            <w:r>
              <w:rPr>
                <w:sz w:val="18"/>
              </w:rPr>
              <w:t>MACD</w:t>
            </w:r>
          </w:p>
        </w:tc>
        <w:tc>
          <w:tcPr>
            <w:tcW w:type="dxa" w:w="2160"/>
            <w:shd w:val="clear" w:color="auto" w:fill="EEF4FF"/>
          </w:tcPr>
          <w:p>
            <w:r/>
            <w:r>
              <w:rPr>
                <w:sz w:val="18"/>
              </w:rPr>
              <w:t>Bullish</w:t>
            </w:r>
          </w:p>
        </w:tc>
        <w:tc>
          <w:tcPr>
            <w:tcW w:type="dxa" w:w="2160"/>
            <w:shd w:val="clear" w:color="auto" w:fill="EEF4FF"/>
          </w:tcPr>
          <w:p>
            <w:r/>
            <w:r>
              <w:rPr>
                <w:sz w:val="18"/>
              </w:rPr>
              <w:t>Very Weak</w:t>
            </w:r>
          </w:p>
        </w:tc>
        <w:tc>
          <w:tcPr>
            <w:tcW w:type="dxa" w:w="2160"/>
            <w:shd w:val="clear" w:color="auto" w:fill="EEF4FF"/>
          </w:tcPr>
          <w:p>
            <w:r/>
            <w:r>
              <w:rPr>
                <w:sz w:val="18"/>
              </w:rPr>
              <w:t>Crossover but near zero</w:t>
            </w:r>
          </w:p>
        </w:tc>
      </w:tr>
      <w:tr>
        <w:tc>
          <w:tcPr>
            <w:tcW w:type="dxa" w:w="2160"/>
            <w:shd w:val="clear" w:color="auto" w:fill="FFFFFF"/>
          </w:tcPr>
          <w:p>
            <w:r/>
            <w:r>
              <w:rPr>
                <w:sz w:val="18"/>
              </w:rPr>
              <w:t>MACD Histogram</w:t>
            </w:r>
          </w:p>
        </w:tc>
        <w:tc>
          <w:tcPr>
            <w:tcW w:type="dxa" w:w="2160"/>
            <w:shd w:val="clear" w:color="auto" w:fill="FFFFFF"/>
          </w:tcPr>
          <w:p>
            <w:r/>
            <w:r>
              <w:rPr>
                <w:sz w:val="18"/>
              </w:rPr>
              <w:t>Bullish</w:t>
            </w:r>
          </w:p>
        </w:tc>
        <w:tc>
          <w:tcPr>
            <w:tcW w:type="dxa" w:w="2160"/>
            <w:shd w:val="clear" w:color="auto" w:fill="FFFFFF"/>
          </w:tcPr>
          <w:p>
            <w:r/>
            <w:r>
              <w:rPr>
                <w:sz w:val="18"/>
              </w:rPr>
              <w:t>Very Weak</w:t>
            </w:r>
          </w:p>
        </w:tc>
        <w:tc>
          <w:tcPr>
            <w:tcW w:type="dxa" w:w="2160"/>
            <w:shd w:val="clear" w:color="auto" w:fill="FFFFFF"/>
          </w:tcPr>
          <w:p>
            <w:r/>
            <w:r>
              <w:rPr>
                <w:sz w:val="18"/>
              </w:rPr>
              <w:t>+0.054, minimal</w:t>
            </w:r>
          </w:p>
        </w:tc>
      </w:tr>
      <w:tr>
        <w:tc>
          <w:tcPr>
            <w:tcW w:type="dxa" w:w="2160"/>
            <w:shd w:val="clear" w:color="auto" w:fill="EEF4FF"/>
          </w:tcPr>
          <w:p>
            <w:r/>
            <w:r>
              <w:rPr>
                <w:sz w:val="18"/>
              </w:rPr>
              <w:t>Bollinger Bands</w:t>
            </w:r>
          </w:p>
        </w:tc>
        <w:tc>
          <w:tcPr>
            <w:tcW w:type="dxa" w:w="2160"/>
            <w:shd w:val="clear" w:color="auto" w:fill="EEF4FF"/>
          </w:tcPr>
          <w:p>
            <w:r/>
            <w:r>
              <w:rPr>
                <w:sz w:val="18"/>
              </w:rPr>
              <w:t>Neutral</w:t>
            </w:r>
          </w:p>
        </w:tc>
        <w:tc>
          <w:tcPr>
            <w:tcW w:type="dxa" w:w="2160"/>
            <w:shd w:val="clear" w:color="auto" w:fill="EEF4FF"/>
          </w:tcPr>
          <w:p>
            <w:r/>
            <w:r>
              <w:rPr>
                <w:sz w:val="18"/>
              </w:rPr>
              <w:t>Moderate</w:t>
            </w:r>
          </w:p>
        </w:tc>
        <w:tc>
          <w:tcPr>
            <w:tcW w:type="dxa" w:w="2160"/>
            <w:shd w:val="clear" w:color="auto" w:fill="EEF4FF"/>
          </w:tcPr>
          <w:p>
            <w:r/>
            <w:r>
              <w:rPr>
                <w:sz w:val="18"/>
              </w:rPr>
              <w:t>Price at middle, squeeze</w:t>
            </w:r>
          </w:p>
        </w:tc>
      </w:tr>
      <w:tr>
        <w:tc>
          <w:tcPr>
            <w:tcW w:type="dxa" w:w="2160"/>
            <w:shd w:val="clear" w:color="auto" w:fill="FFFFFF"/>
          </w:tcPr>
          <w:p>
            <w:r/>
            <w:r>
              <w:rPr>
                <w:sz w:val="18"/>
              </w:rPr>
              <w:t>ATR</w:t>
            </w:r>
          </w:p>
        </w:tc>
        <w:tc>
          <w:tcPr>
            <w:tcW w:type="dxa" w:w="2160"/>
            <w:shd w:val="clear" w:color="auto" w:fill="FFFFFF"/>
          </w:tcPr>
          <w:p>
            <w:r/>
            <w:r>
              <w:rPr>
                <w:sz w:val="18"/>
              </w:rPr>
              <w:t>Declining</w:t>
            </w:r>
          </w:p>
        </w:tc>
        <w:tc>
          <w:tcPr>
            <w:tcW w:type="dxa" w:w="2160"/>
            <w:shd w:val="clear" w:color="auto" w:fill="FFFFFF"/>
          </w:tcPr>
          <w:p>
            <w:r/>
            <w:r>
              <w:rPr>
                <w:sz w:val="18"/>
              </w:rPr>
              <w:t>Moderate</w:t>
            </w:r>
          </w:p>
        </w:tc>
        <w:tc>
          <w:tcPr>
            <w:tcW w:type="dxa" w:w="2160"/>
            <w:shd w:val="clear" w:color="auto" w:fill="FFFFFF"/>
          </w:tcPr>
          <w:p>
            <w:r/>
            <w:r>
              <w:rPr>
                <w:sz w:val="18"/>
              </w:rPr>
              <w:t>Volatility compression</w:t>
            </w:r>
          </w:p>
        </w:tc>
      </w:tr>
    </w:tbl>
    <w:p/>
    <w:p>
      <w:pPr>
        <w:pStyle w:val="Heading4"/>
        <w:jc w:val="left"/>
      </w:pPr>
      <w:r>
        <w:rPr>
          <w:color w:val="502878"/>
          <w:sz w:val="22"/>
        </w:rPr>
        <w:t>**Confluence Analysis:**</w:t>
      </w:r>
    </w:p>
    <w:p>
      <w:pPr>
        <w:jc w:val="both"/>
      </w:pPr>
      <w:r>
        <w:rPr>
          <w:b/>
          <w:sz w:val="22"/>
        </w:rPr>
        <w:t>Overall Assessment:</w:t>
      </w:r>
      <w:r>
        <w:rPr>
          <w:sz w:val="22"/>
        </w:rPr>
        <w:t xml:space="preserve"> </w:t>
      </w:r>
      <w:r>
        <w:rPr>
          <w:b/>
          <w:sz w:val="22"/>
        </w:rPr>
        <w:t>NEUTRAL-TO-BEARISH</w:t>
      </w:r>
      <w:r>
        <w:rPr>
          <w:sz w:val="22"/>
        </w:rPr>
        <w:t xml:space="preserve"> with 62.5% of indicators showing neutral-to-negative signals. The market is at a critical infl</w:t>
      </w:r>
    </w:p>
    <w:p>
      <w:pPr>
        <w:pBdr>
          <w:bottom w:val="single" w:sz="6" w:space="1" w:color="CCCCCC"/>
        </w:pBdr>
      </w:pPr>
    </w:p>
    <w:p>
      <w:pPr>
        <w:pStyle w:val="Heading2"/>
        <w:jc w:val="left"/>
      </w:pPr>
      <w:r>
        <w:rPr>
          <w:color w:val="783C00"/>
        </w:rPr>
        <w:t>Rapport Sentiment / Social</w:t>
      </w:r>
    </w:p>
    <w:p>
      <w:pPr>
        <w:pStyle w:val="Heading2"/>
        <w:jc w:val="left"/>
      </w:pPr>
      <w:r>
        <w:rPr>
          <w:color w:val="783C00"/>
          <w:sz w:val="28"/>
        </w:rPr>
        <w:t>Sentiment Analysis Report: BOOM150N</w:t>
      </w:r>
    </w:p>
    <w:p>
      <w:pPr>
        <w:pBdr>
          <w:bottom w:val="single" w:sz="6" w:space="1" w:color="CCCCCC"/>
        </w:pBdr>
      </w:pPr>
    </w:p>
    <w:p>
      <w:pPr>
        <w:pStyle w:val="Heading3"/>
        <w:jc w:val="left"/>
      </w:pPr>
      <w:r>
        <w:rPr>
          <w:color w:val="783C00"/>
          <w:sz w:val="24"/>
        </w:rPr>
        <w:t>1. Overall Sentiment Direction</w:t>
      </w:r>
    </w:p>
    <w:p>
      <w:pPr>
        <w:jc w:val="both"/>
      </w:pPr>
      <w:r>
        <w:rPr>
          <w:b/>
          <w:sz w:val="22"/>
        </w:rPr>
        <w:t>Sentiment: NEUTRAL (Insufficient Data)</w:t>
      </w:r>
    </w:p>
    <w:p>
      <w:pPr>
        <w:jc w:val="both"/>
      </w:pPr>
      <w:r>
        <w:rPr>
          <w:b/>
          <w:sz w:val="22"/>
        </w:rPr>
        <w:t>Confidence Level: Very Low</w:t>
      </w:r>
    </w:p>
    <w:p>
      <w:pPr>
        <w:jc w:val="both"/>
      </w:pPr>
      <w:r>
        <w:rPr>
          <w:sz w:val="22"/>
        </w:rPr>
        <w:t xml:space="preserve">The sentiment analysis for BOOM150N is severely constrained by a </w:t>
      </w:r>
      <w:r>
        <w:rPr>
          <w:b/>
          <w:sz w:val="22"/>
        </w:rPr>
        <w:t>complete absence of actionable data</w:t>
      </w:r>
      <w:r>
        <w:rPr>
          <w:sz w:val="22"/>
        </w:rPr>
        <w:t xml:space="preserve"> across all three sources:</w:t>
      </w:r>
    </w:p>
    <w:p>
      <w:pPr>
        <w:pStyle w:val="ListBullet"/>
      </w:pPr>
      <w:r>
        <w:rPr>
          <w:b/>
          <w:sz w:val="20"/>
        </w:rPr>
        <w:t>News:</w:t>
      </w:r>
      <w:r>
        <w:rPr>
          <w:sz w:val="20"/>
        </w:rPr>
        <w:t xml:space="preserve"> No relevant headlines found</w:t>
      </w:r>
    </w:p>
    <w:p>
      <w:pPr>
        <w:pStyle w:val="ListBullet"/>
      </w:pPr>
      <w:r>
        <w:rPr>
          <w:b/>
          <w:sz w:val="20"/>
        </w:rPr>
        <w:t>StockTwits:</w:t>
      </w:r>
      <w:r>
        <w:rPr>
          <w:sz w:val="20"/>
        </w:rPr>
        <w:t xml:space="preserve"> Service unavailable (HTTPError)</w:t>
      </w:r>
    </w:p>
    <w:p>
      <w:pPr>
        <w:pStyle w:val="ListBullet"/>
      </w:pPr>
      <w:r>
        <w:rPr>
          <w:b/>
          <w:sz w:val="20"/>
        </w:rPr>
        <w:t>Reddit:</w:t>
      </w:r>
      <w:r>
        <w:rPr>
          <w:sz w:val="20"/>
        </w:rPr>
        <w:t xml:space="preserve"> No mentions across r/wallstreetbets, r/stocks, or r/investing</w:t>
      </w:r>
    </w:p>
    <w:p>
      <w:pPr>
        <w:jc w:val="both"/>
      </w:pPr>
      <w:r>
        <w:rPr>
          <w:sz w:val="20"/>
        </w:rPr>
        <w:t>This data void suggests BOOM150N is either:</w:t>
      </w:r>
    </w:p>
    <w:p>
      <w:pPr>
        <w:jc w:val="both"/>
      </w:pPr>
      <w:r>
        <w:rPr>
          <w:sz w:val="20"/>
        </w:rPr>
        <w:t xml:space="preserve">1. A </w:t>
      </w:r>
      <w:r>
        <w:rPr>
          <w:b/>
          <w:sz w:val="20"/>
        </w:rPr>
        <w:t>highly illiquid or obscure instrument</w:t>
      </w:r>
      <w:r>
        <w:rPr>
          <w:sz w:val="20"/>
        </w:rPr>
        <w:t xml:space="preserve"> with minimal retail and institutional attention</w:t>
      </w:r>
    </w:p>
    <w:p>
      <w:pPr>
        <w:jc w:val="both"/>
      </w:pPr>
      <w:r>
        <w:rPr>
          <w:sz w:val="20"/>
        </w:rPr>
        <w:t xml:space="preserve">2. A </w:t>
      </w:r>
      <w:r>
        <w:rPr>
          <w:b/>
          <w:sz w:val="20"/>
        </w:rPr>
        <w:t>specialized synthetic index or derivative</w:t>
      </w:r>
      <w:r>
        <w:rPr>
          <w:sz w:val="20"/>
        </w:rPr>
        <w:t xml:space="preserve"> (given the naming pattern) that trades outside mainstream social/news channels</w:t>
      </w:r>
    </w:p>
    <w:p>
      <w:pPr>
        <w:jc w:val="both"/>
      </w:pPr>
      <w:r>
        <w:rPr>
          <w:sz w:val="20"/>
        </w:rPr>
        <w:t xml:space="preserve">3. A </w:t>
      </w:r>
      <w:r>
        <w:rPr>
          <w:b/>
          <w:sz w:val="20"/>
        </w:rPr>
        <w:t>newly listed or delisted instrument</w:t>
      </w:r>
      <w:r>
        <w:rPr>
          <w:sz w:val="20"/>
        </w:rPr>
        <w:t xml:space="preserve"> with no recent market activity</w:t>
      </w:r>
    </w:p>
    <w:p>
      <w:pPr>
        <w:jc w:val="both"/>
      </w:pPr>
      <w:r>
        <w:rPr>
          <w:sz w:val="20"/>
        </w:rPr>
        <w:t xml:space="preserve">4. Potentially </w:t>
      </w:r>
      <w:r>
        <w:rPr>
          <w:b/>
          <w:sz w:val="20"/>
        </w:rPr>
        <w:t>misidentified ticker</w:t>
      </w:r>
      <w:r>
        <w:rPr>
          <w:sz w:val="20"/>
        </w:rPr>
        <w:t xml:space="preserve"> that requires exchange suffix or alternative symbol lookup</w:t>
      </w:r>
    </w:p>
    <w:p>
      <w:pPr>
        <w:jc w:val="both"/>
      </w:pPr>
      <w:r>
        <w:rPr>
          <w:b/>
          <w:sz w:val="22"/>
        </w:rPr>
        <w:t>Without corroborating sentiment data, no directional bias can be established.</w:t>
      </w:r>
      <w:r>
        <w:rPr>
          <w:sz w:val="22"/>
        </w:rPr>
        <w:t xml:space="preserve"> The silence itself is a signal - this instrument operates in a sentiment vacuum.</w:t>
      </w:r>
    </w:p>
    <w:p>
      <w:pPr>
        <w:pBdr>
          <w:bottom w:val="single" w:sz="6" w:space="1" w:color="CCCCCC"/>
        </w:pBdr>
      </w:pPr>
    </w:p>
    <w:p>
      <w:pPr>
        <w:pStyle w:val="Heading3"/>
        <w:jc w:val="left"/>
      </w:pPr>
      <w:r>
        <w:rPr>
          <w:color w:val="783C00"/>
          <w:sz w:val="24"/>
        </w:rPr>
        <w:t>2. Source-by-Source Breakdown</w:t>
      </w:r>
    </w:p>
    <w:p>
      <w:pPr>
        <w:pStyle w:val="Heading4"/>
        <w:jc w:val="left"/>
      </w:pPr>
      <w:r>
        <w:rPr>
          <w:color w:val="783C00"/>
          <w:sz w:val="22"/>
        </w:rPr>
        <w:t>A. News Headlines (Yahoo Finance)</w:t>
      </w:r>
    </w:p>
    <w:p>
      <w:r>
        <w:rPr>
          <w:b/>
          <w:sz w:val="20"/>
        </w:rPr>
        <w:t>Analysis:</w:t>
      </w:r>
    </w:p>
    <w:p>
      <w:pPr>
        <w:jc w:val="both"/>
      </w:pPr>
      <w:r>
        <w:rPr>
          <w:sz w:val="20"/>
        </w:rPr>
        <w:t>- Zero news articles mentioning BOOM150N in the past 7 days</w:t>
      </w:r>
    </w:p>
    <w:p>
      <w:pPr>
        <w:jc w:val="both"/>
      </w:pPr>
      <w:r>
        <w:rPr>
          <w:sz w:val="20"/>
        </w:rPr>
        <w:t>- Indicates either:</w:t>
      </w:r>
    </w:p>
    <w:p>
      <w:pPr>
        <w:jc w:val="both"/>
      </w:pPr>
      <w:r>
        <w:rPr>
          <w:sz w:val="20"/>
        </w:rPr>
        <w:t>- No newsworthy corporate events (earnings, guidance, M&amp;A, product launches)</w:t>
      </w:r>
    </w:p>
    <w:p>
      <w:pPr>
        <w:jc w:val="both"/>
      </w:pPr>
      <w:r>
        <w:rPr>
          <w:sz w:val="20"/>
        </w:rPr>
        <w:t>- Instrument not covered by mainstream financial press</w:t>
      </w:r>
    </w:p>
    <w:p>
      <w:pPr>
        <w:jc w:val="both"/>
      </w:pPr>
      <w:r>
        <w:rPr>
          <w:sz w:val="20"/>
        </w:rPr>
        <w:t>- Ticker may not correspond to a publicly traded equity with news coverage</w:t>
      </w:r>
    </w:p>
    <w:p>
      <w:pPr>
        <w:jc w:val="both"/>
      </w:pPr>
      <w:r>
        <w:rPr>
          <w:b/>
          <w:sz w:val="22"/>
        </w:rPr>
        <w:t>Signal Strength:</w:t>
      </w:r>
      <w:r>
        <w:rPr>
          <w:sz w:val="22"/>
        </w:rPr>
        <w:t xml:space="preserve"> N/A</w:t>
      </w:r>
    </w:p>
    <w:p>
      <w:pPr>
        <w:pBdr>
          <w:bottom w:val="single" w:sz="6" w:space="1" w:color="CCCCCC"/>
        </w:pBdr>
      </w:pPr>
    </w:p>
    <w:p>
      <w:pPr>
        <w:pStyle w:val="Heading4"/>
        <w:jc w:val="left"/>
      </w:pPr>
      <w:r>
        <w:rPr>
          <w:color w:val="783C00"/>
          <w:sz w:val="22"/>
        </w:rPr>
        <w:t>B. StockTwits Messages</w:t>
      </w:r>
    </w:p>
    <w:p>
      <w:r>
        <w:rPr>
          <w:b/>
          <w:sz w:val="20"/>
        </w:rPr>
        <w:t>Analysis:</w:t>
      </w:r>
    </w:p>
    <w:p>
      <w:pPr>
        <w:jc w:val="both"/>
      </w:pPr>
      <w:r>
        <w:rPr>
          <w:sz w:val="20"/>
        </w:rPr>
        <w:t>- Technical failure prevented data retrieval</w:t>
      </w:r>
    </w:p>
    <w:p>
      <w:pPr>
        <w:jc w:val="both"/>
      </w:pPr>
      <w:r>
        <w:rPr>
          <w:sz w:val="20"/>
        </w:rPr>
        <w:t>- Cannot assess retail trader sentiment, bullish/bearish ratios, or message volume</w:t>
      </w:r>
    </w:p>
    <w:p>
      <w:pPr>
        <w:jc w:val="both"/>
      </w:pPr>
      <w:r>
        <w:rPr>
          <w:sz w:val="20"/>
        </w:rPr>
        <w:t>- StockTwits typically indexes US equities and major international tickers; unavailability may indicate:</w:t>
      </w:r>
    </w:p>
    <w:p>
      <w:pPr>
        <w:jc w:val="both"/>
      </w:pPr>
      <w:r>
        <w:rPr>
          <w:sz w:val="20"/>
        </w:rPr>
        <w:t>- Temporary API/service issue</w:t>
      </w:r>
    </w:p>
    <w:p>
      <w:pPr>
        <w:jc w:val="both"/>
      </w:pPr>
      <w:r>
        <w:rPr>
          <w:sz w:val="20"/>
        </w:rPr>
        <w:t>- Ticker not recognized in StockTwits database</w:t>
      </w:r>
    </w:p>
    <w:p>
      <w:pPr>
        <w:jc w:val="both"/>
      </w:pPr>
      <w:r>
        <w:rPr>
          <w:sz w:val="20"/>
        </w:rPr>
        <w:t>- Regional exchange symbol not compatible with platform</w:t>
      </w:r>
    </w:p>
    <w:p>
      <w:pPr>
        <w:jc w:val="both"/>
      </w:pPr>
      <w:r>
        <w:rPr>
          <w:b/>
          <w:sz w:val="22"/>
        </w:rPr>
        <w:t>Signal Strength:</w:t>
      </w:r>
      <w:r>
        <w:rPr>
          <w:sz w:val="22"/>
        </w:rPr>
        <w:t xml:space="preserve"> N/A</w:t>
      </w:r>
    </w:p>
    <w:p>
      <w:pPr>
        <w:pBdr>
          <w:bottom w:val="single" w:sz="6" w:space="1" w:color="CCCCCC"/>
        </w:pBdr>
      </w:pPr>
    </w:p>
    <w:p>
      <w:pPr>
        <w:pStyle w:val="Heading4"/>
        <w:jc w:val="left"/>
      </w:pPr>
      <w:r>
        <w:rPr>
          <w:color w:val="783C00"/>
          <w:sz w:val="22"/>
        </w:rPr>
        <w:t>C. Reddit Posts (r/wallstreetbets, r/stocks, r/investing)</w:t>
      </w:r>
    </w:p>
    <w:p>
      <w:r>
        <w:rPr>
          <w:b/>
          <w:sz w:val="20"/>
        </w:rPr>
        <w:t>Analysis:</w:t>
      </w:r>
    </w:p>
    <w:p>
      <w:pPr>
        <w:jc w:val="both"/>
      </w:pPr>
      <w:r>
        <w:rPr>
          <w:sz w:val="20"/>
        </w:rPr>
        <w:t>- Comprehensive search across three major investment subreddits yielded zero results</w:t>
      </w:r>
    </w:p>
    <w:p>
      <w:pPr>
        <w:jc w:val="both"/>
      </w:pPr>
      <w:r>
        <w:rPr>
          <w:sz w:val="20"/>
        </w:rPr>
        <w:t xml:space="preserve">- </w:t>
      </w:r>
      <w:r>
        <w:rPr>
          <w:b/>
          <w:sz w:val="20"/>
        </w:rPr>
        <w:t>r/wallstreetbets:</w:t>
      </w:r>
      <w:r>
        <w:rPr>
          <w:sz w:val="20"/>
        </w:rPr>
        <w:t xml:space="preserve"> Known for high-volatility, meme-stock discussion - absence here suggests BOOM150N isn't capturing retail momentum/speculation</w:t>
      </w:r>
    </w:p>
    <w:p>
      <w:pPr>
        <w:jc w:val="both"/>
      </w:pPr>
      <w:r>
        <w:rPr>
          <w:sz w:val="20"/>
        </w:rPr>
        <w:t xml:space="preserve">- </w:t>
      </w:r>
      <w:r>
        <w:rPr>
          <w:b/>
          <w:sz w:val="20"/>
        </w:rPr>
        <w:t>r/stocks:</w:t>
      </w:r>
      <w:r>
        <w:rPr>
          <w:sz w:val="20"/>
        </w:rPr>
        <w:t xml:space="preserve"> Moderate, balanced equity discussion - no threads indicate lack of fundamental interest</w:t>
      </w:r>
    </w:p>
    <w:p>
      <w:pPr>
        <w:jc w:val="both"/>
      </w:pPr>
      <w:r>
        <w:rPr>
          <w:sz w:val="20"/>
        </w:rPr>
        <w:t xml:space="preserve">- </w:t>
      </w:r>
      <w:r>
        <w:rPr>
          <w:b/>
          <w:sz w:val="20"/>
        </w:rPr>
        <w:t>r/investing:</w:t>
      </w:r>
      <w:r>
        <w:rPr>
          <w:sz w:val="20"/>
        </w:rPr>
        <w:t xml:space="preserve"> Long-term, conservative community - silence suggests no dividend/value thesis attracting attention</w:t>
      </w:r>
    </w:p>
    <w:p>
      <w:pPr>
        <w:jc w:val="both"/>
      </w:pPr>
      <w:r>
        <w:rPr>
          <w:b/>
          <w:sz w:val="22"/>
        </w:rPr>
        <w:t>Engagement Metrics:</w:t>
      </w:r>
      <w:r>
        <w:rPr>
          <w:sz w:val="22"/>
        </w:rPr>
        <w:t xml:space="preserve"> 0 posts, 0 upvotes, 0 comments</w:t>
      </w:r>
    </w:p>
    <w:p>
      <w:pPr>
        <w:jc w:val="both"/>
      </w:pPr>
      <w:r>
        <w:rPr>
          <w:b/>
          <w:sz w:val="22"/>
        </w:rPr>
        <w:t>Signal Strength:</w:t>
      </w:r>
      <w:r>
        <w:rPr>
          <w:sz w:val="22"/>
        </w:rPr>
        <w:t xml:space="preserve"> Strong negative signal for retail awareness/interest</w:t>
      </w:r>
    </w:p>
    <w:p>
      <w:pPr>
        <w:pBdr>
          <w:bottom w:val="single" w:sz="6" w:space="1" w:color="CCCCCC"/>
        </w:pBdr>
      </w:pPr>
    </w:p>
    <w:p>
      <w:pPr>
        <w:pStyle w:val="Heading3"/>
        <w:jc w:val="left"/>
      </w:pPr>
      <w:r>
        <w:rPr>
          <w:color w:val="783C00"/>
          <w:sz w:val="24"/>
        </w:rPr>
        <w:t>3. Divergences, Alignments, and Key Narratives</w:t>
      </w:r>
    </w:p>
    <w:p>
      <w:pPr>
        <w:pStyle w:val="Heading4"/>
        <w:jc w:val="left"/>
      </w:pPr>
      <w:r>
        <w:rPr>
          <w:color w:val="783C00"/>
          <w:sz w:val="22"/>
        </w:rPr>
        <w:t>Cross-Source Pattern: Complete Silence</w:t>
      </w:r>
    </w:p>
    <w:p>
      <w:pPr>
        <w:jc w:val="both"/>
      </w:pPr>
      <w:r>
        <w:rPr>
          <w:b/>
          <w:sz w:val="22"/>
        </w:rPr>
        <w:t>Alignment:</w:t>
      </w:r>
      <w:r>
        <w:rPr>
          <w:sz w:val="22"/>
        </w:rPr>
        <w:t xml:space="preserve"> All three sources show </w:t>
      </w:r>
      <w:r>
        <w:rPr>
          <w:b/>
          <w:sz w:val="22"/>
        </w:rPr>
        <w:t>zero engagement</w:t>
      </w:r>
      <w:r>
        <w:rPr>
          <w:sz w:val="22"/>
        </w:rPr>
        <w:t xml:space="preserve"> with BOOM150N, creating a unanimous (though uninformative) signal.</w:t>
      </w:r>
    </w:p>
    <w:p>
      <w:r>
        <w:rPr>
          <w:b/>
          <w:sz w:val="20"/>
        </w:rPr>
        <w:t>Interpretation:</w:t>
      </w:r>
    </w:p>
    <w:p>
      <w:pPr>
        <w:jc w:val="both"/>
      </w:pPr>
      <w:r>
        <w:rPr>
          <w:sz w:val="20"/>
        </w:rPr>
        <w:t xml:space="preserve">- </w:t>
      </w:r>
      <w:r>
        <w:rPr>
          <w:b/>
          <w:sz w:val="20"/>
        </w:rPr>
        <w:t>No divergence to analyze</w:t>
      </w:r>
      <w:r>
        <w:rPr>
          <w:sz w:val="20"/>
        </w:rPr>
        <w:t xml:space="preserve"> - there is no conflicting sentiment between institutional (news) and retail (social) channels because neither is producing content</w:t>
      </w:r>
    </w:p>
    <w:p>
      <w:pPr>
        <w:jc w:val="both"/>
      </w:pPr>
      <w:r>
        <w:rPr>
          <w:sz w:val="20"/>
        </w:rPr>
        <w:t xml:space="preserve">- </w:t>
      </w:r>
      <w:r>
        <w:rPr>
          <w:b/>
          <w:sz w:val="20"/>
        </w:rPr>
        <w:t>Dominant narrative:</w:t>
      </w:r>
      <w:r>
        <w:rPr>
          <w:sz w:val="20"/>
        </w:rPr>
        <w:t xml:space="preserve"> There is none. The instrument exists in a </w:t>
      </w:r>
      <w:r>
        <w:rPr>
          <w:b/>
          <w:sz w:val="20"/>
        </w:rPr>
        <w:t>sentiment black hole</w:t>
      </w:r>
    </w:p>
    <w:p>
      <w:pPr>
        <w:pStyle w:val="Heading4"/>
        <w:jc w:val="left"/>
      </w:pPr>
      <w:r>
        <w:rPr>
          <w:color w:val="783C00"/>
          <w:sz w:val="22"/>
        </w:rPr>
        <w:t>Possible Explanations:</w:t>
      </w:r>
    </w:p>
    <w:p>
      <w:pPr>
        <w:pStyle w:val="ListNumber"/>
      </w:pPr>
      <w:r>
        <w:rPr>
          <w:b/>
          <w:sz w:val="20"/>
        </w:rPr>
        <w:t>Synthetic Index/Derivative:</w:t>
      </w:r>
      <w:r>
        <w:rPr>
          <w:sz w:val="20"/>
        </w:rPr>
        <w:t xml:space="preserve"> The "BOOM150N" naming convention suggests a synthetic instrument (possibly a Deriv volatility index or boom/crash derivative). These instruments:</w:t>
      </w:r>
    </w:p>
    <w:p>
      <w:pPr>
        <w:pStyle w:val="ListBullet"/>
      </w:pPr>
      <w:r>
        <w:rPr>
          <w:sz w:val="20"/>
        </w:rPr>
        <w:t>Trade on specialized platforms</w:t>
      </w:r>
    </w:p>
    <w:p>
      <w:pPr>
        <w:pStyle w:val="ListBullet"/>
      </w:pPr>
      <w:r>
        <w:rPr>
          <w:sz w:val="20"/>
        </w:rPr>
        <w:t>Have narrow, technical user bases</w:t>
      </w:r>
    </w:p>
    <w:p>
      <w:pPr>
        <w:pStyle w:val="ListBullet"/>
      </w:pPr>
      <w:r>
        <w:rPr>
          <w:sz w:val="20"/>
        </w:rPr>
        <w:t>Rarely generate social media discussion</w:t>
      </w:r>
    </w:p>
    <w:p>
      <w:pPr>
        <w:pStyle w:val="ListBullet"/>
      </w:pPr>
      <w:r>
        <w:rPr>
          <w:sz w:val="20"/>
        </w:rPr>
        <w:t>Lack traditional news coverage</w:t>
      </w:r>
    </w:p>
    <w:p>
      <w:pPr>
        <w:pStyle w:val="ListNumber"/>
      </w:pPr>
      <w:r>
        <w:rPr>
          <w:b/>
          <w:sz w:val="20"/>
        </w:rPr>
        <w:t>Liquidity Desert:</w:t>
      </w:r>
      <w:r>
        <w:rPr>
          <w:sz w:val="20"/>
        </w:rPr>
        <w:t xml:space="preserve"> Ultra-low trading volume instruments don't attract attention. If average daily volume is negligible, there's no reason for traders to discuss it.</w:t>
      </w:r>
    </w:p>
    <w:p>
      <w:pPr>
        <w:pStyle w:val="ListNumber"/>
      </w:pPr>
      <w:r>
        <w:rPr>
          <w:b/>
          <w:sz w:val="20"/>
        </w:rPr>
        <w:t>Regional/Exchange Barrier:</w:t>
      </w:r>
      <w:r>
        <w:rPr>
          <w:sz w:val="20"/>
        </w:rPr>
        <w:t xml:space="preserve"> If this is a non-US instrument on an exchange with limited English-language coverage (e.g., emerging market exchange), it won't appear in US-centric sentiment sources.</w:t>
      </w:r>
    </w:p>
    <w:p>
      <w:pPr>
        <w:pBdr>
          <w:bottom w:val="single" w:sz="6" w:space="1" w:color="CCCCCC"/>
        </w:pBdr>
      </w:pPr>
    </w:p>
    <w:p>
      <w:pPr>
        <w:pStyle w:val="Heading3"/>
        <w:jc w:val="left"/>
      </w:pPr>
      <w:r>
        <w:rPr>
          <w:color w:val="783C00"/>
          <w:sz w:val="24"/>
        </w:rPr>
        <w:t>4. Catalysts and Risks</w:t>
      </w:r>
    </w:p>
    <w:p>
      <w:pPr>
        <w:pStyle w:val="Heading4"/>
        <w:jc w:val="left"/>
      </w:pPr>
      <w:r>
        <w:rPr>
          <w:color w:val="783C00"/>
          <w:sz w:val="22"/>
        </w:rPr>
        <w:t>Identifiable Catalysts: **NONE**</w:t>
      </w:r>
    </w:p>
    <w:p>
      <w:pPr>
        <w:jc w:val="both"/>
      </w:pPr>
      <w:r>
        <w:rPr>
          <w:sz w:val="22"/>
        </w:rPr>
        <w:t>No upcoming earnings, product launches, regulatory decisions, or corporate events can be identified from the available data.</w:t>
      </w:r>
    </w:p>
    <w:p>
      <w:pPr>
        <w:pStyle w:val="Heading4"/>
        <w:jc w:val="left"/>
      </w:pPr>
      <w:r>
        <w:rPr>
          <w:color w:val="783C00"/>
          <w:sz w:val="22"/>
        </w:rPr>
        <w:t>Identifiable Risks: **NONE SURFACED**</w:t>
      </w:r>
    </w:p>
    <w:p>
      <w:pPr>
        <w:jc w:val="both"/>
      </w:pPr>
      <w:r>
        <w:rPr>
          <w:sz w:val="22"/>
        </w:rPr>
        <w:t xml:space="preserve">However, the </w:t>
      </w:r>
      <w:r>
        <w:rPr>
          <w:b/>
          <w:sz w:val="22"/>
        </w:rPr>
        <w:t>absence of sentiment data itself constitutes a meta-risk:</w:t>
      </w:r>
    </w:p>
    <w:p>
      <w:pPr>
        <w:jc w:val="both"/>
      </w:pPr>
      <w:r>
        <w:rPr>
          <w:b/>
          <w:sz w:val="20"/>
        </w:rPr>
        <w:t>Liquidity Risk:</w:t>
      </w:r>
      <w:r>
        <w:rPr>
          <w:sz w:val="20"/>
        </w:rPr>
        <w:t xml:space="preserve"> Instruments with zero social/news presence often suffer from:</w:t>
      </w:r>
    </w:p>
    <w:p>
      <w:pPr>
        <w:jc w:val="both"/>
      </w:pPr>
      <w:r>
        <w:rPr>
          <w:sz w:val="20"/>
        </w:rPr>
        <w:t>- Wide bid-ask spreads</w:t>
      </w:r>
    </w:p>
    <w:p>
      <w:pPr>
        <w:jc w:val="both"/>
      </w:pPr>
      <w:r>
        <w:rPr>
          <w:sz w:val="20"/>
        </w:rPr>
        <w:t>- Difficulty executing large orders</w:t>
      </w:r>
    </w:p>
    <w:p>
      <w:pPr>
        <w:jc w:val="both"/>
      </w:pPr>
      <w:r>
        <w:rPr>
          <w:sz w:val="20"/>
        </w:rPr>
        <w:t>- Sudden price gaps on thin order books</w:t>
      </w:r>
    </w:p>
    <w:p>
      <w:pPr>
        <w:jc w:val="both"/>
      </w:pPr>
      <w:r>
        <w:rPr>
          <w:sz w:val="20"/>
        </w:rPr>
        <w:t>- Lack of price discovery mechanisms</w:t>
      </w:r>
    </w:p>
    <w:p>
      <w:pPr>
        <w:jc w:val="both"/>
      </w:pPr>
      <w:r>
        <w:rPr>
          <w:b/>
          <w:sz w:val="20"/>
        </w:rPr>
        <w:t>Information Risk:</w:t>
      </w:r>
      <w:r>
        <w:rPr>
          <w:sz w:val="20"/>
        </w:rPr>
        <w:t xml:space="preserve"> Trading without sentiment context means:</w:t>
      </w:r>
    </w:p>
    <w:p>
      <w:pPr>
        <w:jc w:val="both"/>
      </w:pPr>
      <w:r>
        <w:rPr>
          <w:sz w:val="20"/>
        </w:rPr>
        <w:t>- No early-warning system for negative developments</w:t>
      </w:r>
    </w:p>
    <w:p>
      <w:pPr>
        <w:jc w:val="both"/>
      </w:pPr>
      <w:r>
        <w:rPr>
          <w:sz w:val="20"/>
        </w:rPr>
        <w:t>- No crowd-sourced due diligence or thesis validation</w:t>
      </w:r>
    </w:p>
    <w:p>
      <w:pPr>
        <w:jc w:val="both"/>
      </w:pPr>
      <w:r>
        <w:rPr>
          <w:sz w:val="20"/>
        </w:rPr>
        <w:t>- Increased reliance on technical analysis and price action alone</w:t>
      </w:r>
    </w:p>
    <w:p>
      <w:pPr>
        <w:pBdr>
          <w:bottom w:val="single" w:sz="6" w:space="1" w:color="CCCCCC"/>
        </w:pBdr>
      </w:pPr>
    </w:p>
    <w:p>
      <w:pPr>
        <w:pStyle w:val="Heading3"/>
        <w:jc w:val="left"/>
      </w:pPr>
      <w:r>
        <w:rPr>
          <w:color w:val="783C00"/>
          <w:sz w:val="24"/>
        </w:rPr>
        <w:t>5. Summary Table: Key Sentiment Signals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C78"/>
          </w:tcPr>
          <w:p>
            <w:r/>
            <w:r>
              <w:rPr>
                <w:b/>
                <w:color w:val="FFFFFF"/>
                <w:sz w:val="18"/>
              </w:rPr>
              <w:t>**Signal**</w:t>
            </w:r>
          </w:p>
        </w:tc>
        <w:tc>
          <w:tcPr>
            <w:tcW w:type="dxa" w:w="1728"/>
            <w:shd w:val="clear" w:color="auto" w:fill="1F3C78"/>
          </w:tcPr>
          <w:p>
            <w:r/>
            <w:r>
              <w:rPr>
                <w:b/>
                <w:color w:val="FFFFFF"/>
                <w:sz w:val="18"/>
              </w:rPr>
              <w:t>**Direction**</w:t>
            </w:r>
          </w:p>
        </w:tc>
        <w:tc>
          <w:tcPr>
            <w:tcW w:type="dxa" w:w="1728"/>
            <w:shd w:val="clear" w:color="auto" w:fill="1F3C78"/>
          </w:tcPr>
          <w:p>
            <w:r/>
            <w:r>
              <w:rPr>
                <w:b/>
                <w:color w:val="FFFFFF"/>
                <w:sz w:val="18"/>
              </w:rPr>
              <w:t>**Source**</w:t>
            </w:r>
          </w:p>
        </w:tc>
        <w:tc>
          <w:tcPr>
            <w:tcW w:type="dxa" w:w="1728"/>
            <w:shd w:val="clear" w:color="auto" w:fill="1F3C78"/>
          </w:tcPr>
          <w:p>
            <w:r/>
            <w:r>
              <w:rPr>
                <w:b/>
                <w:color w:val="FFFFFF"/>
                <w:sz w:val="18"/>
              </w:rPr>
              <w:t>**Supporting Evidence**</w:t>
            </w:r>
          </w:p>
        </w:tc>
        <w:tc>
          <w:tcPr>
            <w:tcW w:type="dxa" w:w="1728"/>
            <w:shd w:val="clear" w:color="auto" w:fill="1F3C78"/>
          </w:tcPr>
          <w:p>
            <w:r/>
            <w:r>
              <w:rPr>
                <w:b/>
                <w:color w:val="FFFFFF"/>
                <w:sz w:val="18"/>
              </w:rPr>
              <w:t>**Strength**</w:t>
            </w:r>
          </w:p>
        </w:tc>
      </w:tr>
      <w:tr>
        <w:tc>
          <w:tcPr>
            <w:tcW w:type="dxa" w:w="1728"/>
            <w:shd w:val="clear" w:color="auto" w:fill="EEF4FF"/>
          </w:tcPr>
          <w:p>
            <w:r/>
            <w:r>
              <w:rPr>
                <w:sz w:val="18"/>
              </w:rPr>
              <w:t>News coverage</w:t>
            </w:r>
          </w:p>
        </w:tc>
        <w:tc>
          <w:tcPr>
            <w:tcW w:type="dxa" w:w="1728"/>
            <w:shd w:val="clear" w:color="auto" w:fill="EEF4FF"/>
          </w:tcPr>
          <w:p>
            <w:r/>
            <w:r>
              <w:rPr>
                <w:sz w:val="18"/>
              </w:rPr>
              <w:t>Neutral</w:t>
            </w:r>
          </w:p>
        </w:tc>
        <w:tc>
          <w:tcPr>
            <w:tcW w:type="dxa" w:w="1728"/>
            <w:shd w:val="clear" w:color="auto" w:fill="EEF4FF"/>
          </w:tcPr>
          <w:p>
            <w:r/>
            <w:r>
              <w:rPr>
                <w:sz w:val="18"/>
              </w:rPr>
              <w:t>Yahoo Finance</w:t>
            </w:r>
          </w:p>
        </w:tc>
        <w:tc>
          <w:tcPr>
            <w:tcW w:type="dxa" w:w="1728"/>
            <w:shd w:val="clear" w:color="auto" w:fill="EEF4FF"/>
          </w:tcPr>
          <w:p>
            <w:r/>
            <w:r>
              <w:rPr>
                <w:sz w:val="18"/>
              </w:rPr>
              <w:t>0 articles mentioning BOOM150N in past 7 days</w:t>
            </w:r>
          </w:p>
        </w:tc>
        <w:tc>
          <w:tcPr>
            <w:tcW w:type="dxa" w:w="1728"/>
            <w:shd w:val="clear" w:color="auto" w:fill="EEF4FF"/>
          </w:tcPr>
          <w:p>
            <w:r/>
            <w:r>
              <w:rPr>
                <w:sz w:val="18"/>
              </w:rPr>
              <w:t>N/A</w:t>
            </w:r>
          </w:p>
        </w:tc>
      </w:tr>
      <w:tr>
        <w:tc>
          <w:tcPr>
            <w:tcW w:type="dxa" w:w="1728"/>
            <w:shd w:val="clear" w:color="auto" w:fill="FFFFFF"/>
          </w:tcPr>
          <w:p>
            <w:r/>
            <w:r>
              <w:rPr>
                <w:sz w:val="18"/>
              </w:rPr>
              <w:t>Retail trader sentiment</w:t>
            </w:r>
          </w:p>
        </w:tc>
        <w:tc>
          <w:tcPr>
            <w:tcW w:type="dxa" w:w="1728"/>
            <w:shd w:val="clear" w:color="auto" w:fill="FFFFFF"/>
          </w:tcPr>
          <w:p>
            <w:r/>
            <w:r>
              <w:rPr>
                <w:sz w:val="18"/>
              </w:rPr>
              <w:t>Unknown</w:t>
            </w:r>
          </w:p>
        </w:tc>
        <w:tc>
          <w:tcPr>
            <w:tcW w:type="dxa" w:w="1728"/>
            <w:shd w:val="clear" w:color="auto" w:fill="FFFFFF"/>
          </w:tcPr>
          <w:p>
            <w:r/>
            <w:r>
              <w:rPr>
                <w:sz w:val="18"/>
              </w:rPr>
              <w:t>StockTwits</w:t>
            </w:r>
          </w:p>
        </w:tc>
        <w:tc>
          <w:tcPr>
            <w:tcW w:type="dxa" w:w="1728"/>
            <w:shd w:val="clear" w:color="auto" w:fill="FFFFFF"/>
          </w:tcPr>
          <w:p>
            <w:r/>
            <w:r>
              <w:rPr>
                <w:sz w:val="18"/>
              </w:rPr>
              <w:t>Service unavailable (HTTPError) - no data retrieved</w:t>
            </w:r>
          </w:p>
        </w:tc>
        <w:tc>
          <w:tcPr>
            <w:tcW w:type="dxa" w:w="1728"/>
            <w:shd w:val="clear" w:color="auto" w:fill="FFFFFF"/>
          </w:tcPr>
          <w:p>
            <w:r/>
            <w:r>
              <w:rPr>
                <w:sz w:val="18"/>
              </w:rPr>
              <w:t>N/A</w:t>
            </w:r>
          </w:p>
        </w:tc>
      </w:tr>
      <w:tr>
        <w:tc>
          <w:tcPr>
            <w:tcW w:type="dxa" w:w="1728"/>
            <w:shd w:val="clear" w:color="auto" w:fill="EEF4FF"/>
          </w:tcPr>
          <w:p>
            <w:r/>
            <w:r>
              <w:rPr>
                <w:sz w:val="18"/>
              </w:rPr>
              <w:t>Reddit community engagement</w:t>
            </w:r>
          </w:p>
        </w:tc>
        <w:tc>
          <w:tcPr>
            <w:tcW w:type="dxa" w:w="1728"/>
            <w:shd w:val="clear" w:color="auto" w:fill="EEF4FF"/>
          </w:tcPr>
          <w:p>
            <w:r/>
            <w:r>
              <w:rPr>
                <w:sz w:val="18"/>
              </w:rPr>
              <w:t>Neutral/Absent</w:t>
            </w:r>
          </w:p>
        </w:tc>
        <w:tc>
          <w:tcPr>
            <w:tcW w:type="dxa" w:w="1728"/>
            <w:shd w:val="clear" w:color="auto" w:fill="EEF4FF"/>
          </w:tcPr>
          <w:p>
            <w:r/>
            <w:r>
              <w:rPr>
                <w:sz w:val="18"/>
              </w:rPr>
              <w:t>Reddit (3 subs)</w:t>
            </w:r>
          </w:p>
        </w:tc>
        <w:tc>
          <w:tcPr>
            <w:tcW w:type="dxa" w:w="1728"/>
            <w:shd w:val="clear" w:color="auto" w:fill="EEF4FF"/>
          </w:tcPr>
          <w:p>
            <w:r/>
            <w:r>
              <w:rPr>
                <w:sz w:val="18"/>
              </w:rPr>
              <w:t>0 posts across r/wallstreetbets, r/stocks, r/investing</w:t>
            </w:r>
          </w:p>
        </w:tc>
        <w:tc>
          <w:tcPr>
            <w:tcW w:type="dxa" w:w="1728"/>
            <w:shd w:val="clear" w:color="auto" w:fill="EEF4FF"/>
          </w:tcPr>
          <w:p>
            <w:r/>
            <w:r>
              <w:rPr>
                <w:sz w:val="18"/>
              </w:rPr>
              <w:t>Strong</w:t>
            </w:r>
          </w:p>
        </w:tc>
      </w:tr>
      <w:tr>
        <w:tc>
          <w:tcPr>
            <w:tcW w:type="dxa" w:w="1728"/>
            <w:shd w:val="clear" w:color="auto" w:fill="FFFFFF"/>
          </w:tcPr>
          <w:p>
            <w:r/>
            <w:r>
              <w:rPr>
                <w:sz w:val="18"/>
              </w:rPr>
              <w:t>Overall market awareness</w:t>
            </w:r>
          </w:p>
        </w:tc>
        <w:tc>
          <w:tcPr>
            <w:tcW w:type="dxa" w:w="1728"/>
            <w:shd w:val="clear" w:color="auto" w:fill="FFFFFF"/>
          </w:tcPr>
          <w:p>
            <w:r/>
            <w:r>
              <w:rPr>
                <w:sz w:val="18"/>
              </w:rPr>
              <w:t>Very Low</w:t>
            </w:r>
          </w:p>
        </w:tc>
        <w:tc>
          <w:tcPr>
            <w:tcW w:type="dxa" w:w="1728"/>
            <w:shd w:val="clear" w:color="auto" w:fill="FFFFFF"/>
          </w:tcPr>
          <w:p>
            <w:r/>
            <w:r>
              <w:rPr>
                <w:sz w:val="18"/>
              </w:rPr>
              <w:t>Cross-source</w:t>
            </w:r>
          </w:p>
        </w:tc>
        <w:tc>
          <w:tcPr>
            <w:tcW w:type="dxa" w:w="1728"/>
            <w:shd w:val="clear" w:color="auto" w:fill="FFFFFF"/>
          </w:tcPr>
          <w:p>
            <w:r/>
            <w:r>
              <w:rPr>
                <w:sz w:val="18"/>
              </w:rPr>
              <w:t>Complete absence of mentions across all channels</w:t>
            </w:r>
          </w:p>
        </w:tc>
        <w:tc>
          <w:tcPr>
            <w:tcW w:type="dxa" w:w="1728"/>
            <w:shd w:val="clear" w:color="auto" w:fill="FFFFFF"/>
          </w:tcPr>
          <w:p>
            <w:r/>
            <w:r>
              <w:rPr>
                <w:sz w:val="18"/>
              </w:rPr>
              <w:t>High</w:t>
            </w:r>
          </w:p>
        </w:tc>
      </w:tr>
      <w:tr>
        <w:tc>
          <w:tcPr>
            <w:tcW w:type="dxa" w:w="1728"/>
            <w:shd w:val="clear" w:color="auto" w:fill="EEF4FF"/>
          </w:tcPr>
          <w:p>
            <w:r/>
            <w:r>
              <w:rPr>
                <w:sz w:val="18"/>
              </w:rPr>
              <w:t>Liquidity/Interest signal</w:t>
            </w:r>
          </w:p>
        </w:tc>
        <w:tc>
          <w:tcPr>
            <w:tcW w:type="dxa" w:w="1728"/>
            <w:shd w:val="clear" w:color="auto" w:fill="EEF4FF"/>
          </w:tcPr>
          <w:p>
            <w:r/>
            <w:r>
              <w:rPr>
                <w:sz w:val="18"/>
              </w:rPr>
              <w:t>Bearish</w:t>
            </w:r>
          </w:p>
        </w:tc>
        <w:tc>
          <w:tcPr>
            <w:tcW w:type="dxa" w:w="1728"/>
            <w:shd w:val="clear" w:color="auto" w:fill="EEF4FF"/>
          </w:tcPr>
          <w:p>
            <w:r/>
            <w:r>
              <w:rPr>
                <w:sz w:val="18"/>
              </w:rPr>
              <w:t>Implicit</w:t>
            </w:r>
          </w:p>
        </w:tc>
        <w:tc>
          <w:tcPr>
            <w:tcW w:type="dxa" w:w="1728"/>
            <w:shd w:val="clear" w:color="auto" w:fill="EEF4FF"/>
          </w:tcPr>
          <w:p>
            <w:r/>
            <w:r>
              <w:rPr>
                <w:sz w:val="18"/>
              </w:rPr>
              <w:t>Zero social/news traction suggests illiquid instrument or niche derivative</w:t>
            </w:r>
          </w:p>
        </w:tc>
        <w:tc>
          <w:tcPr>
            <w:tcW w:type="dxa" w:w="1728"/>
            <w:shd w:val="clear" w:color="auto" w:fill="EEF4FF"/>
          </w:tcPr>
          <w:p>
            <w:r/>
            <w:r>
              <w:rPr>
                <w:sz w:val="18"/>
              </w:rPr>
              <w:t>Moderate</w:t>
            </w:r>
          </w:p>
        </w:tc>
      </w:tr>
    </w:tbl>
    <w:p/>
    <w:p>
      <w:pPr>
        <w:pBdr>
          <w:bottom w:val="single" w:sz="6" w:space="1" w:color="CCCCCC"/>
        </w:pBdr>
      </w:pPr>
    </w:p>
    <w:p>
      <w:pPr>
        <w:pStyle w:val="Heading3"/>
        <w:jc w:val="left"/>
      </w:pPr>
      <w:r>
        <w:rPr>
          <w:color w:val="783C00"/>
          <w:sz w:val="24"/>
        </w:rPr>
        <w:t>Conclusion and Recommendations</w:t>
      </w:r>
    </w:p>
    <w:p>
      <w:pPr>
        <w:jc w:val="both"/>
      </w:pPr>
      <w:r>
        <w:rPr>
          <w:b/>
          <w:sz w:val="22"/>
        </w:rPr>
        <w:t>For the trading team:</w:t>
      </w:r>
    </w:p>
    <w:p>
      <w:pPr>
        <w:pStyle w:val="ListNumber"/>
      </w:pPr>
      <w:r>
        <w:rPr>
          <w:b/>
          <w:sz w:val="20"/>
        </w:rPr>
        <w:t>Do not rely on sentiment analysis alone for BOOM150N.</w:t>
      </w:r>
      <w:r>
        <w:rPr>
          <w:sz w:val="20"/>
        </w:rPr>
        <w:t xml:space="preserve"> The data vacuum means you must lean heavily on:</w:t>
      </w:r>
    </w:p>
    <w:p>
      <w:pPr>
        <w:pStyle w:val="ListBullet"/>
      </w:pPr>
      <w:r>
        <w:rPr>
          <w:b/>
          <w:sz w:val="20"/>
        </w:rPr>
        <w:t>Technical analysis:</w:t>
      </w:r>
      <w:r>
        <w:rPr>
          <w:sz w:val="20"/>
        </w:rPr>
        <w:t xml:space="preserve"> Price action, volume, support/resistance levels</w:t>
      </w:r>
    </w:p>
    <w:p>
      <w:pPr>
        <w:pStyle w:val="ListBullet"/>
      </w:pPr>
      <w:r>
        <w:rPr>
          <w:b/>
          <w:sz w:val="20"/>
        </w:rPr>
        <w:t>Fundamental research:</w:t>
      </w:r>
      <w:r>
        <w:rPr>
          <w:sz w:val="20"/>
        </w:rPr>
        <w:t xml:space="preserve"> If this is a derivative, understand the underlying asset/index construction</w:t>
      </w:r>
    </w:p>
    <w:p>
      <w:pPr>
        <w:pStyle w:val="ListBullet"/>
      </w:pPr>
      <w:r>
        <w:rPr>
          <w:b/>
          <w:sz w:val="20"/>
        </w:rPr>
        <w:t>Platform-specific data:</w:t>
      </w:r>
      <w:r>
        <w:rPr>
          <w:sz w:val="20"/>
        </w:rPr>
        <w:t xml:space="preserve"> If trading on Deriv or similar, consult platform-native analytics</w:t>
      </w:r>
    </w:p>
    <w:p>
      <w:pPr>
        <w:pStyle w:val="ListNumber"/>
      </w:pPr>
      <w:r>
        <w:rPr>
          <w:b/>
          <w:sz w:val="20"/>
        </w:rPr>
        <w:t>Verify the ticker symbol.</w:t>
      </w:r>
      <w:r>
        <w:rPr>
          <w:sz w:val="20"/>
        </w:rPr>
        <w:t xml:space="preserve"> Confirm BOOM150N is the correct identifier and check if an exchange suffix or alternative symbol is needed (e.g., BOOM150N.XX or a different format).</w:t>
      </w:r>
    </w:p>
    <w:p>
      <w:pPr>
        <w:pStyle w:val="ListNumber"/>
      </w:pPr>
      <w:r>
        <w:rPr>
          <w:b/>
          <w:sz w:val="20"/>
        </w:rPr>
        <w:t>Assess liquidity before position sizing.</w:t>
      </w:r>
      <w:r>
        <w:rPr>
          <w:sz w:val="20"/>
        </w:rPr>
        <w:t xml:space="preserve"> Instruments with no social presence often have poor liquidity. Test with small orders and monitor slippage.</w:t>
      </w:r>
    </w:p>
    <w:p>
      <w:pPr>
        <w:pStyle w:val="ListNumber"/>
      </w:pPr>
      <w:r>
        <w:rPr>
          <w:b/>
          <w:sz w:val="20"/>
        </w:rPr>
        <w:t>Monitor for breakout/breakdown signals.</w:t>
      </w:r>
      <w:r>
        <w:rPr>
          <w:sz w:val="20"/>
        </w:rPr>
        <w:t xml:space="preserve"> In the absence of sentiment, sudden price moves may occur without warning. Use tight stop-losses.</w:t>
      </w:r>
    </w:p>
    <w:p>
      <w:pPr>
        <w:pStyle w:val="ListNumber"/>
      </w:pPr>
      <w:r>
        <w:rPr>
          <w:b/>
          <w:sz w:val="20"/>
        </w:rPr>
        <w:t>Consider alternative data sources.</w:t>
      </w:r>
      <w:r>
        <w:rPr>
          <w:sz w:val="20"/>
        </w:rPr>
        <w:t xml:space="preserve"> If this is a Deriv synthetic index, check:</w:t>
      </w:r>
    </w:p>
    <w:p>
      <w:pPr>
        <w:pStyle w:val="ListBullet"/>
      </w:pPr>
      <w:r>
        <w:rPr>
          <w:sz w:val="20"/>
        </w:rPr>
        <w:t>Deriv platform's proprietary sentiment/volume indicators</w:t>
      </w:r>
    </w:p>
    <w:p>
      <w:pPr>
        <w:pStyle w:val="ListBullet"/>
      </w:pPr>
      <w:r>
        <w:rPr>
          <w:sz w:val="20"/>
        </w:rPr>
        <w:t>Specialized forums or Telegram groups focused on synthetic indices</w:t>
      </w:r>
    </w:p>
    <w:p>
      <w:pPr>
        <w:pStyle w:val="ListBullet"/>
      </w:pPr>
      <w:r>
        <w:rPr>
          <w:sz w:val="20"/>
        </w:rPr>
        <w:t>Historical volatility patterns specific to boom/crash contracts</w:t>
      </w:r>
    </w:p>
    <w:p>
      <w:pPr>
        <w:pBdr>
          <w:bottom w:val="single" w:sz="6" w:space="1" w:color="CCCCCC"/>
        </w:pBdr>
      </w:pPr>
    </w:p>
    <w:p>
      <w:pPr>
        <w:jc w:val="both"/>
      </w:pPr>
      <w:r>
        <w:rPr>
          <w:b/>
          <w:sz w:val="22"/>
        </w:rPr>
        <w:t>FINAL ASSESSMENT:</w:t>
      </w:r>
      <w:r>
        <w:rPr>
          <w:sz w:val="22"/>
        </w:rPr>
        <w:t xml:space="preserve"> Sentiment for BOOM150N is </w:t>
      </w:r>
      <w:r>
        <w:rPr>
          <w:b/>
          <w:sz w:val="22"/>
        </w:rPr>
        <w:t>indeterminate due to complete data absence</w:t>
      </w:r>
      <w:r>
        <w:rPr>
          <w:sz w:val="22"/>
        </w:rPr>
        <w:t>. Proceed with caution, prioritize technical analysis, and confirm instrument identity before trading.</w:t>
      </w:r>
    </w:p>
    <w:p>
      <w:pPr>
        <w:pBdr>
          <w:bottom w:val="single" w:sz="6" w:space="1" w:color="CCCCCC"/>
        </w:pBdr>
      </w:pPr>
    </w:p>
    <w:p>
      <w:pPr>
        <w:pStyle w:val="Heading1"/>
        <w:jc w:val="left"/>
      </w:pPr>
      <w:r>
        <w:rPr>
          <w:color w:val="142864"/>
        </w:rPr>
        <w:t>RESUME — Ce qu'il faut retenir</w:t>
      </w:r>
    </w:p>
    <w:p>
      <w:pPr>
        <w:pStyle w:val="Heading2"/>
        <w:jc w:val="left"/>
      </w:pPr>
      <w:r>
        <w:rPr>
          <w:color w:val="142864"/>
          <w:sz w:val="28"/>
        </w:rPr>
        <w:t>RÉSUMÉ EXÉCUTIF - BOOM 150 INDEX</w:t>
      </w:r>
    </w:p>
    <w:p>
      <w:pPr>
        <w:pStyle w:val="ListNumber"/>
      </w:pPr>
      <w:r>
        <w:rPr>
          <w:b/>
          <w:sz w:val="20"/>
        </w:rPr>
        <w:t>Contexte de marché</w:t>
      </w:r>
      <w:r>
        <w:rPr>
          <w:sz w:val="20"/>
        </w:rPr>
        <w:t xml:space="preserve"> : BOOM150N évolue à 9,295 dans une tendance baissière confirmée avec death cross actif et triangle descendant offrant 65% de probabilité de cassure baissière sous 5-10 sessions.</w:t>
      </w:r>
    </w:p>
    <w:p>
      <w:pPr>
        <w:pStyle w:val="ListNumber"/>
      </w:pPr>
      <w:r>
        <w:rPr>
          <w:b/>
          <w:sz w:val="20"/>
        </w:rPr>
        <w:t>Signal principal</w:t>
      </w:r>
      <w:r>
        <w:rPr>
          <w:sz w:val="20"/>
        </w:rPr>
        <w:t xml:space="preserve"> : </w:t>
      </w:r>
      <w:r>
        <w:rPr>
          <w:b/>
          <w:sz w:val="20"/>
        </w:rPr>
        <w:t>SELL avec confiance MODÉRÉE (65%)</w:t>
      </w:r>
      <w:r>
        <w:rPr>
          <w:sz w:val="20"/>
        </w:rPr>
        <w:t xml:space="preserve"> - Réduire immédiatement 40-50% de l'exposition au prix marché, la faiblesse du MACD (+0.054 vs seuil +2.0) et la structure technique baissière dominent malgré le risque résiduel de spike haussier algorithmique (35%).</w:t>
      </w:r>
    </w:p>
    <w:p>
      <w:pPr>
        <w:pStyle w:val="ListNumber"/>
      </w:pPr>
      <w:r>
        <w:rPr>
          <w:b/>
          <w:sz w:val="20"/>
        </w:rPr>
        <w:t>Niveaux critiques</w:t>
      </w:r>
      <w:r>
        <w:rPr>
          <w:sz w:val="20"/>
        </w:rPr>
        <w:t xml:space="preserve"> : Entry court à 9,295 | SL strict à 9,250 (45 pips de risque = 1.1x ATR) | TP1 zone 9,150-9,200 | TP2 sur cassure triangle | Trailing stop pour position résiduelle 20-25%.</w:t>
      </w:r>
    </w:p>
    <w:p>
      <w:pPr>
        <w:pStyle w:val="ListNumber"/>
      </w:pPr>
      <w:r>
        <w:rPr>
          <w:b/>
          <w:sz w:val="20"/>
        </w:rPr>
        <w:t>Sizing recommandé</w:t>
      </w:r>
      <w:r>
        <w:rPr>
          <w:sz w:val="20"/>
        </w:rPr>
        <w:t xml:space="preserve"> : Compte $10 = 0.01 lot (risque ~$4.50) | Compte $50 = 0.05 lot (risque ~$22.50) | Réduction progressive par paliers pour moyenner la sortie.</w:t>
      </w:r>
    </w:p>
    <w:p>
      <w:pPr>
        <w:pStyle w:val="ListNumber"/>
      </w:pPr>
      <w:r>
        <w:rPr>
          <w:b/>
          <w:sz w:val="20"/>
        </w:rPr>
        <w:t>Condition d'entrée</w:t>
      </w:r>
      <w:r>
        <w:rPr>
          <w:sz w:val="20"/>
        </w:rPr>
        <w:t xml:space="preserve"> : Vendre </w:t>
      </w:r>
      <w:r>
        <w:rPr>
          <w:b/>
          <w:sz w:val="20"/>
        </w:rPr>
        <w:t>IMMÉDIATEMENT</w:t>
      </w:r>
      <w:r>
        <w:rPr>
          <w:sz w:val="20"/>
        </w:rPr>
        <w:t xml:space="preserve"> 40-50% au marché (~9,295), puis vendre 25-30% supplémentaires SI rebond vers zone résistance 9,330-9,340, conserver 20-25% avec trailing stop uniquement.</w:t>
      </w:r>
    </w:p>
    <w:p>
      <w:pPr>
        <w:pStyle w:val="ListNumber"/>
      </w:pPr>
      <w:r>
        <w:rPr>
          <w:b/>
          <w:sz w:val="20"/>
        </w:rPr>
        <w:t>Risques principaux</w:t>
      </w:r>
      <w:r>
        <w:rPr>
          <w:sz w:val="20"/>
        </w:rPr>
        <w:t xml:space="preserve"> : Spike haussier algorithmique brutal (35% de probabilité inhérente au Boom 150) pouvant violer le stop à 9,250 | Volatilité explosive imminente nécessitant un respect absolu du SL sans élargissement.</w:t>
      </w:r>
    </w:p>
    <w:p>
      <w:pPr>
        <w:pBdr>
          <w:bottom w:val="single" w:sz="6" w:space="1" w:color="CCCCCC"/>
        </w:pBdr>
      </w:pPr>
    </w:p>
    <w:p/>
    <w:p>
      <w:pPr>
        <w:jc w:val="center"/>
      </w:pPr>
      <w:r>
        <w:rPr>
          <w:color w:val="969696"/>
          <w:sz w:val="16"/>
        </w:rPr>
        <w:t>TradBOT — Rapport généré automatiquement par le bridge TradingAgents | 2026-05-21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