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jc w:val="center"/>
      </w:pPr>
      <w:r>
        <w:rPr>
          <w:color w:val="1E3C78"/>
          <w:sz w:val="40"/>
        </w:rPr>
        <w:t>Rapport d'Analyse — Boom 900 Index</w:t>
      </w:r>
    </w:p>
    <w:p>
      <w:pPr>
        <w:jc w:val="center"/>
      </w:pPr>
      <w:r>
        <w:rPr>
          <w:color w:val="646464"/>
          <w:sz w:val="20"/>
        </w:rPr>
        <w:t>Date d'analyse : 2026-05-20    |    Généré le : 2026-05-20</w:t>
      </w:r>
    </w:p>
    <w:p/>
    <w:p>
      <w:pPr>
        <w:pStyle w:val="Heading2"/>
        <w:jc w:val="left"/>
      </w:pPr>
      <w:r>
        <w:rPr>
          <w:color w:val="1E3C78"/>
        </w:rPr>
        <w:t>Signal TradingAgents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EF2FF"/>
          </w:tcPr>
          <w:p>
            <w:r>
              <w:rPr>
                <w:b/>
                <w:color w:val="3C3C3C"/>
              </w:rPr>
              <w:t>Rating brut</w:t>
            </w:r>
          </w:p>
        </w:tc>
        <w:tc>
          <w:tcPr>
            <w:tcW w:type="dxa" w:w="4320"/>
            <w:shd w:val="clear" w:color="auto" w:fill="EEF2FF"/>
          </w:tcPr>
          <w:p>
            <w:r>
              <w:t>Sell</w:t>
            </w:r>
          </w:p>
        </w:tc>
      </w:tr>
      <w:tr>
        <w:tc>
          <w:tcPr>
            <w:tcW w:type="dxa" w:w="4320"/>
          </w:tcPr>
          <w:p>
            <w:r>
              <w:rPr>
                <w:b/>
                <w:color w:val="3C3C3C"/>
              </w:rPr>
              <w:t>Décision</w:t>
            </w:r>
          </w:p>
        </w:tc>
        <w:tc>
          <w:tcPr>
            <w:tcW w:type="dxa" w:w="4320"/>
          </w:tcPr>
          <w:p>
            <w:r>
              <w:rPr>
                <w:b/>
                <w:color w:val="B41E1E"/>
                <w:sz w:val="26"/>
              </w:rPr>
              <w:t>SELL</w:t>
            </w:r>
          </w:p>
        </w:tc>
      </w:tr>
      <w:tr>
        <w:tc>
          <w:tcPr>
            <w:tcW w:type="dxa" w:w="4320"/>
            <w:shd w:val="clear" w:color="auto" w:fill="EEF2FF"/>
          </w:tcPr>
          <w:p>
            <w:r>
              <w:rPr>
                <w:b/>
                <w:color w:val="3C3C3C"/>
              </w:rPr>
              <w:t>Entry price</w:t>
            </w:r>
          </w:p>
        </w:tc>
        <w:tc>
          <w:tcPr>
            <w:tcW w:type="dxa" w:w="4320"/>
            <w:shd w:val="clear" w:color="auto" w:fill="EEF2FF"/>
          </w:tcPr>
          <w:p>
            <w:r>
              <w:t>—</w:t>
            </w:r>
          </w:p>
        </w:tc>
      </w:tr>
      <w:tr>
        <w:tc>
          <w:tcPr>
            <w:tcW w:type="dxa" w:w="4320"/>
          </w:tcPr>
          <w:p>
            <w:r>
              <w:rPr>
                <w:b/>
                <w:color w:val="3C3C3C"/>
              </w:rPr>
              <w:t>Stop Loss</w:t>
            </w:r>
          </w:p>
        </w:tc>
        <w:tc>
          <w:tcPr>
            <w:tcW w:type="dxa" w:w="4320"/>
          </w:tcPr>
          <w:p>
            <w:r>
              <w:t>—</w:t>
            </w:r>
          </w:p>
        </w:tc>
      </w:tr>
      <w:tr>
        <w:tc>
          <w:tcPr>
            <w:tcW w:type="dxa" w:w="4320"/>
            <w:shd w:val="clear" w:color="auto" w:fill="EEF2FF"/>
          </w:tcPr>
          <w:p>
            <w:r>
              <w:rPr>
                <w:b/>
                <w:color w:val="3C3C3C"/>
              </w:rPr>
              <w:t>Take Profit</w:t>
            </w:r>
          </w:p>
        </w:tc>
        <w:tc>
          <w:tcPr>
            <w:tcW w:type="dxa" w:w="4320"/>
            <w:shd w:val="clear" w:color="auto" w:fill="EEF2FF"/>
          </w:tcPr>
          <w:p>
            <w:r>
              <w:t>—</w:t>
            </w:r>
          </w:p>
        </w:tc>
      </w:tr>
      <w:tr>
        <w:tc>
          <w:tcPr>
            <w:tcW w:type="dxa" w:w="4320"/>
          </w:tcPr>
          <w:p>
            <w:r>
              <w:rPr>
                <w:b/>
                <w:color w:val="3C3C3C"/>
              </w:rPr>
              <w:t>Ratio R/R</w:t>
            </w:r>
          </w:p>
        </w:tc>
        <w:tc>
          <w:tcPr>
            <w:tcW w:type="dxa" w:w="4320"/>
          </w:tcPr>
          <w:p>
            <w:r>
              <w:t>—</w:t>
            </w:r>
          </w:p>
        </w:tc>
      </w:tr>
    </w:tbl>
    <w:p/>
    <w:p>
      <w:pPr>
        <w:jc w:val="center"/>
      </w:pPr>
      <w:r>
        <w:drawing>
          <wp:inline xmlns:a="http://schemas.openxmlformats.org/drawingml/2006/main" xmlns:pic="http://schemas.openxmlformats.org/drawingml/2006/picture">
            <wp:extent cx="2011680" cy="1605963"/>
            <wp:docPr id="1" name="Picture 1"/>
            <wp:cNvGraphicFramePr>
              <a:graphicFrameLocks noChangeAspect="1"/>
            </wp:cNvGraphicFramePr>
            <a:graphic>
              <a:graphicData uri="http://schemas.openxmlformats.org/drawingml/2006/picture">
                <pic:pic>
                  <pic:nvPicPr>
                    <pic:cNvPr id="0" name="tmpg2fqjn1l.png"/>
                    <pic:cNvPicPr/>
                  </pic:nvPicPr>
                  <pic:blipFill>
                    <a:blip r:embed="rId9"/>
                    <a:stretch>
                      <a:fillRect/>
                    </a:stretch>
                  </pic:blipFill>
                  <pic:spPr>
                    <a:xfrm>
                      <a:off x="0" y="0"/>
                      <a:ext cx="2011680" cy="1605963"/>
                    </a:xfrm>
                    <a:prstGeom prst="rect"/>
                  </pic:spPr>
                </pic:pic>
              </a:graphicData>
            </a:graphic>
          </wp:inline>
        </w:drawing>
      </w:r>
      <w:r>
        <w:t xml:space="preserve">    </w:t>
      </w:r>
    </w:p>
    <w:p>
      <w:pPr>
        <w:pBdr>
          <w:bottom w:val="single" w:sz="6" w:space="1" w:color="CCCCCC"/>
        </w:pBdr>
      </w:pPr>
    </w:p>
    <w:p>
      <w:pPr>
        <w:pStyle w:val="Heading2"/>
        <w:jc w:val="left"/>
      </w:pPr>
      <w:r>
        <w:rPr>
          <w:color w:val="1E3C78"/>
        </w:rPr>
        <w:t>Décision Portfolio Manager</w:t>
      </w:r>
    </w:p>
    <w:p>
      <w:pPr>
        <w:jc w:val="both"/>
      </w:pPr>
      <w:r>
        <w:rPr>
          <w:b/>
          <w:color w:val="1E3C78"/>
        </w:rPr>
        <w:t>Rating: Sell</w:t>
      </w:r>
    </w:p>
    <w:p>
      <w:pPr>
        <w:jc w:val="both"/>
      </w:pPr>
      <w:r>
        <w:rPr>
          <w:b/>
          <w:color w:val="1E3C78"/>
        </w:rPr>
        <w:t>Executive Summary: Execute immediate exit of all BOOM900INDEX positions at market and withdraw capital from Deriv platform. This instrument fails fundamental due diligence standards: eight months of unverifiable pricing data, 100% counterparty dependency on an unregulated offshore operator, zero institutional validation, and structural design that resembles a gaming product rather than a legitimate trading instrument. The complete absence of independent price verification makes risk management impossible. Target allocation: 0%.</w:t>
      </w:r>
    </w:p>
    <w:p>
      <w:pPr>
        <w:jc w:val="both"/>
      </w:pPr>
      <w:r>
        <w:rPr>
          <w:b/>
          <w:color w:val="1E3C78"/>
        </w:rPr>
        <w:t>Investment Thesis: After synthesizing three analyst perspectives, the evidence overwhelmingly supports an immediate exit from BOOM900INDEX, though the path to this conclusion requires addressing the Aggressive Analyst's arguments directly.</w:t>
      </w:r>
    </w:p>
    <w:p>
      <w:pPr>
        <w:jc w:val="both"/>
      </w:pPr>
      <w:r>
        <w:rPr>
          <w:sz w:val="22"/>
        </w:rPr>
        <w:t>**The Data Void is Disqualifying, Not a Configuration Issue**</w:t>
      </w:r>
    </w:p>
    <w:p>
      <w:pPr>
        <w:jc w:val="both"/>
      </w:pPr>
      <w:r>
        <w:rPr>
          <w:sz w:val="20"/>
        </w:rPr>
        <w:t>The Aggressive Analyst's core thesis—that eight months of missing data represents merely a "telescope pointing in the wrong direction"—collapses under scrutiny. As the Neutral Analyst correctly identifies, professional market data infrastructure has handled 24/7 markets (forex, crypto, Bitcoin futures) for decades without issue. The claim that BOOM900INDEX is somehow unique in being uncapturable by standard feeds defies technical reality. When every data provider returns "Not a trading day" for eight consecutive months while successfully tracking other continuous markets, this isn't a configuration problem—it's evidence that no independent third party can verify pricing on this instrument.</w:t>
      </w:r>
    </w:p>
    <w:p>
      <w:pPr>
        <w:jc w:val="both"/>
      </w:pPr>
      <w:r>
        <w:rPr>
          <w:sz w:val="22"/>
        </w:rPr>
        <w:t>The Neutral Analyst's insight is critical here: the opacity isn't a bug, it's the business model's core feature. Without independent pricing verification, there's no way to prove fair execution, no ability to backtest claims, and no recourse against selective execution or price manipulation.</w:t>
      </w:r>
    </w:p>
    <w:p>
      <w:pPr>
        <w:jc w:val="both"/>
      </w:pPr>
      <w:r>
        <w:rPr>
          <w:sz w:val="22"/>
        </w:rPr>
        <w:t>**Counterparty Risk is Categorically Different from Regulated Synthetics**</w:t>
      </w:r>
    </w:p>
    <w:p>
      <w:pPr>
        <w:jc w:val="both"/>
      </w:pPr>
      <w:r>
        <w:rPr>
          <w:sz w:val="20"/>
        </w:rPr>
        <w:t>The Aggressive Analyst's comparison between Deriv and JP Morgan structured notes or Goldman variance swaps represents a fundamental misunderstanding of risk hierarchy. As the Conservative Analyst details, JP Morgan exposure comes with: credit ratings, audited financials, bankruptcy-remote structures, multiple regulatory overseers, quarterly transparency, and legal recourse in established jurisdictions. Deriv provides none of these safeguards.</w:t>
      </w:r>
    </w:p>
    <w:p>
      <w:pPr>
        <w:jc w:val="both"/>
      </w:pPr>
      <w:r>
        <w:rPr>
          <w:sz w:val="20"/>
        </w:rPr>
        <w:t>More precisely, as the Neutral Analyst clarifies, this isn't even traditional counterparty risk—it's counterparty dependency. Deriv simultaneously acts as market maker, algorithm controller, price feed provider, and sole execution venue. You're not trading against other market participants; you're placing bets where the house controls the RNG, sets the odds, pays from their own book, and can adjust parameters without oversight. The Malta Gaming Authority oversees casinos, not investment-grade financial products.</w:t>
      </w:r>
    </w:p>
    <w:p>
      <w:pPr>
        <w:jc w:val="both"/>
      </w:pPr>
      <w:r>
        <w:rPr>
          <w:sz w:val="22"/>
        </w:rPr>
        <w:t>**Zero Institutional Participation is a Red Flag, Not an Opportunity**</w:t>
      </w:r>
    </w:p>
    <w:p>
      <w:pPr>
        <w:jc w:val="both"/>
      </w:pPr>
      <w:r>
        <w:rPr>
          <w:sz w:val="20"/>
        </w:rPr>
        <w:t>The Aggressive Analyst's framing of absent institutional capital as "being early" employs dangerous survivorship bias. For every Bitcoin or early Tesla, thousands of obscure instruments remained obscure because sophisticated players with due diligence resources correctly identified them as inappropriate. As the Neutral Analyst notes, quant funds like Renaissance and Two Sigma aren't "slow to find edges"—they're absent because there's no legitimate edge in trading against a proprietary algorithm controlled by your counterparty on an unregulated platform.</w:t>
      </w:r>
    </w:p>
    <w:p>
      <w:pPr>
        <w:jc w:val="both"/>
      </w:pPr>
      <w:r>
        <w:rPr>
          <w:sz w:val="22"/>
        </w:rPr>
        <w:t>The social sentiment report showing zero coverage across all channels (institutional research, retail forums, news media) isn't signal absence indicating inefficiency—it's the market's collective conclusion that nothing here warrants attention.</w:t>
      </w:r>
    </w:p>
    <w:p>
      <w:pPr>
        <w:jc w:val="both"/>
      </w:pPr>
      <w:r>
        <w:rPr>
          <w:sz w:val="22"/>
        </w:rPr>
        <w:t>**Technical Analysis Cannot Function in a Non-Market Environment**</w:t>
      </w:r>
    </w:p>
    <w:p>
      <w:pPr>
        <w:jc w:val="both"/>
      </w:pPr>
      <w:r>
        <w:rPr>
          <w:sz w:val="20"/>
        </w:rPr>
        <w:t>The Aggressive Analyst's proposed strategy (10 EMA entries, RSI confirmation, MACD crossovers, Bollinger Bands, ATR stops) sounds sophisticated but is meaningless when applied to operator-controlled synthetic prices. Technical analysis assumes market-driven price discovery reflecting supply and demand. BOOM900INDEX prices are algorithm-generated outputs from a black box Deriv controls. As the Neutral Analyst emphasizes, you cannot identify trading edges in a random number generator the house operates and can adjust. Your "tight stops" are suggestions the counterparty may or may not honor when liquidity disappears or spreads blow out.</w:t>
      </w:r>
    </w:p>
    <w:p>
      <w:pPr>
        <w:jc w:val="both"/>
      </w:pPr>
      <w:r>
        <w:rPr>
          <w:sz w:val="22"/>
        </w:rPr>
        <w:t>**The Risk-Reward Math is Asymmetric in the Wrong Direction**</w:t>
      </w:r>
    </w:p>
    <w:p>
      <w:pPr>
        <w:jc w:val="both"/>
      </w:pPr>
      <w:r>
        <w:rPr>
          <w:sz w:val="20"/>
        </w:rPr>
        <w:t>Even the Aggressive Analyst's "conservative" 2-5% exploratory position with 1.5x ATR stops assumes market mechanics that don't exist here. In thin liquidity with operator-controlled pricing, stop losses are unenforceable. A 2% position sounds small until you recognize you're deploying that capital into an environment where you cannot verify a single price point, cannot prove fair execution, have zero legal recourse, and face total information asymmetry. As the Conservative Analyst correctly states, this isn't calculated risk-taking—it's gambling with client capital while using investment terminology.</w:t>
      </w:r>
    </w:p>
    <w:p>
      <w:pPr>
        <w:jc w:val="both"/>
      </w:pPr>
      <w:r>
        <w:rPr>
          <w:sz w:val="20"/>
        </w:rPr>
        <w:t>The Neutral Analyst provides the critical reframing: this isn't an investment decision at all. BOOM900INDEX is a gaming product using trading language. The appropriate comparison isn't early Bitcoin or contrarian equity plays—it's online poker or sports betting, where house edge and structural advantages systematically extract value over time from the vast majority of participants.</w:t>
      </w:r>
    </w:p>
    <w:p>
      <w:pPr>
        <w:jc w:val="both"/>
      </w:pPr>
      <w:r>
        <w:rPr>
          <w:sz w:val="22"/>
        </w:rPr>
        <w:t>**The Regulatory Reality is Disqualifying**</w:t>
      </w:r>
    </w:p>
    <w:p>
      <w:pPr>
        <w:jc w:val="both"/>
      </w:pPr>
      <w:r>
        <w:rPr>
          <w:sz w:val="20"/>
        </w:rPr>
        <w:t>Deriv's history operating as Binary.com in the binary options space—an industry ultimately banned in the EU for predatory practices—cannot be dismissed as "guilt by association." Combined with current offshore structuring, minimal oversight under gaming rather than securities regulation, and marketing to restricted jurisdictions, this represents systematic regulatory arbitrage, not legitimate innovation ahead of mainstream adoption.</w:t>
      </w:r>
    </w:p>
    <w:p>
      <w:pPr>
        <w:jc w:val="both"/>
      </w:pPr>
      <w:r>
        <w:rPr>
          <w:sz w:val="22"/>
        </w:rPr>
        <w:t>**The Moderate Position is Still Exit**</w:t>
      </w:r>
    </w:p>
    <w:p>
      <w:pPr>
        <w:jc w:val="both"/>
      </w:pPr>
      <w:r>
        <w:rPr>
          <w:sz w:val="20"/>
        </w:rPr>
        <w:t>The Neutral Analyst's synthesis is most persuasive: this isn't about splitting the difference between 0% and 5% allocation. When an instrument fails every standard due diligence check (no independent pricing, no regulatory protection, no custody safeguards, complete counterparty dependency, zero documented success cases), the balanced response isn't cautious exploration—it's accurate categorization followed by appropriate action.</w:t>
      </w:r>
    </w:p>
    <w:p>
      <w:pPr>
        <w:jc w:val="both"/>
      </w:pPr>
      <w:r>
        <w:rPr>
          <w:sz w:val="20"/>
        </w:rPr>
        <w:t>The trader's recommendation to exit immediately and withdraw capital isn't excessive risk aversion—it's the definitionally correct response to discovering you're not in a market with verifiable price discovery, but rather in a gaming environment where you cannot verify fairness and face permanent structural disadvantages.</w:t>
      </w:r>
    </w:p>
    <w:p>
      <w:pPr>
        <w:jc w:val="both"/>
      </w:pPr>
      <w:r>
        <w:rPr>
          <w:sz w:val="22"/>
        </w:rPr>
        <w:t>**Strategic Implementation**</w:t>
      </w:r>
    </w:p>
    <w:p>
      <w:pPr>
        <w:jc w:val="both"/>
      </w:pPr>
      <w:r>
        <w:rPr>
          <w:sz w:val="22"/>
        </w:rPr>
        <w:t>For existing positions: immediate market exit regardless of P&amp;L, document all transactions with screenshots before closing, initiate full capital withdrawal from Deriv platform, and monitor withdrawal completion to primary bank account.</w:t>
      </w:r>
    </w:p>
    <w:p>
      <w:pPr>
        <w:jc w:val="both"/>
      </w:pPr>
      <w:r>
        <w:rPr>
          <w:sz w:val="20"/>
        </w:rPr>
        <w:t>For capital redeployment: if seeking volatility exposure, VIX options on CBOE provide regulated transparent alternatives; if seeking 24/7 trading, Bitcoin or major cryptocurrencies on regulated exchanges with proof-of-reserves offer verifiable infrastructure; if seeking synthetic products, structured notes from major banks provide regulatory oversight and custody protection.</w:t>
      </w:r>
    </w:p>
    <w:p>
      <w:pPr>
        <w:jc w:val="both"/>
      </w:pPr>
      <w:r>
        <w:rPr>
          <w:sz w:val="22"/>
        </w:rPr>
        <w:t>**Conclusion**</w:t>
      </w:r>
    </w:p>
    <w:p>
      <w:pPr>
        <w:jc w:val="both"/>
      </w:pPr>
      <w:r>
        <w:rPr>
          <w:sz w:val="20"/>
        </w:rPr>
        <w:t>The Aggressive Analyst is correct that we shouldn't automatically reject unfamiliar structures. But as the Neutral Analyst clarifies, unfamiliar doesn't mean unverifiable. Legitimate exotic derivatives still provide independent pricing, regulatory oversight, and transparent risk factors. BOOM900INDEX provides none of these. The complete absence of verifiable information isn't an advantage signaling early-mover opportunity—it's disqualifying evidence of an instrument designed to extract value from traders who don't recognize the structural disadvantages they're accepting.</w:t>
      </w:r>
    </w:p>
    <w:p>
      <w:pPr>
        <w:jc w:val="both"/>
      </w:pPr>
      <w:r>
        <w:rPr>
          <w:sz w:val="22"/>
        </w:rPr>
        <w:t>This recommendation is based not on risk aversion but on accurate categorization: BOOM900INDEX fails minimum standards required for fiduciary-appropriate investment, and the proper response is immediate exit and permanent avoidance.</w:t>
      </w:r>
    </w:p>
    <w:p>
      <w:pPr>
        <w:jc w:val="both"/>
      </w:pPr>
      <w:r>
        <w:rPr>
          <w:b/>
          <w:color w:val="1E3C78"/>
        </w:rPr>
        <w:t>Time Horizon: Immediate exit</w:t>
      </w:r>
    </w:p>
    <w:p>
      <w:pPr>
        <w:pBdr>
          <w:bottom w:val="single" w:sz="6" w:space="1" w:color="CCCCCC"/>
        </w:pBdr>
      </w:pPr>
    </w:p>
    <w:p>
      <w:pPr>
        <w:pStyle w:val="Heading2"/>
        <w:jc w:val="left"/>
      </w:pPr>
      <w:r>
        <w:rPr>
          <w:color w:val="1E643C"/>
        </w:rPr>
        <w:t>Plan Trader</w:t>
      </w:r>
    </w:p>
    <w:p>
      <w:pPr>
        <w:jc w:val="both"/>
      </w:pPr>
      <w:r>
        <w:rPr>
          <w:b/>
          <w:color w:val="1E643C"/>
        </w:rPr>
        <w:t>Action: Sell</w:t>
      </w:r>
    </w:p>
    <w:p>
      <w:pPr>
        <w:jc w:val="both"/>
      </w:pPr>
      <w:r>
        <w:rPr>
          <w:b/>
          <w:color w:val="1E643C"/>
        </w:rPr>
        <w:t>Reasoning: The comprehensive analysis reveals disqualifying fundamental flaws in BOOM900INDEX: eight consecutive months of missing verifiable price data, 100% counterparty risk to a single offshore operator (Deriv) acting as both market maker and algorithm controller, zero institutional participation despite claims of trading edge, and serious regulatory red flags stemming from the operator's binary options history. The structural design resembles a casino product rather than a legitimate trading instrument, with no independent verification possible, no custody protection, and complete dependence on an unregulated entity. The instrument fails minimum due diligence standards required for any investable asset.</w:t>
      </w:r>
    </w:p>
    <w:p>
      <w:pPr>
        <w:jc w:val="both"/>
      </w:pPr>
      <w:r>
        <w:rPr>
          <w:b/>
          <w:color w:val="1E643C"/>
        </w:rPr>
        <w:t>Position Sizing: 0% portfolio allocation - exit all existing positions immediately at market prices and withdraw all capital from the platform</w:t>
      </w:r>
    </w:p>
    <w:p>
      <w:pPr>
        <w:jc w:val="both"/>
      </w:pPr>
      <w:r>
        <w:rPr>
          <w:sz w:val="22"/>
        </w:rPr>
        <w:t>FINAL TRANSACTION PROPOSAL: **SELL**</w:t>
      </w:r>
    </w:p>
    <w:p>
      <w:pPr>
        <w:pBdr>
          <w:bottom w:val="single" w:sz="6" w:space="1" w:color="CCCCCC"/>
        </w:pBdr>
      </w:pPr>
    </w:p>
    <w:p>
      <w:pPr>
        <w:pStyle w:val="Heading2"/>
        <w:jc w:val="left"/>
      </w:pPr>
      <w:r>
        <w:rPr>
          <w:color w:val="502878"/>
        </w:rPr>
        <w:t>Rapport Marché</w:t>
      </w:r>
    </w:p>
    <w:p>
      <w:pPr>
        <w:jc w:val="both"/>
      </w:pPr>
      <w:r>
        <w:rPr>
          <w:sz w:val="22"/>
        </w:rPr>
        <w:t>---</w:t>
      </w:r>
    </w:p>
    <w:p>
      <w:pPr>
        <w:jc w:val="both"/>
      </w:pPr>
      <w:r>
        <w:rPr>
          <w:sz w:val="22"/>
        </w:rPr>
        <w:t>## **TECHNICAL ANALYSIS REPORT: BOOM900INDEX**</w:t>
        <w:br/>
        <w:t>### **Analysis Date: May 20, 2026**</w:t>
      </w:r>
    </w:p>
    <w:p>
      <w:pPr>
        <w:jc w:val="both"/>
      </w:pPr>
      <w:r>
        <w:rPr>
          <w:sz w:val="22"/>
        </w:rPr>
        <w:t>---</w:t>
      </w:r>
    </w:p>
    <w:p>
      <w:pPr>
        <w:jc w:val="both"/>
      </w:pPr>
      <w:r>
        <w:rPr>
          <w:sz w:val="22"/>
        </w:rPr>
        <w:t>### **CRITICAL DATA AVAILABILITY ISSUE**</w:t>
      </w:r>
    </w:p>
    <w:p>
      <w:pPr>
        <w:jc w:val="both"/>
      </w:pPr>
      <w:r>
        <w:rPr>
          <w:sz w:val="22"/>
        </w:rPr>
        <w:t>Unfortunately, I must report a **significant data availability problem** with BOOM900INDEX. All technical indicators requested—spanning from September 2025 through May 2026—are returning "N/A: Not a trading day (weekend or holiday)" for every single date queried.</w:t>
      </w:r>
    </w:p>
    <w:p>
      <w:pPr>
        <w:jc w:val="both"/>
      </w:pPr>
      <w:r>
        <w:rPr>
          <w:sz w:val="22"/>
        </w:rPr>
        <w:t>This comprehensive absence of data indicates one of several possibilities:</w:t>
      </w:r>
    </w:p>
    <w:p>
      <w:pPr>
        <w:jc w:val="both"/>
      </w:pPr>
      <w:r>
        <w:rPr>
          <w:sz w:val="20"/>
        </w:rPr>
        <w:t>1. **Market Closure or Suspension**: The BOOM900INDEX may have been delisted, suspended, or discontinued during this period</w:t>
        <w:br/>
        <w:t>2. **Data Feed Issues**: The data provider may have discontinued coverage of this synthetic index</w:t>
        <w:br/>
        <w:t>3. **Ticker Symbol Change**: The instrument may have been renamed or restructured</w:t>
        <w:br/>
        <w:t>4. **Trading Platform Specific**: BOOM900INDEX is a Deriv synthetic index that may require platform-specific access</w:t>
      </w:r>
    </w:p>
    <w:p>
      <w:pPr>
        <w:jc w:val="both"/>
      </w:pPr>
      <w:r>
        <w:rPr>
          <w:sz w:val="22"/>
        </w:rPr>
        <w:t>---</w:t>
      </w:r>
    </w:p>
    <w:p>
      <w:pPr>
        <w:jc w:val="both"/>
      </w:pPr>
      <w:r>
        <w:rPr>
          <w:sz w:val="22"/>
        </w:rPr>
        <w:t>### **ABOUT BOOM900INDEX**</w:t>
      </w:r>
    </w:p>
    <w:p>
      <w:pPr>
        <w:jc w:val="both"/>
      </w:pPr>
      <w:r>
        <w:rPr>
          <w:sz w:val="22"/>
        </w:rPr>
        <w:t>The **Boom 900 Index** is typically a synthetic index offered by Deriv (formerly Binary.com) that simulates a market with frequent upward price spikes. Key characteristics normally include:</w:t>
      </w:r>
    </w:p>
    <w:p>
      <w:pPr>
        <w:jc w:val="both"/>
      </w:pPr>
      <w:r>
        <w:rPr>
          <w:sz w:val="20"/>
        </w:rPr>
        <w:t>- **Synthetic Nature**: Not based on real-world assets but on random number generation with controlled volatility</w:t>
        <w:br/>
        <w:t>- **24/7 Trading**: Usually trades continuously without traditional market hours</w:t>
        <w:br/>
        <w:t>- **Spike Frequency**: Designed to have price "booms" (sharp upward movements) approximately every 900 ticks on average</w:t>
        <w:br/>
        <w:t>- **High Volatility**: Extreme price movements designed for short-term trading strategies</w:t>
      </w:r>
    </w:p>
    <w:p>
      <w:pPr>
        <w:jc w:val="both"/>
      </w:pPr>
      <w:r>
        <w:rPr>
          <w:sz w:val="22"/>
        </w:rPr>
        <w:t>---</w:t>
      </w:r>
    </w:p>
    <w:p>
      <w:pPr>
        <w:jc w:val="both"/>
      </w:pPr>
      <w:r>
        <w:rPr>
          <w:sz w:val="22"/>
        </w:rPr>
        <w:t>### **SELECTED INDICATORS &amp; RATIONALE**</w:t>
      </w:r>
    </w:p>
    <w:p>
      <w:pPr>
        <w:jc w:val="both"/>
      </w:pPr>
      <w:r>
        <w:rPr>
          <w:sz w:val="22"/>
        </w:rPr>
        <w:t>Despite the data unavailability, I selected the following 8 complementary indicators for analyzing volatile synthetic indices like BOOM900INDEX:</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**Indicator**</w:t>
            </w:r>
          </w:p>
        </w:tc>
        <w:tc>
          <w:tcPr>
            <w:tcW w:type="dxa" w:w="2160"/>
          </w:tcPr>
          <w:p>
            <w:r>
              <w:rPr>
                <w:b/>
              </w:rPr>
              <w:t>**Purpose**</w:t>
            </w:r>
          </w:p>
        </w:tc>
        <w:tc>
          <w:tcPr>
            <w:tcW w:type="dxa" w:w="2160"/>
          </w:tcPr>
          <w:p>
            <w:r>
              <w:rPr>
                <w:b/>
              </w:rPr>
              <w:t>**Why Suitable for BOOM900INDEX**</w:t>
            </w:r>
          </w:p>
        </w:tc>
      </w:tr>
      <w:tr>
        <w:tc>
          <w:tcPr>
            <w:tcW w:type="dxa" w:w="2160"/>
          </w:tcPr>
          <w:p>
            <w:r>
              <w:t>**Trend - Long**</w:t>
            </w:r>
          </w:p>
        </w:tc>
        <w:tc>
          <w:tcPr>
            <w:tcW w:type="dxa" w:w="2160"/>
          </w:tcPr>
          <w:p>
            <w:r>
              <w:t>close_200_sma</w:t>
            </w:r>
          </w:p>
        </w:tc>
        <w:tc>
          <w:tcPr>
            <w:tcW w:type="dxa" w:w="2160"/>
          </w:tcPr>
          <w:p>
            <w:r>
              <w:t>Long-term trend benchmark</w:t>
            </w:r>
          </w:p>
        </w:tc>
        <w:tc>
          <w:tcPr>
            <w:tcW w:type="dxa" w:w="2160"/>
          </w:tcPr>
          <w:p>
            <w:r>
              <w:t>Helps identify overall market bias in synthetic indices</w:t>
            </w:r>
          </w:p>
        </w:tc>
      </w:tr>
      <w:tr>
        <w:tc>
          <w:tcPr>
            <w:tcW w:type="dxa" w:w="2160"/>
          </w:tcPr>
          <w:p>
            <w:r>
              <w:t>**Trend - Medium**</w:t>
            </w:r>
          </w:p>
        </w:tc>
        <w:tc>
          <w:tcPr>
            <w:tcW w:type="dxa" w:w="2160"/>
          </w:tcPr>
          <w:p>
            <w:r>
              <w:t>close_50_sma</w:t>
            </w:r>
          </w:p>
        </w:tc>
        <w:tc>
          <w:tcPr>
            <w:tcW w:type="dxa" w:w="2160"/>
          </w:tcPr>
          <w:p>
            <w:r>
              <w:t>Medium-term trend confirmation</w:t>
            </w:r>
          </w:p>
        </w:tc>
        <w:tc>
          <w:tcPr>
            <w:tcW w:type="dxa" w:w="2160"/>
          </w:tcPr>
          <w:p>
            <w:r>
              <w:t>Filters noise while staying responsive to genuine trend shifts</w:t>
            </w:r>
          </w:p>
        </w:tc>
      </w:tr>
      <w:tr>
        <w:tc>
          <w:tcPr>
            <w:tcW w:type="dxa" w:w="2160"/>
          </w:tcPr>
          <w:p>
            <w:r>
              <w:t>**Trend - Short**</w:t>
            </w:r>
          </w:p>
        </w:tc>
        <w:tc>
          <w:tcPr>
            <w:tcW w:type="dxa" w:w="2160"/>
          </w:tcPr>
          <w:p>
            <w:r>
              <w:t>close_10_ema</w:t>
            </w:r>
          </w:p>
        </w:tc>
        <w:tc>
          <w:tcPr>
            <w:tcW w:type="dxa" w:w="2160"/>
          </w:tcPr>
          <w:p>
            <w:r>
              <w:t>Quick momentum capture</w:t>
            </w:r>
          </w:p>
        </w:tc>
        <w:tc>
          <w:tcPr>
            <w:tcW w:type="dxa" w:w="2160"/>
          </w:tcPr>
          <w:p>
            <w:r>
              <w:t>Essential for capturing rapid spike movements characteristic of Boom indices</w:t>
            </w:r>
          </w:p>
        </w:tc>
      </w:tr>
      <w:tr>
        <w:tc>
          <w:tcPr>
            <w:tcW w:type="dxa" w:w="2160"/>
          </w:tcPr>
          <w:p>
            <w:r>
              <w:t>**Momentum**</w:t>
            </w:r>
          </w:p>
        </w:tc>
        <w:tc>
          <w:tcPr>
            <w:tcW w:type="dxa" w:w="2160"/>
          </w:tcPr>
          <w:p>
            <w:r>
              <w:t>macd</w:t>
            </w:r>
          </w:p>
        </w:tc>
        <w:tc>
          <w:tcPr>
            <w:tcW w:type="dxa" w:w="2160"/>
          </w:tcPr>
          <w:p>
            <w:r>
              <w:t>Trend change detection</w:t>
            </w:r>
          </w:p>
        </w:tc>
        <w:tc>
          <w:tcPr>
            <w:tcW w:type="dxa" w:w="2160"/>
          </w:tcPr>
          <w:p>
            <w:r>
              <w:t>Identifies momentum shifts before and after spike events</w:t>
            </w:r>
          </w:p>
        </w:tc>
      </w:tr>
      <w:tr>
        <w:tc>
          <w:tcPr>
            <w:tcW w:type="dxa" w:w="2160"/>
          </w:tcPr>
          <w:p>
            <w:r>
              <w:t>**Momentum**</w:t>
            </w:r>
          </w:p>
        </w:tc>
        <w:tc>
          <w:tcPr>
            <w:tcW w:type="dxa" w:w="2160"/>
          </w:tcPr>
          <w:p>
            <w:r>
              <w:t>macdh</w:t>
            </w:r>
          </w:p>
        </w:tc>
        <w:tc>
          <w:tcPr>
            <w:tcW w:type="dxa" w:w="2160"/>
          </w:tcPr>
          <w:p>
            <w:r>
              <w:t>Early divergence signals</w:t>
            </w:r>
          </w:p>
        </w:tc>
        <w:tc>
          <w:tcPr>
            <w:tcW w:type="dxa" w:w="2160"/>
          </w:tcPr>
          <w:p>
            <w:r>
              <w:t>Histogram provides early warning of momentum exhaustion</w:t>
            </w:r>
          </w:p>
        </w:tc>
      </w:tr>
      <w:tr>
        <w:tc>
          <w:tcPr>
            <w:tcW w:type="dxa" w:w="2160"/>
          </w:tcPr>
          <w:p>
            <w:r>
              <w:t>**Momentum**</w:t>
            </w:r>
          </w:p>
        </w:tc>
        <w:tc>
          <w:tcPr>
            <w:tcW w:type="dxa" w:w="2160"/>
          </w:tcPr>
          <w:p>
            <w:r>
              <w:t>rsi</w:t>
            </w:r>
          </w:p>
        </w:tc>
        <w:tc>
          <w:tcPr>
            <w:tcW w:type="dxa" w:w="2160"/>
          </w:tcPr>
          <w:p>
            <w:r>
              <w:t>Overbought/oversold conditions</w:t>
            </w:r>
          </w:p>
        </w:tc>
        <w:tc>
          <w:tcPr>
            <w:tcW w:type="dxa" w:w="2160"/>
          </w:tcPr>
          <w:p>
            <w:r>
              <w:t>Critical for identifying reversal zones after boom spikes</w:t>
            </w:r>
          </w:p>
        </w:tc>
      </w:tr>
      <w:tr>
        <w:tc>
          <w:tcPr>
            <w:tcW w:type="dxa" w:w="2160"/>
          </w:tcPr>
          <w:p>
            <w:r>
              <w:t>**Volatility**</w:t>
            </w:r>
          </w:p>
        </w:tc>
        <w:tc>
          <w:tcPr>
            <w:tcW w:type="dxa" w:w="2160"/>
          </w:tcPr>
          <w:p>
            <w:r>
              <w:t>boll_ub &amp; boll_lb</w:t>
            </w:r>
          </w:p>
        </w:tc>
        <w:tc>
          <w:tcPr>
            <w:tcW w:type="dxa" w:w="2160"/>
          </w:tcPr>
          <w:p>
            <w:r>
              <w:t>Breakout and reversal zones</w:t>
            </w:r>
          </w:p>
        </w:tc>
        <w:tc>
          <w:tcPr>
            <w:tcW w:type="dxa" w:w="2160"/>
          </w:tcPr>
          <w:p>
            <w:r>
              <w:t>Bollinger Bands excel at capturing extreme volatility characteristic of synthetic indices</w:t>
            </w:r>
          </w:p>
        </w:tc>
      </w:tr>
      <w:tr>
        <w:tc>
          <w:tcPr>
            <w:tcW w:type="dxa" w:w="2160"/>
          </w:tcPr>
          <w:p>
            <w:r>
              <w:t>**Volatility**</w:t>
            </w:r>
          </w:p>
        </w:tc>
        <w:tc>
          <w:tcPr>
            <w:tcW w:type="dxa" w:w="2160"/>
          </w:tcPr>
          <w:p>
            <w:r>
              <w:t>atr</w:t>
            </w:r>
          </w:p>
        </w:tc>
        <w:tc>
          <w:tcPr>
            <w:tcW w:type="dxa" w:w="2160"/>
          </w:tcPr>
          <w:p>
            <w:r>
              <w:t>Risk management</w:t>
            </w:r>
          </w:p>
        </w:tc>
        <w:tc>
          <w:tcPr>
            <w:tcW w:type="dxa" w:w="2160"/>
          </w:tcPr>
          <w:p>
            <w:r>
              <w:t>Essential for position sizing in high-volatility synthetic markets</w:t>
            </w:r>
          </w:p>
        </w:tc>
      </w:tr>
    </w:tbl>
    <w:p/>
    <w:p>
      <w:pPr>
        <w:jc w:val="both"/>
      </w:pPr>
      <w:r>
        <w:rPr>
          <w:sz w:val="22"/>
        </w:rPr>
        <w:t>---</w:t>
      </w:r>
    </w:p>
    <w:p>
      <w:pPr>
        <w:jc w:val="both"/>
      </w:pPr>
      <w:r>
        <w:rPr>
          <w:sz w:val="22"/>
        </w:rPr>
        <w:t>### **MARKET CONTEXT &amp; TRADING IMPLICATIONS**</w:t>
      </w:r>
    </w:p>
    <w:p>
      <w:pPr>
        <w:jc w:val="both"/>
      </w:pPr>
      <w:r>
        <w:rPr>
          <w:sz w:val="22"/>
        </w:rPr>
        <w:t>#### **For Boom Indices Generally:**</w:t>
      </w:r>
    </w:p>
    <w:p>
      <w:pPr>
        <w:jc w:val="both"/>
      </w:pPr>
      <w:r>
        <w:rPr>
          <w:b/>
          <w:color w:val="502878"/>
        </w:rPr>
        <w:t>Normal Trading Characteristics:</w:t>
        <w:br/>
        <w:t>- Spike Pattern: Regular upward price explosions followed by consolidation or retracement</w:t>
        <w:br/>
        <w:t>- Mean Reversion: After spikes, prices typically return toward moving averages</w:t>
        <w:br/>
        <w:t>- False Breakouts: Common due to synthetic volatility programming</w:t>
      </w:r>
    </w:p>
    <w:p>
      <w:pPr>
        <w:jc w:val="both"/>
      </w:pPr>
      <w:r>
        <w:rPr>
          <w:b/>
          <w:color w:val="502878"/>
        </w:rPr>
        <w:t>Recommended Strategy (When Data Available):</w:t>
        <w:br/>
        <w:t>1. 10 EMA for Entry Timing: Watch for price crossing above 10 EMA after a spike retracement</w:t>
        <w:br/>
        <w:t>2. RSI Confirmation: Enter when RSI recovers from oversold (&lt;30) or shows bullish divergence</w:t>
        <w:br/>
        <w:t>3. MACD Crossovers: Look for MACD line crossing above signal line as momentum confirmation</w:t>
        <w:br/>
        <w:t xml:space="preserve">4. Bollinger Band Strategy: </w:t>
        <w:br/>
        <w:t xml:space="preserve">   - Buy near lower band when expecting next boom cycle</w:t>
        <w:br/>
        <w:t xml:space="preserve">   - Sell/take profit when price touches upper band</w:t>
        <w:br/>
        <w:t>5. ATR for Stop-Loss: Set stops at 1.5-2x ATR to avoid premature exits from volatility</w:t>
      </w:r>
    </w:p>
    <w:p>
      <w:pPr>
        <w:jc w:val="both"/>
      </w:pPr>
      <w:r>
        <w:rPr>
          <w:sz w:val="22"/>
        </w:rPr>
        <w:t>---</w:t>
      </w:r>
    </w:p>
    <w:p>
      <w:pPr>
        <w:jc w:val="both"/>
      </w:pPr>
      <w:r>
        <w:rPr>
          <w:sz w:val="22"/>
        </w:rPr>
        <w:t>### **ACTIONABLE RECOMMENDATIONS**</w:t>
      </w:r>
    </w:p>
    <w:p>
      <w:pPr>
        <w:jc w:val="both"/>
      </w:pPr>
      <w:r>
        <w:rPr>
          <w:sz w:val="22"/>
        </w:rPr>
        <w:t>Given the complete data blackout, I recommend the following actions:</w:t>
      </w:r>
    </w:p>
    <w:p>
      <w:pPr>
        <w:jc w:val="both"/>
      </w:pPr>
      <w:r>
        <w:rPr>
          <w:sz w:val="20"/>
        </w:rPr>
        <w:t>#### **Immediate Actions:**</w:t>
        <w:br/>
        <w:t>1. **Verify Platform Status**: Check directly with Deriv or your broker whether BOOM900INDEX is still actively traded</w:t>
        <w:br/>
        <w:t>2. **Alternate Tickers**: Try alternative ticker formats:</w:t>
        <w:br/>
        <w:t xml:space="preserve">   - `BOOM1000INDEX` or `BOOM500INDEX` (different volatility versions)</w:t>
        <w:br/>
        <w:t xml:space="preserve">   - Check if the index has been renamed or replaced</w:t>
        <w:br/>
        <w:t>3. **Platform Access**: Ensure your data subscription includes synthetic indices</w:t>
        <w:br/>
        <w:t>4. **Check Trading Calendar**: Verify there hasn't been an extended market holiday or technical maintenance</w:t>
      </w:r>
    </w:p>
    <w:p>
      <w:pPr>
        <w:jc w:val="both"/>
      </w:pPr>
      <w:r>
        <w:rPr>
          <w:sz w:val="20"/>
        </w:rPr>
        <w:t>#### **Alternative Analysis:**</w:t>
        <w:br/>
        <w:t>Without historical data, technical analysis cannot be performed. Consider:</w:t>
        <w:br/>
        <w:t>- **Live Platform Charts**: Use Deriv's proprietary platform for real-time analysis</w:t>
        <w:br/>
        <w:t>- **Pattern Recognition**: Manually observe recent spike frequency and amplitude</w:t>
        <w:br/>
        <w:t>- **Volume Analysis**: Monitor tick volume if available on the trading platform</w:t>
      </w:r>
    </w:p>
    <w:p>
      <w:pPr>
        <w:jc w:val="both"/>
      </w:pPr>
      <w:r>
        <w:rPr>
          <w:sz w:val="22"/>
        </w:rPr>
        <w:t>---</w:t>
      </w:r>
    </w:p>
    <w:p>
      <w:pPr>
        <w:jc w:val="both"/>
      </w:pPr>
      <w:r>
        <w:rPr>
          <w:sz w:val="22"/>
        </w:rPr>
        <w:t>### **RISK ASSESSMENT**</w:t>
      </w:r>
    </w:p>
    <w:p>
      <w:pPr>
        <w:jc w:val="both"/>
      </w:pPr>
      <w:r>
        <w:rPr>
          <w:b/>
          <w:color w:val="502878"/>
        </w:rPr>
        <w:t>⚠️ CRITICAL WARNING: Trading synthetic indices without reliable historical data is extremely high risk. The absence of data makes it impossible to:</w:t>
        <w:br/>
        <w:t>- Backtest strategies</w:t>
        <w:br/>
        <w:t>- Calculate proper position sizes</w:t>
        <w:br/>
        <w:t>- Identify support/resistance levels</w:t>
        <w:br/>
        <w:t>- Establish risk-reward ratios</w:t>
      </w:r>
    </w:p>
    <w:p>
      <w:pPr>
        <w:jc w:val="both"/>
      </w:pPr>
      <w:r>
        <w:rPr>
          <w:sz w:val="22"/>
        </w:rPr>
        <w:t>---</w:t>
      </w:r>
    </w:p>
    <w:p>
      <w:pPr>
        <w:jc w:val="both"/>
      </w:pPr>
      <w:r>
        <w:rPr>
          <w:sz w:val="22"/>
        </w:rPr>
        <w:t>### **KEY FINDINGS SUMMARY TABLE**</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**Status**</w:t>
            </w:r>
          </w:p>
        </w:tc>
        <w:tc>
          <w:tcPr>
            <w:tcW w:type="dxa" w:w="2880"/>
          </w:tcPr>
          <w:p>
            <w:r>
              <w:rPr>
                <w:b/>
              </w:rPr>
              <w:t>**Implication**</w:t>
            </w:r>
          </w:p>
        </w:tc>
      </w:tr>
      <w:tr>
        <w:tc>
          <w:tcPr>
            <w:tcW w:type="dxa" w:w="2880"/>
          </w:tcPr>
          <w:p>
            <w:r>
              <w:t>**Data Availability**</w:t>
            </w:r>
          </w:p>
        </w:tc>
        <w:tc>
          <w:tcPr>
            <w:tcW w:type="dxa" w:w="2880"/>
          </w:tcPr>
          <w:p>
            <w:r>
              <w:t>❌ None (Feb 2026 - May 2026)</w:t>
            </w:r>
          </w:p>
        </w:tc>
        <w:tc>
          <w:tcPr>
            <w:tcW w:type="dxa" w:w="2880"/>
          </w:tcPr>
          <w:p>
            <w:r>
              <w:t>Cannot perform technical analysis</w:t>
            </w:r>
          </w:p>
        </w:tc>
      </w:tr>
      <w:tr>
        <w:tc>
          <w:tcPr>
            <w:tcW w:type="dxa" w:w="2880"/>
          </w:tcPr>
          <w:p>
            <w:r>
              <w:t>**Price Data**</w:t>
            </w:r>
          </w:p>
        </w:tc>
        <w:tc>
          <w:tcPr>
            <w:tcW w:type="dxa" w:w="2880"/>
          </w:tcPr>
          <w:p>
            <w:r>
              <w:t>❌ Not Available</w:t>
            </w:r>
          </w:p>
        </w:tc>
        <w:tc>
          <w:tcPr>
            <w:tcW w:type="dxa" w:w="2880"/>
          </w:tcPr>
          <w:p>
            <w:r>
              <w:t>No OHLCV data retrieved</w:t>
            </w:r>
          </w:p>
        </w:tc>
      </w:tr>
      <w:tr>
        <w:tc>
          <w:tcPr>
            <w:tcW w:type="dxa" w:w="2880"/>
          </w:tcPr>
          <w:p>
            <w:r>
              <w:t>**RSI**</w:t>
            </w:r>
          </w:p>
        </w:tc>
        <w:tc>
          <w:tcPr>
            <w:tcW w:type="dxa" w:w="2880"/>
          </w:tcPr>
          <w:p>
            <w:r>
              <w:t>❌ No Values</w:t>
            </w:r>
          </w:p>
        </w:tc>
        <w:tc>
          <w:tcPr>
            <w:tcW w:type="dxa" w:w="2880"/>
          </w:tcPr>
          <w:p>
            <w:r>
              <w:t>Cannot assess momentum</w:t>
            </w:r>
          </w:p>
        </w:tc>
      </w:tr>
      <w:tr>
        <w:tc>
          <w:tcPr>
            <w:tcW w:type="dxa" w:w="2880"/>
          </w:tcPr>
          <w:p>
            <w:r>
              <w:t>**Moving Averages**</w:t>
            </w:r>
          </w:p>
        </w:tc>
        <w:tc>
          <w:tcPr>
            <w:tcW w:type="dxa" w:w="2880"/>
          </w:tcPr>
          <w:p>
            <w:r>
              <w:t>❌ No Values</w:t>
            </w:r>
          </w:p>
        </w:tc>
        <w:tc>
          <w:tcPr>
            <w:tcW w:type="dxa" w:w="2880"/>
          </w:tcPr>
          <w:p>
            <w:r>
              <w:t>Cannot confirm trend</w:t>
            </w:r>
          </w:p>
        </w:tc>
      </w:tr>
      <w:tr>
        <w:tc>
          <w:tcPr>
            <w:tcW w:type="dxa" w:w="2880"/>
          </w:tcPr>
          <w:p>
            <w:r>
              <w:t>**MACD**</w:t>
            </w:r>
          </w:p>
        </w:tc>
        <w:tc>
          <w:tcPr>
            <w:tcW w:type="dxa" w:w="2880"/>
          </w:tcPr>
          <w:p>
            <w:r>
              <w:t>❌ No Values</w:t>
            </w:r>
          </w:p>
        </w:tc>
        <w:tc>
          <w:tcPr>
            <w:tcW w:type="dxa" w:w="2880"/>
          </w:tcPr>
          <w:p>
            <w:r>
              <w:t>Cannot identify crossovers</w:t>
            </w:r>
          </w:p>
        </w:tc>
      </w:tr>
      <w:tr>
        <w:tc>
          <w:tcPr>
            <w:tcW w:type="dxa" w:w="2880"/>
          </w:tcPr>
          <w:p>
            <w:r>
              <w:t>**Bollinger Bands**</w:t>
            </w:r>
          </w:p>
        </w:tc>
        <w:tc>
          <w:tcPr>
            <w:tcW w:type="dxa" w:w="2880"/>
          </w:tcPr>
          <w:p>
            <w:r>
              <w:t>❌ No Values</w:t>
            </w:r>
          </w:p>
        </w:tc>
        <w:tc>
          <w:tcPr>
            <w:tcW w:type="dxa" w:w="2880"/>
          </w:tcPr>
          <w:p>
            <w:r>
              <w:t>Cannot measure volatility extremes</w:t>
            </w:r>
          </w:p>
        </w:tc>
      </w:tr>
      <w:tr>
        <w:tc>
          <w:tcPr>
            <w:tcW w:type="dxa" w:w="2880"/>
          </w:tcPr>
          <w:p>
            <w:r>
              <w:t>**ATR**</w:t>
            </w:r>
          </w:p>
        </w:tc>
        <w:tc>
          <w:tcPr>
            <w:tcW w:type="dxa" w:w="2880"/>
          </w:tcPr>
          <w:p>
            <w:r>
              <w:t>❌ No Values</w:t>
            </w:r>
          </w:p>
        </w:tc>
        <w:tc>
          <w:tcPr>
            <w:tcW w:type="dxa" w:w="2880"/>
          </w:tcPr>
          <w:p>
            <w:r>
              <w:t>Cannot set appropriate stops</w:t>
            </w:r>
          </w:p>
        </w:tc>
      </w:tr>
      <w:tr>
        <w:tc>
          <w:tcPr>
            <w:tcW w:type="dxa" w:w="2880"/>
          </w:tcPr>
          <w:p>
            <w:r>
              <w:t>**Trading Recommendation**</w:t>
            </w:r>
          </w:p>
        </w:tc>
        <w:tc>
          <w:tcPr>
            <w:tcW w:type="dxa" w:w="2880"/>
          </w:tcPr>
          <w:p>
            <w:r>
              <w:t>**HOLD / DO NOT TRADE**</w:t>
            </w:r>
          </w:p>
        </w:tc>
        <w:tc>
          <w:tcPr>
            <w:tcW w:type="dxa" w:w="2880"/>
          </w:tcPr>
          <w:p>
            <w:r>
              <w:t>Insufficient data for informed decision</w:t>
            </w:r>
          </w:p>
        </w:tc>
      </w:tr>
    </w:tbl>
    <w:p/>
    <w:p>
      <w:pPr>
        <w:jc w:val="both"/>
      </w:pPr>
      <w:r>
        <w:rPr>
          <w:sz w:val="22"/>
        </w:rPr>
        <w:t>---</w:t>
      </w:r>
    </w:p>
    <w:p>
      <w:pPr>
        <w:jc w:val="both"/>
      </w:pPr>
      <w:r>
        <w:rPr>
          <w:sz w:val="22"/>
        </w:rPr>
        <w:t>### **CONCLUSION**</w:t>
      </w:r>
    </w:p>
    <w:p>
      <w:pPr>
        <w:jc w:val="both"/>
      </w:pPr>
      <w:r>
        <w:rPr>
          <w:sz w:val="22"/>
        </w:rPr>
        <w:t>**FINAL TRANSACTION PROPOSAL: HOLD**</w:t>
      </w:r>
    </w:p>
    <w:p>
      <w:pPr>
        <w:jc w:val="both"/>
      </w:pPr>
      <w:r>
        <w:rPr>
          <w:sz w:val="22"/>
        </w:rPr>
        <w:t>I cannot responsibly recommend a BUY or SELL position on BOOM900INDEX given the complete absence of historical price data and technical indicators for the entire requested period (September 2025 - May 2026).</w:t>
      </w:r>
    </w:p>
    <w:p>
      <w:pPr>
        <w:jc w:val="both"/>
      </w:pPr>
      <w:r>
        <w:rPr>
          <w:sz w:val="22"/>
        </w:rPr>
        <w:t>**The prudent course of action is to HOLD (refrain from new positions) until:**</w:t>
        <w:br/>
        <w:t>1. Data availability is restored and verified</w:t>
        <w:br/>
        <w:t>2. Historical patterns can be properly analyzed</w:t>
        <w:br/>
        <w:t>3. Risk parameters can be calculated with confidence</w:t>
        <w:br/>
        <w:t>4. Platform access is confirmed operational</w:t>
      </w:r>
    </w:p>
    <w:p>
      <w:pPr>
        <w:jc w:val="both"/>
      </w:pPr>
      <w:r>
        <w:rPr>
          <w:sz w:val="22"/>
        </w:rPr>
        <w:t>**For existing positions**, consult directly with your broker regarding the status of this instrument and consider closing positions if the index has been delisted or is experiencing technical issues.</w:t>
      </w:r>
    </w:p>
    <w:p>
      <w:pPr>
        <w:jc w:val="both"/>
      </w:pPr>
      <w:r>
        <w:rPr>
          <w:sz w:val="22"/>
        </w:rPr>
        <w:t>The lack of data across all timeframes and all indicators suggests a fundamental issue with the instrument or data feed rather than a temporary glitch. Exercise extreme caution and seek clarification from your trading platform before proceeding.</w:t>
      </w:r>
    </w:p>
    <w:p>
      <w:pPr>
        <w:pBdr>
          <w:bottom w:val="single" w:sz="6" w:space="1" w:color="CCCCCC"/>
        </w:pBdr>
      </w:pPr>
    </w:p>
    <w:p>
      <w:pPr>
        <w:pStyle w:val="Heading2"/>
        <w:jc w:val="left"/>
      </w:pPr>
      <w:r>
        <w:rPr>
          <w:color w:val="783C00"/>
        </w:rPr>
        <w:t>Rapport Sentiment / Social</w:t>
      </w:r>
    </w:p>
    <w:p>
      <w:pPr>
        <w:jc w:val="both"/>
      </w:pPr>
      <w:r>
        <w:rPr>
          <w:sz w:val="22"/>
        </w:rPr>
        <w:t># Sentiment Report: BOOM900INDEX</w:t>
        <w:br/>
        <w:t xml:space="preserve">**Period:** 2026-05-13 to 2026-05-20  </w:t>
        <w:br/>
        <w:t>**Report Date:** 2026-05-20</w:t>
      </w:r>
    </w:p>
    <w:p>
      <w:pPr>
        <w:jc w:val="both"/>
      </w:pPr>
      <w:r>
        <w:rPr>
          <w:sz w:val="22"/>
        </w:rPr>
        <w:t>---</w:t>
      </w:r>
    </w:p>
    <w:p>
      <w:pPr>
        <w:jc w:val="both"/>
      </w:pPr>
      <w:r>
        <w:rPr>
          <w:sz w:val="22"/>
        </w:rPr>
        <w:t>## 1. Overall Sentiment Direction</w:t>
      </w:r>
    </w:p>
    <w:p>
      <w:pPr>
        <w:jc w:val="both"/>
      </w:pPr>
      <w:r>
        <w:rPr>
          <w:sz w:val="22"/>
        </w:rPr>
        <w:t xml:space="preserve">**NEUTRAL / NO SIGNAL**  </w:t>
        <w:br/>
        <w:t>**Confidence:** Very Low</w:t>
      </w:r>
    </w:p>
    <w:p>
      <w:pPr>
        <w:jc w:val="both"/>
      </w:pPr>
      <w:r>
        <w:rPr>
          <w:sz w:val="20"/>
        </w:rPr>
        <w:t>The data collection for BOOM900INDEX returned no actionable sentiment information across all three sources. This absence of data itself is a signal — it indicates extremely low retail awareness, minimal institutional news coverage, and negligible social media discussion. The instrument appears to be either:</w:t>
        <w:br/>
        <w:t>- A thinly-traded or recently-launched index with no established retail following</w:t>
        <w:br/>
        <w:t>- A specialized/synthetic instrument (note the "BOOM900" nomenclature suggests a volatility or derivatives product)</w:t>
        <w:br/>
        <w:t>- Trading outside mainstream retail attention zones</w:t>
      </w:r>
    </w:p>
    <w:p>
      <w:pPr>
        <w:jc w:val="both"/>
      </w:pPr>
      <w:r>
        <w:rPr>
          <w:sz w:val="22"/>
        </w:rPr>
        <w:t>**Key caveat:** Without baseline sentiment data, we cannot establish directional bias. Any trading decision must rely entirely on technical analysis and fundamental/structural understanding of what BOOM900INDEX represents.</w:t>
      </w:r>
    </w:p>
    <w:p>
      <w:pPr>
        <w:jc w:val="both"/>
      </w:pPr>
      <w:r>
        <w:rPr>
          <w:sz w:val="22"/>
        </w:rPr>
        <w:t>---</w:t>
      </w:r>
    </w:p>
    <w:p>
      <w:pPr>
        <w:jc w:val="both"/>
      </w:pPr>
      <w:r>
        <w:rPr>
          <w:sz w:val="22"/>
        </w:rPr>
        <w:t>## 2. Source-by-Source Breakdown</w:t>
      </w:r>
    </w:p>
    <w:p>
      <w:pPr>
        <w:jc w:val="both"/>
      </w:pPr>
      <w:r>
        <w:rPr>
          <w:sz w:val="20"/>
        </w:rPr>
        <w:t>### A. News Headlines (Yahoo Finance, past 7 days)</w:t>
        <w:br/>
        <w:t xml:space="preserve">**Status:** No news articles found  </w:t>
        <w:br/>
        <w:t xml:space="preserve">**Analysis:**  </w:t>
        <w:br/>
        <w:t>- Zero institutional media coverage in the past week</w:t>
        <w:br/>
        <w:t>- No earnings announcements, product launches, regulatory filings, or macro commentary mentioning this instrument</w:t>
        <w:br/>
        <w:t>- Suggests BOOM900INDEX is either not a household-name equity, or operates in a niche market segment that mainstream financial press does not actively cover</w:t>
        <w:br/>
        <w:t>- **Implication:** No event-driven catalysts visible through traditional news channels</w:t>
      </w:r>
    </w:p>
    <w:p>
      <w:pPr>
        <w:jc w:val="both"/>
      </w:pPr>
      <w:r>
        <w:rPr>
          <w:sz w:val="20"/>
        </w:rPr>
        <w:t>### B. StockTwits (retail social platform)</w:t>
        <w:br/>
        <w:t xml:space="preserve">**Status:** Data unavailable (HTTPError)  </w:t>
        <w:br/>
        <w:t xml:space="preserve">**Analysis:**  </w:t>
        <w:br/>
        <w:t>- Technical failure in data retrieval means we cannot assess retail trader sentiment</w:t>
        <w:br/>
        <w:t>- Even if data were available, the ticker nomenclature (INDEX suffix) suggests this may not be a cashtag that retail traders actively tag on StockTwits</w:t>
        <w:br/>
        <w:t>- Volatility indices and synthetic products typically see lower StockTwits engagement than single-name equities</w:t>
        <w:br/>
        <w:t>- **Implication:** Cannot assess retail bullish/bearish ratio, message volume, or trending themes</w:t>
      </w:r>
    </w:p>
    <w:p>
      <w:pPr>
        <w:jc w:val="both"/>
      </w:pPr>
      <w:r>
        <w:rPr>
          <w:sz w:val="20"/>
        </w:rPr>
        <w:t>### C. Reddit (r/wallstreetbets, r/stocks, r/investing, past 7 days)</w:t>
        <w:br/>
        <w:t xml:space="preserve">**Status:** No posts found across all three subreddits  </w:t>
        <w:br/>
        <w:t xml:space="preserve">**Analysis:**  </w:t>
        <w:br/>
        <w:t>- Zero mentions in r/wallstreetbets (typically high-risk, high-engagement community)</w:t>
        <w:br/>
        <w:t>- Zero mentions in r/stocks (moderate, analysis-focused community)</w:t>
        <w:br/>
        <w:t>- Zero mentions in r/investing (long-term, fundamental-focused community)</w:t>
        <w:br/>
        <w:t>- **Implication:** BOOM900INDEX is not on retail investors' radar across the risk/timeframe spectrum. No community-driven narratives, no viral threads, no contrarian takes.</w:t>
      </w:r>
    </w:p>
    <w:p>
      <w:pPr>
        <w:jc w:val="both"/>
      </w:pPr>
      <w:r>
        <w:rPr>
          <w:sz w:val="22"/>
        </w:rPr>
        <w:t>---</w:t>
      </w:r>
    </w:p>
    <w:p>
      <w:pPr>
        <w:jc w:val="both"/>
      </w:pPr>
      <w:r>
        <w:rPr>
          <w:sz w:val="22"/>
        </w:rPr>
        <w:t>## 3. Divergences, Alignments, and Key Narratives</w:t>
      </w:r>
    </w:p>
    <w:p>
      <w:pPr>
        <w:jc w:val="both"/>
      </w:pPr>
      <w:r>
        <w:rPr>
          <w:sz w:val="22"/>
        </w:rPr>
        <w:t>**Finding:** There are no divergences because there is no data from any source.</w:t>
      </w:r>
    </w:p>
    <w:p>
      <w:pPr>
        <w:jc w:val="both"/>
      </w:pPr>
      <w:r>
        <w:rPr>
          <w:sz w:val="22"/>
        </w:rPr>
        <w:t>**Alignment:** All three sources are uniformly silent, which itself constitutes alignment — this instrument is operating below the threshold of retail and institutional media attention.</w:t>
      </w:r>
    </w:p>
    <w:p>
      <w:pPr>
        <w:jc w:val="both"/>
      </w:pPr>
      <w:r>
        <w:rPr>
          <w:sz w:val="22"/>
        </w:rPr>
        <w:t>**Key Narratives:** None emerged. The absence of narrative is the narrative.</w:t>
      </w:r>
    </w:p>
    <w:p>
      <w:pPr>
        <w:jc w:val="both"/>
      </w:pPr>
      <w:r>
        <w:rPr>
          <w:sz w:val="20"/>
        </w:rPr>
        <w:t>**What this tells us:**</w:t>
        <w:br/>
        <w:t>- **Low liquidity risk:** Instruments with zero social/media footprint often have wide bid-ask spreads and low volume</w:t>
        <w:br/>
        <w:t>- **Information asymmetry:** If you are trading this, you may be operating with less crowd-sourced intelligence than typical equities</w:t>
        <w:br/>
        <w:t>- **Institutional-only territory?** Some indices/products are designed for institutional desks and lack retail distribution, explaining the silence</w:t>
      </w:r>
    </w:p>
    <w:p>
      <w:pPr>
        <w:jc w:val="both"/>
      </w:pPr>
      <w:r>
        <w:rPr>
          <w:sz w:val="22"/>
        </w:rPr>
        <w:t>---</w:t>
      </w:r>
    </w:p>
    <w:p>
      <w:pPr>
        <w:jc w:val="both"/>
      </w:pPr>
      <w:r>
        <w:rPr>
          <w:sz w:val="22"/>
        </w:rPr>
        <w:t>## 4. Catalysts and Risks</w:t>
      </w:r>
    </w:p>
    <w:p>
      <w:pPr>
        <w:jc w:val="both"/>
      </w:pPr>
      <w:r>
        <w:rPr>
          <w:sz w:val="22"/>
        </w:rPr>
        <w:t>### Catalysts Identified</w:t>
        <w:br/>
        <w:t>**None** surfaced through sentiment channels in this reporting period.</w:t>
      </w:r>
    </w:p>
    <w:p>
      <w:pPr>
        <w:jc w:val="both"/>
      </w:pPr>
      <w:r>
        <w:rPr>
          <w:sz w:val="20"/>
        </w:rPr>
        <w:t>### Risks Identified</w:t>
        <w:br/>
        <w:t>1. **Liquidity risk:** Zero social discussion suggests thin order books and potential slippage on entries/exits</w:t>
        <w:br/>
        <w:t>2. **Opacity risk:** Without news flow or community analysis, you are trading "blind" relative to crowd sentiment</w:t>
        <w:br/>
        <w:t>3. **Structural risk (if derivatives-based):** "BOOM" nomenclature often appears in volatility or leveraged products (e.g., Boom/Crash indices in synthetic markets). These carry decay, rollover, or rebalancing risks not present in vanilla equities</w:t>
        <w:br/>
        <w:t>4. **Data infrastructure risk:** StockTwits HTTPError may indicate this ticker is not recognized in standard retail data feeds, complicating real-time monitoring</w:t>
      </w:r>
    </w:p>
    <w:p>
      <w:pPr>
        <w:jc w:val="both"/>
      </w:pPr>
      <w:r>
        <w:rPr>
          <w:sz w:val="20"/>
        </w:rPr>
        <w:t>### Macro/Sector Context (inferred)</w:t>
        <w:br/>
        <w:t>- If BOOM900INDEX is a volatility index: Current macro environment (May 2026) sentiment would depend on VIX analogs, rates outlook, and equity market stability — none of which we can assess via the provided data</w:t>
        <w:br/>
        <w:t>- If it's a leveraged or synthetic index: Understand the rebalancing mechanism and decay characteristics before position-sizing</w:t>
      </w:r>
    </w:p>
    <w:p>
      <w:pPr>
        <w:jc w:val="both"/>
      </w:pPr>
      <w:r>
        <w:rPr>
          <w:sz w:val="22"/>
        </w:rPr>
        <w:t>---</w:t>
      </w:r>
    </w:p>
    <w:p>
      <w:pPr>
        <w:jc w:val="both"/>
      </w:pPr>
      <w:r>
        <w:rPr>
          <w:sz w:val="22"/>
        </w:rPr>
        <w:t>## 5. Summary Table</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**Signal**</w:t>
            </w:r>
          </w:p>
        </w:tc>
        <w:tc>
          <w:tcPr>
            <w:tcW w:type="dxa" w:w="2160"/>
          </w:tcPr>
          <w:p>
            <w:r>
              <w:rPr>
                <w:b/>
              </w:rPr>
              <w:t>**Direction**</w:t>
            </w:r>
          </w:p>
        </w:tc>
        <w:tc>
          <w:tcPr>
            <w:tcW w:type="dxa" w:w="2160"/>
          </w:tcPr>
          <w:p>
            <w:r>
              <w:rPr>
                <w:b/>
              </w:rPr>
              <w:t>**Source**</w:t>
            </w:r>
          </w:p>
        </w:tc>
        <w:tc>
          <w:tcPr>
            <w:tcW w:type="dxa" w:w="2160"/>
          </w:tcPr>
          <w:p>
            <w:r>
              <w:rPr>
                <w:b/>
              </w:rPr>
              <w:t>**Supporting Evidence**</w:t>
            </w:r>
          </w:p>
        </w:tc>
      </w:tr>
      <w:tr>
        <w:tc>
          <w:tcPr>
            <w:tcW w:type="dxa" w:w="2160"/>
          </w:tcPr>
          <w:p>
            <w:r>
              <w:t>News Coverage</w:t>
            </w:r>
          </w:p>
        </w:tc>
        <w:tc>
          <w:tcPr>
            <w:tcW w:type="dxa" w:w="2160"/>
          </w:tcPr>
          <w:p>
            <w:r>
              <w:t>No Signal</w:t>
            </w:r>
          </w:p>
        </w:tc>
        <w:tc>
          <w:tcPr>
            <w:tcW w:type="dxa" w:w="2160"/>
          </w:tcPr>
          <w:p>
            <w:r>
              <w:t>Yahoo Finance</w:t>
            </w:r>
          </w:p>
        </w:tc>
        <w:tc>
          <w:tcPr>
            <w:tcW w:type="dxa" w:w="2160"/>
          </w:tcPr>
          <w:p>
            <w:r>
              <w:t>Zero articles mentioning BOOM900INDEX in past 7 days</w:t>
            </w:r>
          </w:p>
        </w:tc>
      </w:tr>
      <w:tr>
        <w:tc>
          <w:tcPr>
            <w:tcW w:type="dxa" w:w="2160"/>
          </w:tcPr>
          <w:p>
            <w:r>
              <w:t>Retail Trader Sentiment</w:t>
            </w:r>
          </w:p>
        </w:tc>
        <w:tc>
          <w:tcPr>
            <w:tcW w:type="dxa" w:w="2160"/>
          </w:tcPr>
          <w:p>
            <w:r>
              <w:t>No Signal</w:t>
            </w:r>
          </w:p>
        </w:tc>
        <w:tc>
          <w:tcPr>
            <w:tcW w:type="dxa" w:w="2160"/>
          </w:tcPr>
          <w:p>
            <w:r>
              <w:t>StockTwits</w:t>
            </w:r>
          </w:p>
        </w:tc>
        <w:tc>
          <w:tcPr>
            <w:tcW w:type="dxa" w:w="2160"/>
          </w:tcPr>
          <w:p>
            <w:r>
              <w:t>Data unavailable (HTTPError); unable to assess bullish/bearish ratio or message volume</w:t>
            </w:r>
          </w:p>
        </w:tc>
      </w:tr>
      <w:tr>
        <w:tc>
          <w:tcPr>
            <w:tcW w:type="dxa" w:w="2160"/>
          </w:tcPr>
          <w:p>
            <w:r>
              <w:t>Reddit Community Discussion</w:t>
            </w:r>
          </w:p>
        </w:tc>
        <w:tc>
          <w:tcPr>
            <w:tcW w:type="dxa" w:w="2160"/>
          </w:tcPr>
          <w:p>
            <w:r>
              <w:t>No Signal</w:t>
            </w:r>
          </w:p>
        </w:tc>
        <w:tc>
          <w:tcPr>
            <w:tcW w:type="dxa" w:w="2160"/>
          </w:tcPr>
          <w:p>
            <w:r>
              <w:t>Reddit (WSB/Stocks/Investing)</w:t>
            </w:r>
          </w:p>
        </w:tc>
        <w:tc>
          <w:tcPr>
            <w:tcW w:type="dxa" w:w="2160"/>
          </w:tcPr>
          <w:p>
            <w:r>
              <w:t>Zero posts across all three subreddits in past 7 days</w:t>
            </w:r>
          </w:p>
        </w:tc>
      </w:tr>
      <w:tr>
        <w:tc>
          <w:tcPr>
            <w:tcW w:type="dxa" w:w="2160"/>
          </w:tcPr>
          <w:p>
            <w:r>
              <w:t>Overall Retail Awareness</w:t>
            </w:r>
          </w:p>
        </w:tc>
        <w:tc>
          <w:tcPr>
            <w:tcW w:type="dxa" w:w="2160"/>
          </w:tcPr>
          <w:p>
            <w:r>
              <w:t>Negligible</w:t>
            </w:r>
          </w:p>
        </w:tc>
        <w:tc>
          <w:tcPr>
            <w:tcW w:type="dxa" w:w="2160"/>
          </w:tcPr>
          <w:p>
            <w:r>
              <w:t>Cross-source</w:t>
            </w:r>
          </w:p>
        </w:tc>
        <w:tc>
          <w:tcPr>
            <w:tcW w:type="dxa" w:w="2160"/>
          </w:tcPr>
          <w:p>
            <w:r>
              <w:t>Complete absence of discussion indicates instrument is off retail radar</w:t>
            </w:r>
          </w:p>
        </w:tc>
      </w:tr>
      <w:tr>
        <w:tc>
          <w:tcPr>
            <w:tcW w:type="dxa" w:w="2160"/>
          </w:tcPr>
          <w:p>
            <w:r>
              <w:t>Liquidity / Trading Risk</w:t>
            </w:r>
          </w:p>
        </w:tc>
        <w:tc>
          <w:tcPr>
            <w:tcW w:type="dxa" w:w="2160"/>
          </w:tcPr>
          <w:p>
            <w:r>
              <w:t>Elevated</w:t>
            </w:r>
          </w:p>
        </w:tc>
        <w:tc>
          <w:tcPr>
            <w:tcW w:type="dxa" w:w="2160"/>
          </w:tcPr>
          <w:p>
            <w:r>
              <w:t>Inference</w:t>
            </w:r>
          </w:p>
        </w:tc>
        <w:tc>
          <w:tcPr>
            <w:tcW w:type="dxa" w:w="2160"/>
          </w:tcPr>
          <w:p>
            <w:r>
              <w:t>Low awareness correlates with thin order books and potential slippage</w:t>
            </w:r>
          </w:p>
        </w:tc>
      </w:tr>
      <w:tr>
        <w:tc>
          <w:tcPr>
            <w:tcW w:type="dxa" w:w="2160"/>
          </w:tcPr>
          <w:p>
            <w:r>
              <w:t>Event-Driven Catalysts</w:t>
            </w:r>
          </w:p>
        </w:tc>
        <w:tc>
          <w:tcPr>
            <w:tcW w:type="dxa" w:w="2160"/>
          </w:tcPr>
          <w:p>
            <w:r>
              <w:t>None Identified</w:t>
            </w:r>
          </w:p>
        </w:tc>
        <w:tc>
          <w:tcPr>
            <w:tcW w:type="dxa" w:w="2160"/>
          </w:tcPr>
          <w:p>
            <w:r>
              <w:t>Cross-source</w:t>
            </w:r>
          </w:p>
        </w:tc>
        <w:tc>
          <w:tcPr>
            <w:tcW w:type="dxa" w:w="2160"/>
          </w:tcPr>
          <w:p>
            <w:r>
              <w:t>No earnings, product news, or macro headlines in period</w:t>
            </w:r>
          </w:p>
        </w:tc>
      </w:tr>
    </w:tbl>
    <w:p/>
    <w:p>
      <w:pPr>
        <w:jc w:val="both"/>
      </w:pPr>
      <w:r>
        <w:rPr>
          <w:sz w:val="22"/>
        </w:rPr>
        <w:t>---</w:t>
      </w:r>
    </w:p>
    <w:p>
      <w:pPr>
        <w:jc w:val="both"/>
      </w:pPr>
      <w:r>
        <w:rPr>
          <w:sz w:val="22"/>
        </w:rPr>
        <w:t>## Conclusion and Recommendations</w:t>
      </w:r>
    </w:p>
    <w:p>
      <w:pPr>
        <w:jc w:val="both"/>
      </w:pPr>
      <w:r>
        <w:rPr>
          <w:sz w:val="20"/>
        </w:rPr>
        <w:t xml:space="preserve">**For the trading team:**  </w:t>
        <w:br/>
        <w:t>BOOM900INDEX shows **no measurable sentiment signal** in the retail or institutional news ecosystem for the week of 2026-05-13 to 2026-05-20. This is not a neutral signal in the traditional sense (where bullish and bearish views balance); rather, it's an **absence of signal**, indicating the instrument is not being actively discussed, debated, or traded by the communities and media we monitor.</w:t>
      </w:r>
    </w:p>
    <w:p>
      <w:pPr>
        <w:jc w:val="both"/>
      </w:pPr>
      <w:r>
        <w:rPr>
          <w:sz w:val="20"/>
        </w:rPr>
        <w:t>**Actionable implications:**</w:t>
        <w:br/>
        <w:t>- **Do not use sentiment as a trading input** for this instrument in the current environment</w:t>
        <w:br/>
        <w:t>- **Prioritize technical analysis** (price action, volume profile, support/resistance) and **structural understanding** (what does BOOM900INDEX track? What are its components or methodology?)</w:t>
        <w:br/>
        <w:t>- **Verify liquidity** before entering positions — check average daily volume, bid-ask spreads, and order book depth</w:t>
        <w:br/>
        <w:t>- **Investigate the instrument's nature:** If this is a volatility, leveraged, or synthetic index, ensure you understand decay characteristics, rebalancing schedules, and roll costs</w:t>
        <w:br/>
        <w:t>- **Set wider stop-losses** to account for potential slippage in low-liquidity conditions</w:t>
      </w:r>
    </w:p>
    <w:p>
      <w:pPr>
        <w:jc w:val="both"/>
      </w:pPr>
      <w:r>
        <w:rPr>
          <w:sz w:val="20"/>
        </w:rPr>
        <w:t>**Next steps:**</w:t>
        <w:br/>
        <w:t>1. Request a technical analysis report covering price trends, volume, and key levels</w:t>
        <w:br/>
        <w:t>2. Clarify with the data team whether BOOM900INDEX is correctly tagged for social/news feeds (the StockTwits error and zero Reddit mentions suggest possible ticker/data mismatch)</w:t>
        <w:br/>
        <w:t>3. If this is a derivatives or volatility product, consult the product's methodology document to understand risk factors not visible in sentiment data</w:t>
      </w:r>
    </w:p>
    <w:p>
      <w:pPr>
        <w:jc w:val="both"/>
      </w:pPr>
      <w:r>
        <w:rPr>
          <w:sz w:val="22"/>
        </w:rPr>
        <w:t>---</w:t>
      </w:r>
    </w:p>
    <w:p>
      <w:pPr>
        <w:jc w:val="both"/>
      </w:pPr>
      <w:r>
        <w:rPr>
          <w:sz w:val="22"/>
        </w:rPr>
        <w:t>**FINAL TRANSACTION PROPOSAL: HOLD**</w:t>
      </w:r>
    </w:p>
    <w:p>
      <w:pPr>
        <w:jc w:val="both"/>
      </w:pPr>
      <w:r>
        <w:rPr>
          <w:sz w:val="20"/>
        </w:rPr>
        <w:t>**Rationale:** In the absence of any sentiment data, news catalysts, or retail/institutional discussion, there is insufficient information to justify a new long (BUY) or short (SELL) position based on sentiment analysis. If a position already exists, maintain it (HOLD) until technical or fundamental signals provide direction. If no position exists, **stay flat** until data quality improves or the instrument demonstrates measurable market attention.</w:t>
      </w:r>
    </w:p>
    <w:p>
      <w:pPr>
        <w:pBdr>
          <w:bottom w:val="single" w:sz="6" w:space="1" w:color="CCCCCC"/>
        </w:pBdr>
      </w:pPr>
    </w:p>
    <w:p/>
    <w:p>
      <w:pPr>
        <w:jc w:val="center"/>
      </w:pPr>
      <w:r>
        <w:rPr>
          <w:color w:val="969696"/>
          <w:sz w:val="16"/>
        </w:rPr>
        <w:t>TradBOT — Rapport généré automatiquement par le bridge TradingAgents | 2026-05-20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